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August 4, 2012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204"/>
        </w:trPr>
        <w:tc>
          <w:tcPr>
            <w:tcW w:w="5360" w:type="dxa"/>
            <w:vAlign w:val="bottom"/>
            <w:gridSpan w:val="2"/>
          </w:tcPr>
          <w:p>
            <w:pPr>
              <w:ind w:left="304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b w:val="1"/>
                <w:bCs w:val="1"/>
                <w:color w:val="auto"/>
                <w:w w:val="82"/>
              </w:rPr>
              <w:t>to</w:t>
            </w:r>
          </w:p>
        </w:tc>
        <w:tc>
          <w:tcPr>
            <w:tcW w:w="58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92"/>
        </w:trPr>
        <w:tc>
          <w:tcPr>
            <w:tcW w:w="9320" w:type="dxa"/>
            <w:vAlign w:val="bottom"/>
            <w:gridSpan w:val="7"/>
          </w:tcPr>
          <w:p>
            <w:pPr>
              <w:jc w:val="center"/>
              <w:ind w:left="28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7"/>
          </w:tcPr>
          <w:p>
            <w:pPr>
              <w:jc w:val="center"/>
              <w:ind w:left="26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86"/>
              </w:rPr>
              <w:t>Massachusetts</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40" w:type="dxa"/>
            <w:vAlign w:val="bottom"/>
            <w:gridSpan w:val="3"/>
          </w:tcPr>
          <w:p>
            <w:pPr>
              <w:jc w:val="center"/>
              <w:ind w:right="24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0"/>
              </w:rPr>
              <w:t>One Technology Way, Norwood, MA</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40" w:type="dxa"/>
            <w:vAlign w:val="bottom"/>
            <w:gridSpan w:val="3"/>
          </w:tcPr>
          <w:p>
            <w:pPr>
              <w:jc w:val="center"/>
              <w:ind w:right="246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940" w:type="dxa"/>
            <w:vAlign w:val="bottom"/>
            <w:gridSpan w:val="3"/>
          </w:tcPr>
          <w:p>
            <w:pPr>
              <w:jc w:val="center"/>
              <w:ind w:left="3685"/>
              <w:spacing w:after="0"/>
              <w:rPr>
                <w:sz w:val="20"/>
                <w:szCs w:val="20"/>
                <w:color w:val="auto"/>
              </w:rPr>
            </w:pPr>
            <w:r>
              <w:rPr>
                <w:rFonts w:ascii="Arial" w:cs="Arial" w:eastAsia="Arial" w:hAnsi="Arial"/>
                <w:sz w:val="18"/>
                <w:szCs w:val="18"/>
                <w:b w:val="1"/>
                <w:bCs w:val="1"/>
                <w:color w:val="auto"/>
                <w:w w:val="90"/>
              </w:rPr>
              <w:t>(781) 329-4700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7" w:right="419" w:bottom="1440" w:gutter="0" w:footer="0" w:header="0"/>
          <w:type w:val="continuous"/>
        </w:sectPr>
      </w:pPr>
    </w:p>
    <w:p>
      <w:pPr>
        <w:ind w:left="440" w:right="12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2012 there were 298,905,593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834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250"/>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Revenue</w:t>
            </w:r>
          </w:p>
        </w:tc>
        <w:tc>
          <w:tcPr>
            <w:tcW w:w="76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757,902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of sales (1)</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235,152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248,262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509,640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128,476</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 (1)</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102,323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charge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235,403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230,799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274,871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54,936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219,935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299,616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7"/>
        </w:trPr>
        <w:tc>
          <w:tcPr>
            <w:tcW w:w="700" w:type="dxa"/>
            <w:vAlign w:val="bottom"/>
            <w:tcBorders>
              <w:bottom w:val="single" w:sz="8" w:color="CCEEFF"/>
            </w:tcBorders>
          </w:tcPr>
          <w:p>
            <w:pPr>
              <w:spacing w:after="0"/>
              <w:rPr>
                <w:sz w:val="5"/>
                <w:szCs w:val="5"/>
                <w:color w:val="auto"/>
              </w:rPr>
            </w:pPr>
          </w:p>
        </w:tc>
        <w:tc>
          <w:tcPr>
            <w:tcW w:w="76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440"/>
              <w:spacing w:after="0"/>
              <w:rPr>
                <w:sz w:val="20"/>
                <w:szCs w:val="20"/>
                <w:color w:val="auto"/>
              </w:rPr>
            </w:pPr>
            <w:r>
              <w:rPr>
                <w:rFonts w:ascii="Arial" w:cs="Arial" w:eastAsia="Arial" w:hAnsi="Arial"/>
                <w:sz w:val="18"/>
                <w:szCs w:val="18"/>
                <w:color w:val="auto"/>
              </w:rPr>
              <w:t>Cost of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440"/>
              <w:spacing w:after="0"/>
              <w:rPr>
                <w:sz w:val="20"/>
                <w:szCs w:val="20"/>
                <w:color w:val="auto"/>
              </w:rPr>
            </w:pPr>
            <w:r>
              <w:rPr>
                <w:rFonts w:ascii="Arial" w:cs="Arial" w:eastAsia="Arial" w:hAnsi="Arial"/>
                <w:sz w:val="18"/>
                <w:szCs w:val="18"/>
                <w:color w:val="auto"/>
              </w:rPr>
              <w:t>Selling, marketing, general and administrative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2,277,186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 (1)</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708,459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751,159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1,526,027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381,681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Selling, marketing, general and administrative (1)</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307,613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Special charge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688,950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689,294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836,733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830,447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128,960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153,080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677,367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683,867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299,586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309,070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 from continuing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Cost of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17,256</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Selling, marketing, general and administrative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October 29,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462,149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1,405,100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345,795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348,416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28,085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100,862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96,598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82,171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46,216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4,561,285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4,386,348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1,670,221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1,606,150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51,960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48,338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2,136,901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1,720,883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1,658,062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investments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26,410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275,087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37,645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58,155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404,756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412,448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5,277,635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200" w:firstLine="332"/>
        <w:spacing w:after="0" w:line="465"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$2,361 and $2,431 related to stock-based compensation at August 4, 2012 and October 29, 2011, respectively. See accompanying notes.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October 29,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113,391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113,056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on shipments to distributors,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6,584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127,728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157,616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842,540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871,876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liability</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26,428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57,653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919,474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957,217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Common stock, $0.16 2/3 par value, 1,200,000,000 shares authorized, 298,905,593 shares issued and outstanding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(297,960,718 on October 29, 2011)</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49,819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49,661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3,701,054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3,482,334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3,795,413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5,277,635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 2012</w:t>
            </w:r>
          </w:p>
        </w:tc>
        <w:tc>
          <w:tcPr>
            <w:tcW w:w="260" w:type="dxa"/>
            <w:vAlign w:val="bottom"/>
          </w:tcPr>
          <w:p>
            <w:pPr>
              <w:spacing w:after="0"/>
              <w:rPr>
                <w:sz w:val="22"/>
                <w:szCs w:val="22"/>
                <w:color w:val="auto"/>
              </w:rPr>
            </w:pPr>
          </w:p>
        </w:tc>
        <w:tc>
          <w:tcPr>
            <w:tcW w:w="1340" w:type="dxa"/>
            <w:vAlign w:val="bottom"/>
          </w:tcPr>
          <w:p>
            <w:pPr>
              <w:jc w:val="right"/>
              <w:ind w:right="310"/>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472,049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683,867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88,092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38,806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Gain on sale of investments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(37,296)</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(6,989)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portion of special charge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Other non-cash activity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(91,875)</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106,446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(13,498)</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670,369</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short-term available-for-sale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(3,132,633)</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Maturities of short-term available-for-sale investments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4,829,822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2,334,311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of short-term available-for-sale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259,385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the sale of investments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related to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(96,665)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acquisitions,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Increase in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(6,683)</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(1,233,229)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(646,273)</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515,507</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Early termination of swap agreements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 repayments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(24,767)</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Dividend payments to shareholders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(206,802)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proceeds from employee stock plans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110,728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189,239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(Decrease) increase in other financing activities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37,296</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Net cash (used for) provided by financing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(285,880)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263,398</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(942,951)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287,821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1,070,000</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462,149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1,357,821</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2011 and related notes. The results of operations for the interim periods shown in this report are not necessarily indicative of the results that may be expected for the fiscal year ending November 3, 2012 or any future period.</w:t>
      </w:r>
    </w:p>
    <w:p>
      <w:pPr>
        <w:spacing w:after="0" w:line="10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sold its baseband chipset business and related support operations, or Baseband Chipset Business, to MediaTek Inc., during the first quarter of fiscal 2008. The Company has reflected the financial results of this business as discontinued operations in the condensed consolidated statements of income for all periods presented.</w:t>
      </w:r>
    </w:p>
    <w:p>
      <w:pPr>
        <w:spacing w:after="0" w:line="12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Certain amounts reported in previous years have been reclassified to conform to the fiscal 2012 presentation. Such reclassified amounts are immaterial. The Company has a 52-53 week fiscal year that ends on the Saturday closest to the last day in October. Fiscal 2012 is a 53-week fiscal year and fiscal 2011 was a 52-week fiscal year. The additional week in fiscal 2012 was included in the first quarter ended February 4, 2012. Therefore, the first nine months of fiscal 2012 included an additional week of operations as compared to the first nine months of fiscal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t>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133"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As of August 4, 2012 and October 29, 2011, the Company had gross deferred revenue of $312.0 million and $309.6 million, respectively, and gross deferred cost of sales of $65.3 million and $76.4 million, respectively. Deferred income on shipments to distributors increased in the first nine months of fiscal 2012 as a result of the Company’s shipments to its distributors exceeding the distributors’ sales to their customers during the same time period and a mix shift in favor of higher margin products in the channel.</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the three- and nine-month periods ended August 4, 2012 and July 30, 2011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generally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valuation model to calculate the grant-date fair value of stock option awards. The grant-date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restricted stock units represents the value of the Company’s common stock on the date of grant, reduced by the present value of dividends expected to be paid on the Company’s common stock prior to vesting.</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 and nine-month periods ended August 4, 2012 and July 30, 2011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August 4, 2012</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July 30, 2011</w:t>
            </w: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August 4, 2012</w:t>
            </w:r>
          </w:p>
        </w:tc>
        <w:tc>
          <w:tcPr>
            <w:tcW w:w="1520" w:type="dxa"/>
            <w:vAlign w:val="bottom"/>
          </w:tcPr>
          <w:p>
            <w:pPr>
              <w:jc w:val="right"/>
              <w:ind w:right="272"/>
              <w:spacing w:after="0"/>
              <w:rPr>
                <w:sz w:val="20"/>
                <w:szCs w:val="20"/>
                <w:color w:val="auto"/>
              </w:rPr>
            </w:pPr>
            <w:r>
              <w:rPr>
                <w:rFonts w:ascii="Arial" w:cs="Arial" w:eastAsia="Arial" w:hAnsi="Arial"/>
                <w:sz w:val="14"/>
                <w:szCs w:val="14"/>
                <w:b w:val="1"/>
                <w:bCs w:val="1"/>
                <w:color w:val="auto"/>
              </w:rPr>
              <w:t>July 30, 2011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1,980</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$37.61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$8.62</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75"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when 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17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estimate of the expected term of a new option, and that generally its employees exhibit similar exercise behavior.</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August 4, 2012.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nine-month periods ended July 30, 2011, the Company had a sufficient APIC pool to provide for any tax deficiencies recorded and as a result, these deficiencies did not affect its results of operations. During the three-month period ended February 4, 2012, the Company recognized $1.8 million of income tax expense resulting from tax shortfalls related to share-based compensation in its condensed consolidated statement of income. During the three-month periods ended May 5, 2012 and August 4, 2012, the Company recorded excess tax benefits of $0.3 million and $3.9 million, respectively. The Company applied these excess tax benefits to the income tax expense previously recorded during the three-month period ended February 4, 2012, resulting in no income tax expense related to share-based compensation for the nine month period ended August 4, 2012.</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4, 2012 and changes during the three- and nine-month periods then ended is presented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4, 2012</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260" w:type="dxa"/>
            <w:vAlign w:val="bottom"/>
          </w:tcPr>
          <w:p>
            <w:pPr>
              <w:spacing w:after="0"/>
              <w:rPr>
                <w:sz w:val="13"/>
                <w:szCs w:val="13"/>
                <w:color w:val="auto"/>
              </w:rPr>
            </w:pPr>
          </w:p>
        </w:tc>
        <w:tc>
          <w:tcPr>
            <w:tcW w:w="120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May 5, 2012</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30,438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August 4, 2012</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29,333</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262,212</w:t>
            </w:r>
          </w:p>
        </w:tc>
        <w:tc>
          <w:tcPr>
            <w:tcW w:w="0" w:type="dxa"/>
            <w:vAlign w:val="bottom"/>
          </w:tcPr>
          <w:p>
            <w:pPr>
              <w:spacing w:after="0"/>
              <w:rPr>
                <w:sz w:val="1"/>
                <w:szCs w:val="1"/>
                <w:color w:val="auto"/>
              </w:rPr>
            </w:pPr>
          </w:p>
        </w:tc>
      </w:tr>
      <w:tr>
        <w:trPr>
          <w:trHeight w:val="251"/>
        </w:trPr>
        <w:tc>
          <w:tcPr>
            <w:tcW w:w="52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August 4, 2012</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18,019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157,897</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August 4, 2012 (1)</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20" w:type="dxa"/>
            <w:vAlign w:val="bottom"/>
            <w:gridSpan w:val="3"/>
            <w:vMerge w:val="continue"/>
          </w:tcPr>
          <w:p>
            <w:pPr>
              <w:spacing w:after="0"/>
              <w:rPr>
                <w:sz w:val="21"/>
                <w:szCs w:val="21"/>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28,816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259,656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4, 2012</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October 29, 2011</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34,116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2,263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(358)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color w:val="auto"/>
              </w:rPr>
              <w:t>Options outstanding at August 4, 2012</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29,333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the three and nine months ended August 4, 2012, the total intrinsic value of options exercised (i.e. the difference between the market price at exercise and the price paid by the employee to exercise the options) was $15.6 million and $64.9 million, respectively, and the total amount of proceeds received by the Company from exercise of these options was $23.5 million and $111.3 million, respectively. Proceeds from stock option exercises pursuant to employee stock plans in the Company’s statement of cash flows during the nine months ended August 4, 2012 of $110.7 million are net of the value of shares surrendered by employees in certain limited circumstances to satisfy the exercise price of options and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1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the three and nine months ended July 30, 2011, the total intrinsic value of options exercised (i.e. the difference between the market price at exercise and the price paid by the employee to exercise the options) was $18.9 million and $88.6 million, respectively, and the total amount of proceeds received by the Company from exercise of these options was $41.2 million and $189.4 million, respectively. Proceeds from stock option exercises pursuant to employee stock plans in the Company’s statement of cash flows during the nine months ended July 30, 2011 of $189.2 million are net of the value of shares surrendered by employees in certain limited circumstances to satisfy the exercise price of options and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12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August 4, 2012 and changes during the three- and nine-month periods then ended is presented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4, 2012</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May 5, 2012</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2,830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August 4, 2012</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2,837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4, 2012</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October 29, 2011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2,088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882</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August 4, 2012</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2,837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August 4, 2012, there was $94.8 million of total unrecognized compensation cost related to unvested share-based awards comprised of stock options and restricted stock units. That cost is expected to be recognized over a weighted-average period of 1.4 years. The total grant-date fair value of shares that vested during the three and nine months ended August 4,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6" w:right="239" w:bottom="1440" w:gutter="0" w:footer="0" w:header="0"/>
        </w:sectPr>
      </w:pPr>
    </w:p>
    <w:bookmarkStart w:id="10" w:name="page11"/>
    <w:bookmarkEnd w:id="10"/>
    <w:p>
      <w:pPr>
        <w:ind w:right="220"/>
        <w:spacing w:after="0" w:line="277" w:lineRule="auto"/>
        <w:rPr>
          <w:sz w:val="20"/>
          <w:szCs w:val="20"/>
          <w:color w:val="auto"/>
        </w:rPr>
      </w:pPr>
      <w:r>
        <w:rPr>
          <w:rFonts w:ascii="Arial" w:cs="Arial" w:eastAsia="Arial" w:hAnsi="Arial"/>
          <w:sz w:val="18"/>
          <w:szCs w:val="18"/>
          <w:color w:val="auto"/>
        </w:rPr>
        <w:t>was approximately $0.6 million and $27.4 million, respectively. The total grant-date fair value of shares that vested during the three and nine months ended July 30, 2011 was approximately $0.4 million and $27.4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219,935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Change in unrealized holding gains (losses) (net of taxes of $319 and $17, respectively) on securities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classified as short-term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0"/>
              </w:rPr>
              <w:t>Change in unrealized holding losses (net of taxes of $0 and $62, respectively) on securities classified as other</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unrealized losses (net of taxes of $344 and $783, respectively) on derivative instruments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designated as cash flow hedges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plans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Transition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actuarial gain</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168,235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216,984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2"/>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677,367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7,614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Change in unrealized holding gains (net of taxes of $90 and $1, respectively) on securities classified as short-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0"/>
              </w:rPr>
              <w:t>Change in unrealized holding (losses) gains (net of taxes of $300 and $1, respectively) on securities classified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as other investments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unrealized losses (net of taxes of $757 and $334, respectively) on derivative instruments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designated as cash flow hedges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plans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Transition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actuarial gain (loss)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gain</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 from continuing operations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463,464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681,302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463,464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687,802</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loss, net of tax, at August 4, 2012 and October 29, 2011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6"/>
                <w:szCs w:val="16"/>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October 29,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695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gains on derivative instruments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1,687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Transition obligation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accumulated other comprehensive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aggregate fair value of investments with unrealized losses as of August 4, 2012 and October 29, 2011 was $1,357.5 million and $1,899.4 million, respectively. These unrealized losses were primarily related to commercial paper that earns lower interest rates than current market rates. None of these investments have been in a loss position for more than twelve months.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August 4, 2012 and October 29, 2011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29,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losses on securities classified as short-term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Realized gains or losses on investments are determined based on the specific identification basis and are recognized in nonoperating (income) expense. Gross realized gains of approximately $1.3 million and gross realized losses of approximately $0.1 million on sales of available-for-sale investments were recognized in the nine-month period ended August 4, 2012. There were no material net realized gains or losses from the sales of available-for-sale investments during any other of the fiscal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August 4, 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169,768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219,935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3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299,616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3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3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298,445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299,616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3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w w:val="99"/>
              </w:rPr>
              <w:t>Weighted-average common and common equivalent shares</w:t>
            </w:r>
          </w:p>
        </w:tc>
        <w:tc>
          <w:tcPr>
            <w:tcW w:w="3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305,359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308,744</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3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anti-dilutive shares related to:</w:t>
            </w: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3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200" w:type="dxa"/>
            <w:vAlign w:val="bottom"/>
          </w:tcPr>
          <w:p>
            <w:pPr>
              <w:jc w:val="right"/>
              <w:ind w:right="24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683,867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305,604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309,070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anti-dilutive shares related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94"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and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October 29, 2011 to August 4, 2012 of the employee separation and exit cost accruals established related to these actions.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Reduction of Operating Costs</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34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7,966</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Facility closure costs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items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95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8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Reduction of</w:t>
            </w:r>
          </w:p>
        </w:tc>
        <w:tc>
          <w:tcPr>
            <w:tcW w:w="0" w:type="dxa"/>
            <w:vAlign w:val="bottom"/>
          </w:tcPr>
          <w:p>
            <w:pPr>
              <w:spacing w:after="0"/>
              <w:rPr>
                <w:sz w:val="1"/>
                <w:szCs w:val="1"/>
                <w:color w:val="auto"/>
              </w:rPr>
            </w:pPr>
          </w:p>
        </w:tc>
      </w:tr>
      <w:tr>
        <w:trPr>
          <w:trHeight w:val="158"/>
        </w:trPr>
        <w:tc>
          <w:tcPr>
            <w:tcW w:w="9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w w:val="95"/>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29,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First quarter fiscal 2012 special charges</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February 4, 2012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May 5, 2012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 fiscal 2012 special charges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closure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August 4, 2012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fiscal 2008 through fiscal 2010, the Company recorded special charges of approximately $43.3 million. These special charges included: $39.1 million for severance and fringe benefit costs in accordance with its ongoing benefit plan or statutory requirements at foreign locations for 245 manufacturing employees and 470 engineering and selling, marketing, general and administrative (SMG&amp;A) employees; $2.1 million for lease obligation costs for facilities that the Company ceased using during the first quarter of fiscal 2009; $0.8 million for the write-off of property, plant and equipment; $0.5 million for contract termination costs and $0.3 million for clean-up and closure costs that were expensed as incurred; and $0.5 million related to the impairment of intellectual property. The Company terminated the employment of all employees associated with these actions.</w:t>
      </w:r>
    </w:p>
    <w:p>
      <w:pPr>
        <w:spacing w:after="0" w:line="12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fiscal 2011, the Company recorded a special charge of approximately $2.2 million for severance and fringe benefit costs in accordance with its ongoing benefit plan or statutory requirements at foreign locations for 25 engineering and SMG&amp;A employees. As of August 4, 2012, the Company employed 2 of the 25 employees included in this cost reduction action. These employees must continue to be employed by the Company until their employment is involuntarily terminated in order to receive the severance benefit.</w:t>
      </w:r>
    </w:p>
    <w:p>
      <w:pPr>
        <w:spacing w:after="0" w:line="13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first quarter of fiscal 2012, the Company recorded a special charge of approximately $2.6 million. The special charge included $2.5 million for severance and fringe benefit costs in accordance with its ongoing benefit plan or statutory requirements at foreign locations for 34 manufacturing, engineering and SMG&amp;A employees and $0.1 million for contract termination costs. The Company terminated the employment of all employees associated with these actions and is paying amounts owed to them as income continuance.</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During the third quarter of fiscal 2012, the Company recorded a special charge of approximately $5.8 million. The special charge included $5.4 million for severance and fringe benefits costs in accordance with its ongoing benefit plan or statutory requirements at foreign locations for 61 manufacturing, engineering and SMG&amp;A employees; $0.2 million for lease obligation costs for facilities that the Company ceased using during the third quarter of fiscal 2012 and $0.2 million for the write-off of property, plant and equipment. As of August 4, 2012, the Company employed 25 of the 61 employees included in this cost reduction action. These employees must continue to be employed by the Company until their employment is involuntarily terminated in order to receive the severance benefit.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26" w:right="239" w:bottom="1440" w:gutter="0" w:footer="0" w:header="0"/>
        </w:sectPr>
      </w:pPr>
    </w:p>
    <w:bookmarkStart w:id="14" w:name="page15"/>
    <w:bookmarkEnd w:id="14"/>
    <w:p>
      <w:pPr>
        <w:ind w:right="160"/>
        <w:spacing w:after="0" w:line="277" w:lineRule="auto"/>
        <w:rPr>
          <w:sz w:val="20"/>
          <w:szCs w:val="20"/>
          <w:color w:val="auto"/>
        </w:rPr>
      </w:pPr>
      <w:r>
        <w:rPr>
          <w:rFonts w:ascii="Arial" w:cs="Arial" w:eastAsia="Arial" w:hAnsi="Arial"/>
          <w:sz w:val="18"/>
          <w:szCs w:val="18"/>
          <w:color w:val="auto"/>
        </w:rPr>
        <w:t>over time. When this occurs, the Company reclassifies revenue by end market for prior periods. Such reclassifications typically do not materially change the sizing of, or the underlying trends of results within, each end market.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322,295</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367,511</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102,160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108,905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134,771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137,171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153,460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683,026</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757,902</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August 4, 2012</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Revenue*</w:t>
            </w: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935,054</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1,094,316</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353,232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304,620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333,049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415,056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463,194</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2,006,178</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2,277,186</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8890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8890</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-130175</wp:posOffset>
            </wp:positionV>
            <wp:extent cx="1697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-130175</wp:posOffset>
            </wp:positionV>
            <wp:extent cx="1697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2"/>
              </w:rPr>
              <w:t>July 30, 2011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15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Y/Y%</w:t>
            </w:r>
          </w:p>
        </w:tc>
        <w:tc>
          <w:tcPr>
            <w:tcW w:w="260" w:type="dxa"/>
            <w:vAlign w:val="bottom"/>
          </w:tcPr>
          <w:p>
            <w:pPr>
              <w:spacing w:after="0"/>
              <w:rPr>
                <w:sz w:val="13"/>
                <w:szCs w:val="13"/>
                <w:color w:val="auto"/>
              </w:rPr>
            </w:pPr>
          </w:p>
        </w:tc>
        <w:tc>
          <w:tcPr>
            <w:tcW w:w="16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Revenue*</w:t>
            </w:r>
          </w:p>
        </w:tc>
        <w:tc>
          <w:tcPr>
            <w:tcW w:w="1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w w:val="90"/>
              </w:rPr>
              <w:t>Revenue*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180,939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197,447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98,269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106,702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578,802</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641,388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624,203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696,345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58,823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683,026</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757,902</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8890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8890</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p>
    <w:p>
      <w:pPr>
        <w:jc w:val="right"/>
        <w:ind w:left="5620" w:right="5580" w:hanging="5612"/>
        <w:spacing w:after="0" w:line="941" w:lineRule="auto"/>
        <w:tabs>
          <w:tab w:leader="none" w:pos="13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 of the individual percentages does not equal the total due to rounding.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-915035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-915035</wp:posOffset>
            </wp:positionV>
            <wp:extent cx="1818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523,208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605,593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285,293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309,146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1,693,272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1,934,933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136,326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164,442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1,829,598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2,099,375</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176,580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177,811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2,006,178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2,277,186</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During the second quarter of fiscal 2012, the Company revised its method for classifying revenue by geographic region to more accurately reflect the primary location of our customers’ design activity for our products. Prior periods have been reclassified to align with this definition. In general, the prior classification method reflected the customers’ manufacturing location or the distributors’ stocking territory. No changes have been made to the Company’s revenue recognition policy. Revenue by geographic region for the three- and nine-month periods ended August 4, 2012 and July 30, 2011 was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30, 2011</w:t>
            </w:r>
          </w:p>
        </w:tc>
        <w:tc>
          <w:tcPr>
            <w:tcW w:w="200" w:type="dxa"/>
            <w:vAlign w:val="bottom"/>
          </w:tcPr>
          <w:p>
            <w:pPr>
              <w:spacing w:after="0"/>
              <w:rPr>
                <w:sz w:val="19"/>
                <w:szCs w:val="19"/>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July 30, 2011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659,094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87,533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112,032</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738,718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87,169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96,730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254,195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292,010</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282,993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62,084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179,596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192,339</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683,026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757,902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2,006,178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2,277,186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700" w:firstLine="432"/>
        <w:spacing w:after="0" w:line="264" w:lineRule="auto"/>
        <w:rPr>
          <w:sz w:val="20"/>
          <w:szCs w:val="20"/>
          <w:color w:val="auto"/>
        </w:rPr>
      </w:pPr>
      <w:r>
        <w:rPr>
          <w:rFonts w:ascii="Arial" w:cs="Arial" w:eastAsia="Arial" w:hAnsi="Arial"/>
          <w:sz w:val="18"/>
          <w:szCs w:val="18"/>
          <w:color w:val="auto"/>
        </w:rPr>
        <w:t>In the three- and nine-month periods ended August 4, 2012 and July 30,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for the asset or liability at the measurement date.</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August 4, 2012 and October 29, 2011. The tables exclude cash on hand and assets and liabilities that are measured at historical cost or any basis other than fair value. As of August 4, 2012 and October 29, 2011, the Company held $154.5 million and $31.6 million, respectively, of cash and held-to-maturity investments that were excluded from the tables below.</w:t>
      </w:r>
    </w:p>
    <w:p>
      <w:pPr>
        <w:spacing w:after="0" w:line="125"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August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110,313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110,313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2,745,579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2,745,579</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210,068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210,068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167,773</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50,002</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27,850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138,163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3,638,436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August 4, 2012 was $3,242.5 million.</w:t>
      </w:r>
    </w:p>
    <w:p>
      <w:pPr>
        <w:spacing w:after="0" w:line="23" w:lineRule="exact"/>
        <w:rPr>
          <w:rFonts w:ascii="Arial" w:cs="Arial" w:eastAsia="Arial" w:hAnsi="Arial"/>
          <w:sz w:val="18"/>
          <w:szCs w:val="18"/>
          <w:color w:val="auto"/>
        </w:rPr>
      </w:pPr>
    </w:p>
    <w:p>
      <w:pPr>
        <w:ind w:left="660" w:right="40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August 4, 2012, contracts in an asset position of $1.1 million were netted against contracts in a liability position in the condensed consolidated balance sheet.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ind w:left="7780"/>
        <w:spacing w:after="0"/>
        <w:rPr>
          <w:sz w:val="20"/>
          <w:szCs w:val="20"/>
          <w:color w:val="auto"/>
        </w:rPr>
      </w:pPr>
      <w:r>
        <w:rPr>
          <w:rFonts w:ascii="Arial" w:cs="Arial" w:eastAsia="Arial" w:hAnsi="Arial"/>
          <w:sz w:val="14"/>
          <w:szCs w:val="14"/>
          <w:b w:val="1"/>
          <w:bCs w:val="1"/>
          <w:color w:val="auto"/>
        </w:rPr>
        <w:t>October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1,278,121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1,278,121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2,169,078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2,169,078</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1,305,666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2,307,389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3,613,055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$375 million aggregate principal 5.0% debt (3)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396,337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396,337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396,337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410,310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29, 2011 was $2,284.9 million.</w:t>
      </w:r>
    </w:p>
    <w:p>
      <w:pPr>
        <w:spacing w:after="0" w:line="23" w:lineRule="exact"/>
        <w:rPr>
          <w:rFonts w:ascii="Arial" w:cs="Arial" w:eastAsia="Arial" w:hAnsi="Arial"/>
          <w:sz w:val="18"/>
          <w:szCs w:val="18"/>
          <w:color w:val="auto"/>
        </w:rPr>
      </w:pPr>
    </w:p>
    <w:p>
      <w:pPr>
        <w:ind w:left="660" w:right="14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October 29, 2011, contracts in a liability position of $0.8 million were netted against contracts in an asset position in the condensed consolidated balance sheet.</w:t>
      </w:r>
    </w:p>
    <w:p>
      <w:pPr>
        <w:ind w:left="660" w:right="280" w:hanging="328"/>
        <w:spacing w:after="0" w:line="32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Equal to the accreted notional value of the debt plus the fair value of the interest rate component of the long-term debt. The fair value of the long-term debt as of October 29, 2011 was $413.4 million, which is classified as a level 1 measurement according to the fair value hierarchy.</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third-party banks.</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8" w:right="239" w:bottom="1440" w:gutter="0" w:footer="0" w:header="0"/>
        </w:sectPr>
      </w:pPr>
    </w:p>
    <w:bookmarkStart w:id="18" w:name="page19"/>
    <w:bookmarkEnd w:id="18"/>
    <w:p>
      <w:pPr>
        <w:ind w:right="300"/>
        <w:spacing w:after="0" w:line="264" w:lineRule="auto"/>
        <w:rPr>
          <w:sz w:val="20"/>
          <w:szCs w:val="20"/>
          <w:color w:val="auto"/>
        </w:rPr>
      </w:pPr>
      <w:r>
        <w:rPr>
          <w:rFonts w:ascii="Arial" w:cs="Arial" w:eastAsia="Arial" w:hAnsi="Arial"/>
          <w:sz w:val="18"/>
          <w:szCs w:val="18"/>
          <w:color w:val="auto"/>
        </w:rPr>
        <w:t>contracts, which includes 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which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$13,000</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7% - 10%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1 - 16 months</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could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October 29, 2011 and August 4,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30, 2010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 (1)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13,973</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Payment made (2)</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(1)</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4, 2012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12,316</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condensed consolidated statements of income.</w:t>
      </w:r>
    </w:p>
    <w:p>
      <w:pPr>
        <w:spacing w:after="0" w:line="23" w:lineRule="exact"/>
        <w:rPr>
          <w:rFonts w:ascii="Arial" w:cs="Arial" w:eastAsia="Arial" w:hAnsi="Arial"/>
          <w:sz w:val="18"/>
          <w:szCs w:val="18"/>
          <w:color w:val="auto"/>
        </w:rPr>
      </w:pPr>
    </w:p>
    <w:p>
      <w:pPr>
        <w:ind w:left="660" w:right="200" w:hanging="328"/>
        <w:spacing w:after="0" w:line="29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June 30, 2009, the Company issued $375.0 million aggregate principal amount of 5.0% senior unsecured notes due July 1, 2014 (the 5.0% Notes) with semi-annual fixed interest payments due on January 1 and July 1 of each year, commencing January 1, 2010 . Based on quotes received from third-party banks, the fair value of the 5.0% Notes as of August 4, 2012 was $405.7 million and is classified as a Level 1 measurement according to the fair value hierarchy.</w:t>
      </w:r>
    </w:p>
    <w:p>
      <w:pPr>
        <w:spacing w:after="0" w:line="133"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August 4, 2012 and October 29, 2011 was $403.9 million and $392.8 million, respectively and is classified as a Level 1 measurement according to the fair value hierarchy.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spacing w:after="0" w:line="285" w:lineRule="auto"/>
        <w:rPr>
          <w:sz w:val="20"/>
          <w:szCs w:val="20"/>
          <w:color w:val="auto"/>
        </w:rPr>
      </w:pPr>
      <w:r>
        <w:rPr>
          <w:rFonts w:ascii="Arial" w:cs="Arial" w:eastAsia="Arial" w:hAnsi="Arial"/>
          <w:sz w:val="16"/>
          <w:szCs w:val="16"/>
          <w:color w:val="auto"/>
        </w:rPr>
        <w:t>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August 4, 2012 and October 29, 2011, the total notional amount of these undesignated hedges was $28.7 million and $41.2 million, respectively. The fair value of these hedging instruments in the Company’s condensed consolidated balance sheets as of August 4, 2012 and October 29, 2011 was immaterial.</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w:t>
      </w:r>
    </w:p>
    <w:p>
      <w:pPr>
        <w:spacing w:after="0" w:line="3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5.0% senior unsecured notes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w:t>
      </w:r>
    </w:p>
    <w:p>
      <w:pPr>
        <w:spacing w:after="0" w:line="2" w:lineRule="exact"/>
        <w:rPr>
          <w:sz w:val="20"/>
          <w:szCs w:val="20"/>
          <w:color w:val="auto"/>
        </w:rPr>
      </w:pPr>
    </w:p>
    <w:p>
      <w:pPr>
        <w:ind w:right="20" w:firstLine="8"/>
        <w:spacing w:after="0" w:line="269"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 on the $375.0 million notional amount an annual three months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nine-month periods ended August 4, 2012 and July 30, 2011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9"/>
              </w:rPr>
              <w:t>August 4, 2012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July 30, 2011</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income classification</w:t>
            </w:r>
          </w:p>
        </w:tc>
        <w:tc>
          <w:tcPr>
            <w:tcW w:w="160" w:type="dxa"/>
            <w:vAlign w:val="bottom"/>
          </w:tcPr>
          <w:p>
            <w:pPr>
              <w:spacing w:after="0"/>
              <w:rPr>
                <w:sz w:val="19"/>
                <w:szCs w:val="19"/>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w w:val="90"/>
              </w:rPr>
              <w:t>Loss on Swaps</w:t>
            </w:r>
          </w:p>
        </w:tc>
        <w:tc>
          <w:tcPr>
            <w:tcW w:w="260" w:type="dxa"/>
            <w:vAlign w:val="bottom"/>
          </w:tcPr>
          <w:p>
            <w:pPr>
              <w:spacing w:after="0"/>
              <w:rPr>
                <w:sz w:val="19"/>
                <w:szCs w:val="19"/>
                <w:color w:val="auto"/>
              </w:rPr>
            </w:pP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w w:val="96"/>
              </w:rPr>
              <w:t>Gain on Note</w:t>
            </w:r>
          </w:p>
        </w:tc>
        <w:tc>
          <w:tcPr>
            <w:tcW w:w="22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Effect</w:t>
            </w: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 on Swaps</w:t>
            </w:r>
          </w:p>
        </w:tc>
        <w:tc>
          <w:tcPr>
            <w:tcW w:w="18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 on Note</w:t>
            </w:r>
          </w:p>
        </w:tc>
        <w:tc>
          <w:tcPr>
            <w:tcW w:w="16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Net Income Effect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12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August 4, 2012,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ind w:right="520"/>
        <w:spacing w:after="0" w:line="259" w:lineRule="auto"/>
        <w:rPr>
          <w:sz w:val="20"/>
          <w:szCs w:val="20"/>
          <w:color w:val="auto"/>
        </w:rPr>
      </w:pPr>
      <w:r>
        <w:rPr>
          <w:rFonts w:ascii="Arial" w:cs="Arial" w:eastAsia="Arial" w:hAnsi="Arial"/>
          <w:sz w:val="18"/>
          <w:szCs w:val="18"/>
          <w:color w:val="auto"/>
        </w:rPr>
        <w:t>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8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the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1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total notional amounts of derivative instruments designated as hedging instruments was $147.5 million and $153.7 million, respectively, of cash flow hedges denominated in Euros, British Pounds, Philippine Pesos and Japanese Yen as of August 4, 2012 and October 29, 2011, respectively. The Company also had $375.0 million of interest rate swap agreements accounted for as fair value hedges as of October 29, 2011. The fair values of these hedging instruments in the Company’s condensed consolidated balance sheets as of August 4, 2012 and October 29, 2011 were as follows:</w:t>
      </w:r>
    </w:p>
    <w:p>
      <w:pPr>
        <w:spacing w:after="0" w:line="366"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Fair Value At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580" w:type="dxa"/>
            <w:vAlign w:val="bottom"/>
            <w:tcBorders>
              <w:top w:val="single" w:sz="8" w:color="CCEEFF"/>
            </w:tcBorders>
            <w:shd w:val="clear" w:color="auto" w:fill="CCEEFF"/>
          </w:tcPr>
          <w:p>
            <w:pPr>
              <w:spacing w:after="0"/>
              <w:rPr>
                <w:sz w:val="23"/>
                <w:szCs w:val="23"/>
                <w:color w:val="auto"/>
              </w:rPr>
            </w:pPr>
          </w:p>
        </w:tc>
        <w:tc>
          <w:tcPr>
            <w:tcW w:w="3660" w:type="dxa"/>
            <w:vAlign w:val="bottom"/>
            <w:tcBorders>
              <w:top w:val="single" w:sz="8" w:color="CCEEFF"/>
              <w:bottom w:val="single" w:sz="8" w:color="auto"/>
            </w:tcBorders>
            <w:shd w:val="clear" w:color="auto" w:fill="CCEEFF"/>
          </w:tcPr>
          <w:p>
            <w:pPr>
              <w:ind w:left="11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w w:val="99"/>
              </w:rPr>
              <w:t>August 4, 2012</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4"/>
              </w:rPr>
              <w:t>October 29, 2011</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22,187</w:t>
            </w:r>
          </w:p>
        </w:tc>
      </w:tr>
      <w:tr>
        <w:trPr>
          <w:trHeight w:val="27"/>
        </w:trPr>
        <w:tc>
          <w:tcPr>
            <w:tcW w:w="45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2,038</w:t>
            </w:r>
          </w:p>
        </w:tc>
      </w:tr>
      <w:tr>
        <w:trPr>
          <w:trHeight w:val="243"/>
        </w:trPr>
        <w:tc>
          <w:tcPr>
            <w:tcW w:w="458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effect of derivative instruments designated as cash flow hedges on the condensed consolidated statements of income for the three- and nine-month periods ended August 4, 2012 and July 30, 2011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recognized in OCI on derivatives (net of tax of $862 in 2012 and $351 in 2011)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(gain) reclassified from OCI into income (net of tax of $517 in 2012 and $432 in 2011)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548"/>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recognized in OCI on derivatives (net of tax of $1,807 in 2012 and $693 in 2011)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(gain) reclassified from OCI into income (net of tax of $1,049 in 2012 and $1,027 in 2011)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(6,856)</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amounts reclassified into earnings before tax are recognized in cost of sales and operating expenses for the three-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4, 2012 and July 30, 2011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50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August 4, 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833</w:t>
            </w:r>
          </w:p>
        </w:tc>
      </w:tr>
      <w:tr>
        <w:trPr>
          <w:trHeight w:val="27"/>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4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w:t>
            </w:r>
          </w:p>
        </w:tc>
      </w:tr>
      <w:tr>
        <w:trPr>
          <w:trHeight w:val="648"/>
        </w:trPr>
        <w:tc>
          <w:tcPr>
            <w:tcW w:w="4500" w:type="dxa"/>
            <w:vAlign w:val="bottom"/>
          </w:tcPr>
          <w:p>
            <w:pPr>
              <w:spacing w:after="0"/>
              <w:rPr>
                <w:sz w:val="24"/>
                <w:szCs w:val="24"/>
                <w:color w:val="auto"/>
              </w:rPr>
            </w:pPr>
          </w:p>
        </w:tc>
        <w:tc>
          <w:tcPr>
            <w:tcW w:w="3840" w:type="dxa"/>
            <w:vAlign w:val="bottom"/>
          </w:tcPr>
          <w:p>
            <w:pPr>
              <w:jc w:val="right"/>
              <w:ind w:right="245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2,029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2,070</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three-and nine-month periods ended August 4, 2012 and July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 assessment that occurred on July 31, 2011,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performed as of the first day of the fourth quarter of fiscal 2012. The following table presents the changes in goodwill during the first nine months of fiscal 2012:</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376"/>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9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August 4, 2012</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275,087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Acquisition of Multigig (Note 16)</w:t>
            </w: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6,878</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279,363</w:t>
            </w:r>
          </w:p>
        </w:tc>
      </w:tr>
      <w:tr>
        <w:trPr>
          <w:trHeight w:val="27"/>
        </w:trPr>
        <w:tc>
          <w:tcPr>
            <w:tcW w:w="9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October 29, 2011, the Company’s finite-lived intangible assets were fully amortized. As of August 4, 2012, the Company’s finite-lived intangible assets consisted of the following which related to the acquisition of Multigig, Inc. (Note 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August 4, 2012</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2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Amortization expense related to finite-lived intangible assets was immaterial for the three- and nine-month periods ended August 4, 2012 and was $0.3 million and $1.1 million for the three- and nine-month periods ended July 30, 2011, respectively. The remaining amortization expense will be recognized over a weighted-average period of approximately 2.5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38" w:right="23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6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6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44"/>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Remaining of fiscal year 2012</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$220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$220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$92</w:t>
            </w:r>
          </w:p>
        </w:tc>
      </w:tr>
    </w:tbl>
    <w:p>
      <w:pPr>
        <w:spacing w:after="0" w:line="17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1) or more frequently if indicators of impairment exist. The impairment test involves the comparison of the fair value of the intangible asset with its carrying amount. No impairment of intangible assets resulted in any of the fiscal years presented.</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Indefinite-lived intangible assets consisted of $27.8 million and $12.2 million of IPR&amp;D as of August 4, 2012 and October 29, 2011,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2,916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periodic pension cost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2,880</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2"/>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8,544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periodic pension cost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8,447</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Pension contributions of $3.5 million and $9.1 million were made by the Company during the three and nine months ended August 4, 2012, respectively. The Company presently anticipates contributing an additional $1.1 million to fund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defined benefit pension plans in fiscal year 2012 for a total of $10.2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of August 4, 2012, the Company had $3,765.0 million of cash and cash equivalents and short-term investments, of which $1,007.3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$165.0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the facility impose restrictions on the Company’s ability to undertake certain transactions, to create certain liens on assets and to incur certain subsidiary indebtedness. The terms of this facility also include financial covenants that require the Company to maintain a minimum interest coverage ratio and not exceed a maximum leverage ratio. As of August 4, 2012, the Company was compliant with these covenants.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4, 2012, the Company was compliant with these covenants. The notes are subordinated to any future secured debt and to the other liabilities of the Company’s subsidiaries.</w:t>
      </w:r>
    </w:p>
    <w:p>
      <w:pPr>
        <w:spacing w:after="0" w:line="128"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 (ii) pay on the $375.0 million notional amount an annual three month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12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$145.0 million, which matures on December 22, 2013. The terms of the agreement provide for a three year principal amortization schedule with $3.6 million payable quarterly every March, June, September and December with the balance payable upon the maturity date. During the third quarter of fiscal 2011, the Company made an additional principal payment of $17.5 million. During the first quarter of fiscal 2012, the Company made an additional principal payment of $12.0 million. The loan will bear interest at a fluctuating rate for each period equal to the LIBOR rate corresponding with the tenor of the interest period plus a spread of 1.25% (1.72% as of August 4, 2012).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August 4, 2012, the Company was compliant with these covenants. As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August 4, 2012, $14.5 million of this debt was classified as short-term.</w:t>
      </w:r>
    </w:p>
    <w:p>
      <w:pPr>
        <w:spacing w:after="0" w:line="17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4, 2012,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principal payments related to its long-term debt obligations are as follows: $3.6 million remaining in fiscal year 2012; $14.5 million in fiscal year 2013; $450.6 million in fiscal year 2014; and $375.0 million in fiscal year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94"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$5.0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August 4, 2012, the Company had repurchased a total of approximately 128.6 million shares of its common stock for approximately $4,418.2 million under this program. An additional $581.8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9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During fiscal 2008, the Company completed the sale of its Baseband Chipset Business for net cash proceeds of $269.0 million. The Company made cash payments of $1.7 million during fiscal 2009 related to retention payments for employees who transferred to MediaTek Inc. and for the reimbursement of intellectual property license fees incurred by MediaTek. During fiscal 2010, the Company received cash proceeds of $62.0 million as a result of the receipt of a refundable withholding tax and also recorded an additional gain on sale of $0.3 million, or $0.2 million net of tax, due to the settlement of certain items at less than the amounts accrued. In fiscal 2011, additional proceeds of $10.0 million were released from escrow and $6.5 million, net of tax, was recorded as additional gain from the sale of discontinued operations. The Company does not expect any additional proceeds from this sale.</w:t>
      </w:r>
    </w:p>
    <w:p>
      <w:pPr>
        <w:spacing w:after="0" w:line="14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amounts related to the Baseband Chipset Business have been segregated from continuing operations and reported as discontinued operations.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9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July 30, 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3,500</w:t>
            </w:r>
          </w:p>
        </w:tc>
      </w:tr>
      <w:tr>
        <w:trPr>
          <w:trHeight w:val="27"/>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6,500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March 30, 2012, the Company acquired privately-held Multigig, Inc. (Multigig) of San Jose, California. The acquisition of Multigig is expected to enhance the Company’s clocking capabilities in stand-alone and embedded applications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t>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is payable within 15 months of the transaction date, which is included in accrued liabilities in the condensed consolidated balance sheet as of August 4, 2012. During the third quarter of fiscal 2012, we reduced this holdback amount by $0.1 million as a result of indemnification claims made by the Company. The Company’s assessment of fair value to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The acquisition accounting is not complete and adjustments may be recorded to deferred tax assets in future periods due to the evaluation of net operating loss carryforwards.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August 4, 2012, no royalty payments have been made. The Company recognized $0.5 million of acquisition-related costs that were expensed in the second quarter of fiscal 2012, which were included in operating expenses in the condensed consolidated statement of income.</w:t>
      </w:r>
    </w:p>
    <w:p>
      <w:pPr>
        <w:spacing w:after="0" w:line="129"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August 4, 2012, the Company had paid $2.0 million in contingent consideration. The payment is reflected in the statements of cash flows as cash used in financing activities related to the liability recognized at fair value as of the acquisition date and cash provided by operating activities related to the fair value adjustments previously recognized in earnings. The fair value of the remaining contingent consideration was approximately $12.3 million as of August 4, 2012, of which $7.8 million is included in accrued liabilities and $4.5 million is included in other non-current liabilities in the condensed consolidated balance sheet. The Company’s assessment of fair value to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August 4, 2012, no royalty payments have been made. The Company recognized $0.2 million of acquisition-related costs that were expensed in the third quarter of fiscal 2011, which were included in operating expenses in the condensed consolidated statement of income.</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Multigig and Lyric herein as they were not material to the Company on either an individual or an aggregate basis. The Company included the results of operations of each acquisition in its consolidated statement of income from the date of each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6" w:name="page27"/>
    <w:bookmarkEnd w:id="26"/>
    <w:p>
      <w:pPr>
        <w:ind w:right="20" w:firstLine="432"/>
        <w:spacing w:after="0" w:line="279" w:lineRule="auto"/>
        <w:rPr>
          <w:sz w:val="20"/>
          <w:szCs w:val="20"/>
          <w:color w:val="auto"/>
        </w:rPr>
      </w:pPr>
      <w:r>
        <w:rPr>
          <w:rFonts w:ascii="Arial" w:cs="Arial" w:eastAsia="Arial" w:hAnsi="Arial"/>
          <w:sz w:val="17"/>
          <w:szCs w:val="17"/>
          <w:color w:val="auto"/>
        </w:rPr>
        <w:t>The Company has filed a petition with the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Company’s U.S. federal tax returns prior to fiscal year 2009 are no longer subject to examination.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Company’s Ireland tax returns prior to fiscal year 2008 are no longer subject to examination.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Unrealized Tax Benefits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changes in the total amounts of unrealized tax benefits for the three and nine months ended August 4, 2012.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October 29, 2011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Settlements with taxing authorities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(3,488)</w:t>
            </w:r>
          </w:p>
        </w:tc>
      </w:tr>
      <w:tr>
        <w:trPr>
          <w:trHeight w:val="27"/>
        </w:trPr>
        <w:tc>
          <w:tcPr>
            <w:tcW w:w="10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February 4, 2012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Settlements with taxing authorities</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5, 2012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w:t>
            </w:r>
          </w:p>
        </w:tc>
      </w:tr>
      <w:tr>
        <w:trPr>
          <w:trHeight w:val="27"/>
        </w:trPr>
        <w:tc>
          <w:tcPr>
            <w:tcW w:w="10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4, 2012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Intangibles – Goodwill and Other</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In December 2010, the Financial Accounting Standards Board (FASB) issued ASU No. 2010-28, </w:t>
      </w:r>
      <w:r>
        <w:rPr>
          <w:rFonts w:ascii="Arial" w:cs="Arial" w:eastAsia="Arial" w:hAnsi="Arial"/>
          <w:sz w:val="18"/>
          <w:szCs w:val="18"/>
          <w:i w:val="1"/>
          <w:iCs w:val="1"/>
          <w:color w:val="auto"/>
        </w:rPr>
        <w:t>Intangibles - Goodwill and Other (ASC Topic 350)</w:t>
      </w:r>
      <w:r>
        <w:rPr>
          <w:rFonts w:ascii="Arial" w:cs="Arial" w:eastAsia="Arial" w:hAnsi="Arial"/>
          <w:sz w:val="18"/>
          <w:szCs w:val="18"/>
          <w:color w:val="auto"/>
        </w:rPr>
        <w:t xml:space="preserve"> (ASU No. 2010-28). ASU No. 2010-28 modifies Step 1 of the goodwill impairment test for reporting units with zero or negative carrying amounts. For those reporting units, an entity is required to perform Step 2 of the goodwill impairment test only if it is more likely than not that a goodwill impairment exists. In determining whether it is more likely than not that a goodwill impairment exists, an entity should consider whether there are any adverse qualitative factors indicating that an impairment may exist. ASU No. 2010-28 is effective for fiscal years that begin after December 15, 2010, which is the Company’s fiscal year 2012. The adoption of ASU No. 2010-28 in the first quarter of fiscal 2012 did not have a material impact on the Company’s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Intangibles – Goodwill and Other</w:t>
      </w:r>
    </w:p>
    <w:p>
      <w:pPr>
        <w:spacing w:after="0" w:line="9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July 2012, the FASB issued ASU No. 2012-02</w:t>
      </w:r>
      <w:r>
        <w:rPr>
          <w:rFonts w:ascii="Arial" w:cs="Arial" w:eastAsia="Arial" w:hAnsi="Arial"/>
          <w:sz w:val="18"/>
          <w:szCs w:val="18"/>
          <w:i w:val="1"/>
          <w:iCs w:val="1"/>
          <w:color w:val="auto"/>
        </w:rPr>
        <w:t>, Intangibles - Goodwill and Other (ASC Topic 350) Testing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No. 2012-02). ASU No. 2012-02 permits an entity to first assess qualitative factors to determine whether it is more likely than not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indefinite-lived intangible asset is impaired as a basis for determining whether it is necessary to perform the quantitative impairment test in accordance with Subtopic 350-30, Intangibles-Goodwill and Other-General Intangibles Other than Goodwill. ASU No. 2012-02 is effective for fiscal years that begin after September 15, 2012, which is the Company’s fiscal year 2013. The adoption of ASU No. 2012-02 will not impact the Company’s financial condition or results of operations.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 xml:space="preserve">In December 2011, the FASB issued ASU No. 2011-11, </w:t>
      </w:r>
      <w:r>
        <w:rPr>
          <w:rFonts w:ascii="Arial" w:cs="Arial" w:eastAsia="Arial" w:hAnsi="Arial"/>
          <w:sz w:val="18"/>
          <w:szCs w:val="18"/>
          <w:i w:val="1"/>
          <w:iCs w:val="1"/>
          <w:color w:val="auto"/>
        </w:rPr>
        <w:t>Disclosures about Offsetting Assets and Liabilities</w:t>
      </w:r>
      <w:r>
        <w:rPr>
          <w:rFonts w:ascii="Arial" w:cs="Arial" w:eastAsia="Arial" w:hAnsi="Arial"/>
          <w:sz w:val="18"/>
          <w:szCs w:val="18"/>
          <w:color w:val="auto"/>
        </w:rPr>
        <w:t xml:space="preserve"> (ASU No. 2011-11). ASU No. 2011-11 amended ASC 210,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7" w:name="page28"/>
    <w:bookmarkEnd w:id="27"/>
    <w:p>
      <w:pPr>
        <w:ind w:right="120"/>
        <w:spacing w:after="0" w:line="286" w:lineRule="auto"/>
        <w:rPr>
          <w:sz w:val="20"/>
          <w:szCs w:val="20"/>
          <w:color w:val="auto"/>
        </w:rPr>
      </w:pPr>
      <w:r>
        <w:rPr>
          <w:rFonts w:ascii="Arial" w:cs="Arial" w:eastAsia="Arial" w:hAnsi="Arial"/>
          <w:sz w:val="17"/>
          <w:szCs w:val="17"/>
          <w:color w:val="auto"/>
        </w:rPr>
        <w:t>and transactions subject to an agreement similar to a master netting arrangement. ASU No. 2011-11 is effective for fiscal years, and interim periods within those years, beginning after January 1, 2013, which is the Company’s fiscal year 2014. The adoption of ASU No. 2011-11 will require additional disclosures related to offsetting assets and liabilities but will not impact the Company’s financial condition or results of operations.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No. 2011-05). ASU No. 2011-05 amended ASC 220,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 converge the presentation of comprehensive income between U.S. GAAP and IFRS. ASU No. 2011-05 requires that all non-owner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is effective for fiscal years, and interim periods within those years, beginning after December 15, 2011, which is the Company’s fiscal year 2013. Subsequently, in December 2011, the FASB issued ASU No. 2011-12, </w:t>
      </w:r>
      <w:r>
        <w:rPr>
          <w:rFonts w:ascii="Arial" w:cs="Arial" w:eastAsia="Arial" w:hAnsi="Arial"/>
          <w:sz w:val="16"/>
          <w:szCs w:val="16"/>
          <w:i w:val="1"/>
          <w:iCs w:val="1"/>
          <w:color w:val="auto"/>
        </w:rPr>
        <w:t>Deferral of the Effective Date for Amendments to the Presentation of Reclassifications of Items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in Accounting Standards Update No. 2011-05 </w:t>
      </w:r>
      <w:r>
        <w:rPr>
          <w:rFonts w:ascii="Arial" w:cs="Arial" w:eastAsia="Arial" w:hAnsi="Arial"/>
          <w:sz w:val="16"/>
          <w:szCs w:val="16"/>
          <w:color w:val="auto"/>
        </w:rPr>
        <w:t>(ASU No. 2011-12), which defers only those changes in ASU No. 2011-05 that relate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reclassification adjustments but does not affect all other requirements in ASU No. 2011-05. The adoption of ASU No. 2011-05 and ASU No. 2011-12 will affect the presentation of comprehensive income but will not impact the Company’s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August 20, 2012, the Board of Directors of the Company declared a cash dividend of $0.30 per outstanding share of common stock. The dividend will be paid on September 12, 2012 to all shareholders of record at the close of business on August 31, 2012.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5" w:right="259" w:bottom="1440" w:gutter="0" w:footer="0" w:header="0"/>
        </w:sectPr>
      </w:pPr>
    </w:p>
    <w:bookmarkStart w:id="28" w:name="page29"/>
    <w:bookmarkEnd w:id="28"/>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2011.</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and “may,”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34"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The financial results of this business are presented as discontinued operations in the condensed consolidated statements of income for all periods presented. Unless otherwise noted, this Management’s Discussion and Analysis relates only to financial results from continuing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2011</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683,026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757,902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169,768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615"/>
        </w:trPr>
        <w:tc>
          <w:tcPr>
            <w:tcW w:w="4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2011</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2,006,178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2,277,186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472,049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677,367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w w:val="95"/>
              </w:rPr>
              <w:t>Income from continuing operations, net of tax, as a % of revenue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Fiscal 2012 is a 53-week year and fiscal 2011 was a 52-week year. The additional week in fiscal 2012 was included in the first quarter ended February 4, 2012. Therefore, the first nine months of fiscal 2012 included an additional week of operations as compared to the first nine months of fiscal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ind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1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During the first nine months of fiscal 2012, our revenue decreased 12%, compared to the first nine months of fiscal 2011. Our diluted earnings per share from continuing operations decreased to $1.54 in the first nine months of fiscal 2012 compared to $2.19 in the first nine months of fiscal 2011. Cash flow from operations in the first nine months of fiscal 2012 was $578.5 million, or 29% of revenue. During the first nine months of fiscal 2012, we received $110.7 million in net proceeds from employee stock option exercises, repurchased a total of approximately 3.7 million shares of our common stock for an aggregate of $139.7 million, distributed $253.3 million to our shareholders in dividend payments, paid $22.9 million in principal payments related to our $145.0 million term loan facility, paid $94.7 million for property, plant and equipment additions and paid $24.2 million, net of cash acquired, for the acquisition of Multigig. In addition, we paid $1,115.0 million for the net purchase of available-for-sale short term investments. These factors contributed to the net decrease in cash and cash equivalents of $943.0 million in the first nine months of fiscal 2012.</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year-to-year decrease in revenue and profitability for the three and nine months ended August 4, 2012 was primarily attributable to a slowdown in orders as our customers reduced their inventory levels from the levels recorded at the end of the second quarter of fiscal 2011. In the second quarter of fiscal 2011, customers had built inventory in order to reduce the risk of supply disruptions as a result of the March 2011 earthquake and tsunami in Japan. In addition, the ongoing European debt crisis and the global credit and financial crisis caused customers to become more cautious in the first nine months of fiscal 2012. We believe that our variable cost structure and continued efforts to manage production, inventory levels and expenses helped to mitigate the effect that these lower sales levels had on our earnings.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322,295</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367,511</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102,160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108,905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134,771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137,171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153,460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683,026</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757,902</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August 4, 2012</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Revenue*</w:t>
            </w: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935,054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1,094,316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353,232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304,620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333,049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415,056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384,843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463,194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2,006,178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2,277,186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15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revenue in the three- and nine-month periods ended August 4, 2012 in industrial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decrease in demand in this end market. The year-to-year decrease was most significant for products sold into the industrial automation and instrumentation sectors.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jc w:val="both"/>
        <w:ind w:right="180" w:firstLine="432"/>
        <w:spacing w:after="0" w:line="264"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The year-to-year increase in revenue in the three- and nine-month periods ended August 4, 2012 in automotive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an increase in the electronic content in automobiles, used in infotainment, and to a lesser extent in safety and power train applications and a general increase in demand by our customers.</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revenue in the three- and nine-month periods ended August 4, 2012 in consumer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decrease in demand for products sold in this end market.</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decrease in revenue in the three- and nine-month periods ended August 4, 2012 in communications end market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the result of a broad-based decrease in demand in this end market, which was most significant for products sold into the wireless base station end market sector.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Converters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299,594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337,239</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Amplifiers / Radio frequency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197,447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analog</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98,269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106,702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analog signal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578,802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641,388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Power management &amp; reference</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45,401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54,957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624,203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696,345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Digital signal processing</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58,823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61,557</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683,026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757,902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4, 2012</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July 30, 2011</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884,771</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1,020,194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Amplifiers / Radio frequency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523,208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605,593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analog</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285,293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309,146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analog signal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1,693,272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1,934,933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Power management &amp; reference</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136,326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164,442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1,829,598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2,099,375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Digital signal processing</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176,580</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177,811</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2,006,178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2,277,186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3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year-to-year decrease in total revenue in the three- and nine-month periods ended August 4, 2012 was primarily the result of a broad-based decrease in demand across all product categories.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46"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During the second quarter of fiscal 2012, the Company revised its method for classifying revenue by geographic region to more accurately reflect the primary location of our customers’ design activity for our products. Prior periods have been reclassified to align with this definition. In general, the prior classification method reflected the customers’ manufacturing location or the distributors’ stocking territory. No changes have been made to the Company’s revenue recognition policy. Revenue by geographic region for the three- and nine-month periods ended August 4, 2012 and July 30, 2011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right="9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4, 2012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July 30, 2011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218,447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25,268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33,816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(8,548)</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216,809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245,917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(29,108)</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87,169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96,730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(9,561)</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62,084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64,127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(2,043)</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683,026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757,902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(74,876)</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02"/>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23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Region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4, 2012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July 30, 2011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590,155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87,533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112,032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(24,499)</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738,718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(98,616)</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254,195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292,010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(37,815)</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179,596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192,339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(12,743)</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2,006,178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2,277,186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(271,008)</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700" w:firstLine="432"/>
        <w:spacing w:after="0" w:line="264" w:lineRule="auto"/>
        <w:rPr>
          <w:sz w:val="20"/>
          <w:szCs w:val="20"/>
          <w:color w:val="auto"/>
        </w:rPr>
      </w:pPr>
      <w:r>
        <w:rPr>
          <w:rFonts w:ascii="Arial" w:cs="Arial" w:eastAsia="Arial" w:hAnsi="Arial"/>
          <w:sz w:val="18"/>
          <w:szCs w:val="18"/>
          <w:color w:val="auto"/>
        </w:rPr>
        <w:t>In the three- and nine-month periods ended August 4, 2012 and July 30,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2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Sales decreased in all regions in the three and nine months ended August 4, 2012 as compared to the same periods of fiscal 2011 as a result of a broad-based decrease in demand.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August 4, 2012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4"/>
              </w:rPr>
              <w:t>July 30, 2011</w:t>
            </w:r>
          </w:p>
        </w:tc>
        <w:tc>
          <w:tcPr>
            <w:tcW w:w="12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1100" w:type="dxa"/>
            <w:vAlign w:val="bottom"/>
          </w:tcPr>
          <w:p>
            <w:pPr>
              <w:jc w:val="right"/>
              <w:ind w:right="402"/>
              <w:spacing w:after="0" w:line="13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August 4, 2012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July 30, 2011</w:t>
            </w:r>
          </w:p>
        </w:tc>
        <w:tc>
          <w:tcPr>
            <w:tcW w:w="12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1100" w:type="dxa"/>
            <w:vAlign w:val="bottom"/>
          </w:tcPr>
          <w:p>
            <w:pPr>
              <w:jc w:val="right"/>
              <w:ind w:right="40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447,874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509,640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(61,766)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1,297,719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1,526,027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(228,308)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1"/>
              </w:rPr>
              <w:t>Gross margin %</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Gross margin percentage was lower by 160 and 230 basis points in the three and nine months ended August 4, 2012, respectively, as compared to the three and nine months ended July 30, 2011, respectively, primarily as a result of decreased operating levels in our manufacturing facilities as well as a reduced percentage of sales of our products sold into the industrial automation and instrumentation sectors of the industrial end market and the wireless base station sector of the communications end market, which earn higher margins as compared to products sold into our other end market sectors.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2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5"/>
              </w:rPr>
              <w:t>August 4, 2012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July 30, 2011</w:t>
            </w:r>
          </w:p>
        </w:tc>
        <w:tc>
          <w:tcPr>
            <w:tcW w:w="100" w:type="dxa"/>
            <w:vAlign w:val="bottom"/>
            <w:vMerge w:val="restart"/>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86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August 4, 2012</w:t>
            </w:r>
          </w:p>
        </w:tc>
        <w:tc>
          <w:tcPr>
            <w:tcW w:w="120" w:type="dxa"/>
            <w:vAlign w:val="bottom"/>
            <w:vMerge w:val="restart"/>
          </w:tcPr>
          <w:p>
            <w:pPr>
              <w:spacing w:after="0"/>
              <w:rPr>
                <w:sz w:val="12"/>
                <w:szCs w:val="12"/>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July 30, 2011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vMerge w:val="restart"/>
          </w:tcPr>
          <w:p>
            <w:pPr>
              <w:spacing w:after="0"/>
              <w:rPr>
                <w:sz w:val="12"/>
                <w:szCs w:val="12"/>
                <w:color w:val="auto"/>
              </w:rPr>
            </w:pPr>
          </w:p>
        </w:tc>
        <w:tc>
          <w:tcPr>
            <w:tcW w:w="780" w:type="dxa"/>
            <w:vAlign w:val="bottom"/>
          </w:tcPr>
          <w:p>
            <w:pPr>
              <w:jc w:val="right"/>
              <w:ind w:right="24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129,694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128,476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1,218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381,609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381,681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9"/>
        </w:trPr>
        <w:tc>
          <w:tcPr>
            <w:tcW w:w="1980" w:type="dxa"/>
            <w:vAlign w:val="bottom"/>
          </w:tcPr>
          <w:p>
            <w:pPr>
              <w:ind w:left="40"/>
              <w:spacing w:after="0"/>
              <w:rPr>
                <w:sz w:val="20"/>
                <w:szCs w:val="20"/>
                <w:color w:val="auto"/>
              </w:rPr>
            </w:pPr>
            <w:r>
              <w:rPr>
                <w:rFonts w:ascii="Arial" w:cs="Arial" w:eastAsia="Arial" w:hAnsi="Arial"/>
                <w:sz w:val="18"/>
                <w:szCs w:val="18"/>
                <w:color w:val="auto"/>
                <w:w w:val="95"/>
              </w:rPr>
              <w:t>R&amp;D expenses as a % of</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R&amp;D expenses in the three months ended August 4, 2012 increased slightly as compared to the same period of fiscal 2011 as a result of annual salary increases that became effective during the latter half of the second quarter of fiscal 2012 and a general increase in spending, partially offset by lower variable compensation expense, which is linked to our overall profitability and revenue growth.</w:t>
      </w:r>
    </w:p>
    <w:p>
      <w:pPr>
        <w:spacing w:after="0" w:line="12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R&amp;D expenses in the nine months ended August 4, 2012 remained flat as compared to the same period of fiscal 2011 as lower variable compensation expense, which linked to our overall profitability and revenue growth, was offset by annual salary increases that became effective during the latter half of the second quarter of fiscal 2012 and an additional week of operations in the first quarter of fiscal 2012.</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August 4, 2012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July 30, 2011</w:t>
            </w:r>
          </w:p>
        </w:tc>
        <w:tc>
          <w:tcPr>
            <w:tcW w:w="120" w:type="dxa"/>
            <w:vAlign w:val="bottom"/>
            <w:vMerge w:val="restart"/>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vMerge w:val="restart"/>
          </w:tcPr>
          <w:p>
            <w:pPr>
              <w:spacing w:after="0"/>
              <w:rPr>
                <w:sz w:val="12"/>
                <w:szCs w:val="12"/>
                <w:color w:val="auto"/>
              </w:rPr>
            </w:pPr>
          </w:p>
        </w:tc>
        <w:tc>
          <w:tcPr>
            <w:tcW w:w="88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August 4, 2012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July 30, 2011</w:t>
            </w:r>
          </w:p>
        </w:tc>
        <w:tc>
          <w:tcPr>
            <w:tcW w:w="12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800" w:type="dxa"/>
            <w:vAlign w:val="bottom"/>
          </w:tcPr>
          <w:p>
            <w:pPr>
              <w:jc w:val="right"/>
              <w:ind w:right="24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99,873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102,323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(2,450)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298,910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307,613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(8,703)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1"/>
              </w:rPr>
              <w:t>SMG&amp;A expenses as a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SMG&amp;A expenses in the three and nine months ended August 4, 2012 decreased as compared to the same periods of fiscal 2011 as lower variable compensation expense, which is linked to our overall profitability and revenue growth, was partially offset by annual salary increases that became effective during the latter half of the second quarter of fiscal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During fiscal 2008 through fiscal 2010, we recorded special charges of approximately $43.3 million. These special charges included: $39.1 million for severance and fringe benefit costs in accordance with our ongoing benefit plan or statutory requirements at foreign locations for 245 manufacturing employees and 470 engineering and SMG&amp;A employees; $2.1 million for lease obligation costs for facilities that we ceased using during the first quarter of fiscal 2009; $0.8 million for the write-off of property, plant and equipment; $0.5 million for contract termination costs; $0.3 million for clean-up and closure costs that we expensed as incurred; and $0.5 million related to the impairment of intellectual property. This action resulted in annual cost savings of approximately $52.0 million per year. We have terminated the employment of all employees associated with these actions.</w:t>
      </w:r>
    </w:p>
    <w:p>
      <w:pPr>
        <w:spacing w:after="0" w:line="1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fiscal 2011, we recorded a special charge of approximately $2.2 million. This special charge was for severance and fringe benefit costs in accordance with our ongoing benefit plan or statutory requirements at foreign locations for 25 engineering and SMG&amp;A employees. As of August 4, 2012, we employed 2 of the 25 employees included in this cost reduction action. These employees must continue to be employed by us until their employment is involuntarily terminated in order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7" w:right="239" w:bottom="1440" w:gutter="0" w:footer="0" w:header="0"/>
        </w:sectPr>
      </w:pPr>
    </w:p>
    <w:bookmarkStart w:id="33" w:name="page34"/>
    <w:bookmarkEnd w:id="33"/>
    <w:p>
      <w:pPr>
        <w:ind w:right="940"/>
        <w:spacing w:after="0" w:line="277" w:lineRule="auto"/>
        <w:rPr>
          <w:sz w:val="20"/>
          <w:szCs w:val="20"/>
          <w:color w:val="auto"/>
        </w:rPr>
      </w:pPr>
      <w:r>
        <w:rPr>
          <w:rFonts w:ascii="Arial" w:cs="Arial" w:eastAsia="Arial" w:hAnsi="Arial"/>
          <w:sz w:val="18"/>
          <w:szCs w:val="18"/>
          <w:color w:val="auto"/>
        </w:rPr>
        <w:t>receive the severance benefit. We estimate this action will result in annual savings in SMG&amp;A expenses of approximately $4.0 million once fully implemented.</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During the first quarter of fiscal 2012, we recorded a special charge of approximately $2.6 million. The special charge included $2.5 million for severance and fringe benefit costs in accordance with our ongoing benefit plan or statutory requirements at foreign locations for 34 manufacturing, engineering and SMG&amp;A employees and $0.1 million for contract termination costs. We terminated the employment of all employees associated with these actions, and we are paying amounts owed to them as income continuance. We estimate this action will result in annual savings in SMG&amp;A expenses of approximately $4.0 million.</w:t>
      </w:r>
    </w:p>
    <w:p>
      <w:pPr>
        <w:spacing w:after="0" w:line="13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During the third quarter of fiscal 2012, we recorded a special charge of approximately $5.8 million. The special charge included $5.4 million for severance and fringe benefits costs in accordance with our ongoing benefit plan or statutory requirements at foreign locations for 61 manufacturing, engineering and SMG&amp;A employees; $0.2 million for lease obligation costs for facilities that we ceased using during the third quarter of fiscal 2012 and $0.2 million for the write-off of property, plant and equipment. As of August 4, 2012, we employed 25 of the 61 employees included in this cost reduction action. These employees must continue to be employed by us until their employment is involuntarily terminated in order to receive the severance benefit. We estimate this action will result in annual savings in SMG&amp;A expenses of approximately $8.0 million once fully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July 30, 2011</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August 4, 2012</w:t>
            </w:r>
          </w:p>
        </w:tc>
        <w:tc>
          <w:tcPr>
            <w:tcW w:w="1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July 30, 2011</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900" w:type="dxa"/>
            <w:vAlign w:val="bottom"/>
          </w:tcPr>
          <w:p>
            <w:pPr>
              <w:jc w:val="right"/>
              <w:ind w:right="30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5"/>
        </w:trPr>
        <w:tc>
          <w:tcPr>
            <w:tcW w:w="1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Operating income from</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212,471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278,841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(66,370)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608,769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836,733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(227,964)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1860" w:type="dxa"/>
            <w:vAlign w:val="bottom"/>
          </w:tcPr>
          <w:p>
            <w:pPr>
              <w:ind w:left="40"/>
              <w:spacing w:after="0"/>
              <w:rPr>
                <w:sz w:val="20"/>
                <w:szCs w:val="20"/>
                <w:color w:val="auto"/>
              </w:rPr>
            </w:pPr>
            <w:r>
              <w:rPr>
                <w:rFonts w:ascii="Arial" w:cs="Arial" w:eastAsia="Arial" w:hAnsi="Arial"/>
                <w:sz w:val="18"/>
                <w:szCs w:val="18"/>
                <w:color w:val="auto"/>
                <w:w w:val="98"/>
              </w:rPr>
              <w:t>Operating income 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40"/>
              <w:spacing w:after="0"/>
              <w:rPr>
                <w:sz w:val="20"/>
                <w:szCs w:val="20"/>
                <w:color w:val="auto"/>
              </w:rPr>
            </w:pPr>
            <w:r>
              <w:rPr>
                <w:rFonts w:ascii="Arial" w:cs="Arial" w:eastAsia="Arial" w:hAnsi="Arial"/>
                <w:sz w:val="18"/>
                <w:szCs w:val="18"/>
                <w:color w:val="auto"/>
                <w:w w:val="92"/>
              </w:rPr>
              <w:t>continuing operations as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40"/>
              <w:spacing w:after="0"/>
              <w:rPr>
                <w:sz w:val="20"/>
                <w:szCs w:val="20"/>
                <w:color w:val="auto"/>
              </w:rPr>
            </w:pPr>
            <w:r>
              <w:rPr>
                <w:rFonts w:ascii="Arial" w:cs="Arial" w:eastAsia="Arial" w:hAnsi="Arial"/>
                <w:sz w:val="18"/>
                <w:szCs w:val="18"/>
                <w:color w:val="auto"/>
              </w:rPr>
              <w:t>a % of revenue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 xml:space="preserve">The year-over-year decrease in operating income from continuing operations in the third quarter of fiscal 2012 was primarily the result of a decrease in revenue of $74.9 million, a 160 basis point decrease in gross margin percentage, $5.8 million in special charges recorded in the third quarter of fiscal 2012 as more fully described above under the heading </w:t>
      </w:r>
      <w:r>
        <w:rPr>
          <w:rFonts w:ascii="Arial" w:cs="Arial" w:eastAsia="Arial" w:hAnsi="Arial"/>
          <w:sz w:val="18"/>
          <w:szCs w:val="18"/>
          <w:i w:val="1"/>
          <w:iCs w:val="1"/>
          <w:color w:val="auto"/>
        </w:rPr>
        <w:t>Special Charges—Reduction of Operating Costs</w:t>
      </w:r>
      <w:r>
        <w:rPr>
          <w:rFonts w:ascii="Arial" w:cs="Arial" w:eastAsia="Arial" w:hAnsi="Arial"/>
          <w:sz w:val="18"/>
          <w:szCs w:val="18"/>
          <w:color w:val="auto"/>
        </w:rPr>
        <w:t xml:space="preserve">. These reductions in operating income from continuing operations were partially offset by a decrease in SMG&amp;A expenses as more fully described above under the heading </w:t>
      </w:r>
      <w:r>
        <w:rPr>
          <w:rFonts w:ascii="Arial" w:cs="Arial" w:eastAsia="Arial" w:hAnsi="Arial"/>
          <w:sz w:val="18"/>
          <w:szCs w:val="18"/>
          <w:i w:val="1"/>
          <w:iCs w:val="1"/>
          <w:color w:val="auto"/>
        </w:rPr>
        <w:t>Selling, Marketing,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w:t>
      </w:r>
    </w:p>
    <w:p>
      <w:pPr>
        <w:spacing w:after="0" w:line="134"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 xml:space="preserve">The year-over-year decrease in operating income from continuing operations in the nine months ended August 4, 2012 was primarily the result of a decrease in revenue of $271.0 million, a 230 basis point decrease in gross margin percentage and $8.4 million in special charges recorded in the first nine months of fiscal 2012 as more fully described above under the heading </w:t>
      </w:r>
      <w:r>
        <w:rPr>
          <w:rFonts w:ascii="Arial" w:cs="Arial" w:eastAsia="Arial" w:hAnsi="Arial"/>
          <w:sz w:val="18"/>
          <w:szCs w:val="18"/>
          <w:i w:val="1"/>
          <w:iCs w:val="1"/>
          <w:color w:val="auto"/>
        </w:rPr>
        <w:t>Special Charges—Reduction of Operating Costs</w:t>
      </w:r>
      <w:r>
        <w:rPr>
          <w:rFonts w:ascii="Arial" w:cs="Arial" w:eastAsia="Arial" w:hAnsi="Arial"/>
          <w:sz w:val="18"/>
          <w:szCs w:val="18"/>
          <w:color w:val="auto"/>
        </w:rPr>
        <w:t>. These reductions in operating income from continuing operations were partially offset by a decrease in SMG&amp;A expenses as more fully described above under the heading S</w:t>
      </w:r>
      <w:r>
        <w:rPr>
          <w:rFonts w:ascii="Arial" w:cs="Arial" w:eastAsia="Arial" w:hAnsi="Arial"/>
          <w:sz w:val="18"/>
          <w:szCs w:val="18"/>
          <w:i w:val="1"/>
          <w:iCs w:val="1"/>
          <w:color w:val="auto"/>
        </w:rPr>
        <w:t>elling,</w:t>
      </w:r>
      <w:r>
        <w:rPr>
          <w:rFonts w:ascii="Arial" w:cs="Arial" w:eastAsia="Arial" w:hAnsi="Arial"/>
          <w:sz w:val="18"/>
          <w:szCs w:val="18"/>
          <w:color w:val="auto"/>
        </w:rPr>
        <w:t xml:space="preserve"> </w:t>
      </w:r>
      <w:r>
        <w:rPr>
          <w:rFonts w:ascii="Arial" w:cs="Arial" w:eastAsia="Arial" w:hAnsi="Arial"/>
          <w:sz w:val="18"/>
          <w:szCs w:val="18"/>
          <w:i w:val="1"/>
          <w:iCs w:val="1"/>
          <w:color w:val="auto"/>
        </w:rPr>
        <w:t>Marketing, General and Administrative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2011</w:t>
            </w:r>
          </w:p>
        </w:tc>
        <w:tc>
          <w:tcPr>
            <w:tcW w:w="22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2011</w:t>
            </w:r>
          </w:p>
        </w:tc>
        <w:tc>
          <w:tcPr>
            <w:tcW w:w="24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nonoperating (income) expense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1,474</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year-over-year change in nonoperating (income) expense in the third quarter of fiscal 2012 was primarily the result of an increase in interest income as a result of higher interest rates earned on our investments in the third quarter of fiscal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as compared to the third quarter of fiscal 2011.</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The year-over-year increase in interest expense in the nine months ended August 4, 2012 was primarily a result of our issuance of $375.0 million aggregate principal amount of 3.0% senior unsecured notes on April 4, 2011 and the $145.0 million term loan facility we entered into through a wholly owned subsidiary in December 2010, and to a lesser extent the impact of the termination of our interest rate swap agreement more fully described below under the heading </w:t>
      </w:r>
      <w:r>
        <w:rPr>
          <w:rFonts w:ascii="Arial" w:cs="Arial" w:eastAsia="Arial" w:hAnsi="Arial"/>
          <w:sz w:val="17"/>
          <w:szCs w:val="17"/>
          <w:i w:val="1"/>
          <w:iCs w:val="1"/>
          <w:color w:val="auto"/>
        </w:rPr>
        <w:t>Debt</w:t>
      </w:r>
      <w:r>
        <w:rPr>
          <w:rFonts w:ascii="Arial" w:cs="Arial" w:eastAsia="Arial" w:hAnsi="Arial"/>
          <w:sz w:val="17"/>
          <w:szCs w:val="17"/>
          <w:color w:val="auto"/>
        </w:rPr>
        <w:t>. The increases were partially offset by an increase in interest income due to higher interest rates earned on our investments and the investment of higher cash balances in the first nine months of fiscal 2012 as compared to the first nine months of fiscal 2011, and an increase in other income as a result of the gain from the sale of other investments in the second quarter of fiscal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 2011</w:t>
            </w:r>
          </w:p>
        </w:tc>
        <w:tc>
          <w:tcPr>
            <w:tcW w:w="22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 2011</w:t>
            </w:r>
          </w:p>
        </w:tc>
        <w:tc>
          <w:tcPr>
            <w:tcW w:w="220" w:type="dxa"/>
            <w:vAlign w:val="bottom"/>
          </w:tcPr>
          <w:p>
            <w:pPr>
              <w:spacing w:after="0"/>
              <w:rPr>
                <w:sz w:val="22"/>
                <w:szCs w:val="22"/>
                <w:color w:val="auto"/>
              </w:rPr>
            </w:pPr>
          </w:p>
        </w:tc>
        <w:tc>
          <w:tcPr>
            <w:tcW w:w="1020" w:type="dxa"/>
            <w:vAlign w:val="bottom"/>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128,960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153,080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(24,120)</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decrease in our effective tax rate for the third quarter of fiscal 2012 compared to the third quarter of fiscal 2011 was primarily due to the impact of several discrete tax items which resulted in lowering our effective tax rate by approximately 2%. These items consisted of a tax benefit related to the release of a tax reserve for an expired tax year, a tax benefit as a result of a special charge taken in the third quarter of fiscal 2012, a majority of which provided a tax benefit at the higher U.S. tax rate, and the reversal of $1.5 million of tax expense previously recorded in the first six months of fiscal 2012 related to the write-off of deferred tax assets for share-based compensation. Our effective tax rate for the third quarter of fiscal 2011 included a benefit related to the application of the U.S. federal research and development tax credit that resulted in lowering our effective tax rate by approximately 1%. This credit expired in December 2011 and therefore was not available in the third quarter of fiscal 2012.</w:t>
      </w:r>
    </w:p>
    <w:p>
      <w:pPr>
        <w:spacing w:after="0" w:line="12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increase in our effective tax rate for the first nine months of fiscal 2012 compared to the first nine months of fiscal 2011 was primarily due to the impact of several discrete tax items. The provision for income taxes for the first nine months of fiscal 2011 included favorable discrete tax items which resulted in lowering our effective tax rate by approximately 3%. These items consisted of $6 million related to the reinstatement of the U.S. federal research and development tax credit in December 2010 retroactive to January 1, 2010, a $7 million reduction in the state tax credits valuation reserve, a $0.5 million tax benefit from the increase in Irish deferred taxes as a result of the increase in the Irish manufacturing tax rate from 10% to 12.5% and a net $10.8 million tax benefit related to the settlement with the Appellate Division of the Internal Revenue Service of certain tax matters for the fiscal 2004 through fiscal 2007 tax years. In addition, our effective tax rate for the first nine months of fiscal 2011 included a benefit related to the application of the U.S. federal research and development tax credit. This credit expired in December 2011 and therefore was only available for two months of the first nine months of fiscal 2012. The provision for income taxes for the third quarter of fiscal 2012 did not include the benefit of these discrete tax items, but rather included the benefit of discrete tax items which resulted in lowering our effective tax rate by approximately 1%. These items consisted of a tax benefit related to the release of a tax reserve for an expired tax year and a tax benefit as a result of a special charge taken in the third quarter of fiscal 2012, a majority of which provided a tax benefit at the higher U.S. tax rate.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our effective tax rate, excluding discrete tax items, to be approximately 22.3% for the remainder of fiscal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July 30, 2011</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August 4, 2012</w:t>
            </w:r>
          </w:p>
        </w:tc>
        <w:tc>
          <w:tcPr>
            <w:tcW w:w="1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July 30, 2011</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900" w:type="dxa"/>
            <w:vAlign w:val="bottom"/>
          </w:tcPr>
          <w:p>
            <w:pPr>
              <w:jc w:val="right"/>
              <w:ind w:right="30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5"/>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169,768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219,935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(50,167)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472,049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677,367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(205,318)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Income from continuing</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w w:val="89"/>
              </w:rPr>
              <w:t>operations, net of tax, as a</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 from</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The year-over-year decrease in net income from continuing operations in the third quarter of fiscal 2012 was primarily a result of the $66.4 million decrease in operating income from continuing operations offset by a lower provision for income taxes in the third quarter of 2012.</w:t>
      </w:r>
    </w:p>
    <w:p>
      <w:pPr>
        <w:spacing w:after="0" w:line="9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year-over-year decrease in net income from continuing operations in the nine months ended August 4, 2012 was primarily a result of the $228.0 million decrease in operating income from continuing operations offset by a lower provision for income taxes in the first nine months of fiscal 2012.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00" w:lineRule="exact"/>
        <w:rPr>
          <w:sz w:val="20"/>
          <w:szCs w:val="20"/>
          <w:color w:val="auto"/>
        </w:rPr>
      </w:pPr>
    </w:p>
    <w:p>
      <w:pPr>
        <w:spacing w:after="0" w:line="219"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Nine Months Ended</w:t>
            </w:r>
          </w:p>
        </w:tc>
      </w:tr>
      <w:tr>
        <w:trPr>
          <w:trHeight w:val="196"/>
        </w:trPr>
        <w:tc>
          <w:tcPr>
            <w:tcW w:w="6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July 30, 2011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 from discontinued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6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sold our Baseband Chipset Business to MediaTek Inc. during the first quarter of fiscal 2008. Accordingly, we have presented the results of the operations of this business as discontinued operations within our condensed consolidated financial statements. In fiscal 2011, additional proceeds of $10.0 million were released from escrow and $6.5 million net of tax was recorded as additional gain from the sale of discontinued operations. We do not expect any additional proceeds from this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following statements are based on current expectations. These statements are forward-looking and our actual results may differ materially as a result of, among other things, the important factors contained in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117"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are planning for revenue in the fourth quarter of fiscal 2012 to be in the range of approximately $685 million to $715 million. Our plan is for gross margin for the fourth quarter of fiscal 2012 to be approximately 65% and for operating expenses to be approximately $231 million. As a result, we are planning for diluted earnings per share from continuing operations to be in the range of $0.54 to $0.60 in the fourth quarter of fiscal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August 4, 2012, our principal source of liquidity was $3,765.0 million of cash and cash equivalents and short-term investments, of which approximately $1,007.3 million was held in the United States. The balance of our cash and cash equivalents and short-term investments was held outside the United States in various foreign subsidiaries. As we intend to</w:t>
      </w:r>
    </w:p>
    <w:p>
      <w:pPr>
        <w:ind w:right="300"/>
        <w:spacing w:after="0" w:line="254" w:lineRule="auto"/>
        <w:rPr>
          <w:sz w:val="20"/>
          <w:szCs w:val="20"/>
          <w:color w:val="auto"/>
        </w:rPr>
      </w:pPr>
      <w:r>
        <w:rPr>
          <w:rFonts w:ascii="Arial" w:cs="Arial" w:eastAsia="Arial" w:hAnsi="Arial"/>
          <w:sz w:val="18"/>
          <w:szCs w:val="18"/>
          <w:color w:val="auto"/>
        </w:rPr>
        <w:t>reinvest certain of our foreign earnings indefinitely, this cash held outside the United States is not available to meet certain of our cash requirements in the United States, including for cash dividends and common stock repurchases. Our cash and cash equivalents consist of highly liquid investments with maturities of three months or less at the time of acquisition and our short-term investments consist primarily of liquid money market funds and corporate obligations, such as commercial paper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16"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4, 2012</w:t>
            </w:r>
          </w:p>
        </w:tc>
        <w:tc>
          <w:tcPr>
            <w:tcW w:w="24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2011</w:t>
            </w:r>
          </w:p>
        </w:tc>
        <w:tc>
          <w:tcPr>
            <w:tcW w:w="30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578,495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670,369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August 4, 2012, cash and cash equivalents totaled $462.1 million. The primary sources of funds for the first nine months of fiscal 2012 were net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generated from operating activities of $578.5 million. In addition, we received $110.7 million in net proceeds from employee stock option exercises.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uses of funds for the first nine months of fiscal 2012 were the repurchase of approximately 3.7 million shares of our common stock for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$139.7 million, dividend payments of $253.3 million, principal payments of $22.9 million related to our $145 million term loan facility, additions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of $94.7 million and payments of $24.2 million, net of cash acquired, for the acquisition of Multigig. In addition, we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$1,115.0 million for the net purchase of available-for-sale short term investments. These factors contributed to the net decrease in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$943.0 million in the first nine months of fiscal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4, 2012</w:t>
            </w: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29, 2011</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16,998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decrease in accounts receivable was primarily the result of lower revenue in the final month of the third quarter of fiscal 2012 compared to the final month of the fourth quarter of fiscal 2011. Days sales outstanding increased as a result of higher product shipments made to our distributors in the final month of the third quarter of fiscal 2012 compared to the final month of the fourth quarter of fiscal 2011.</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Inventory as of August 4, 2012 increased as compared to the end of the fourth quarter of fiscal 2011 as a result of an increase in manufacturing production to support anticipated higher sales demand. Days cost of sales in inventory increased primarily due to lower manufacturing costs which resulted in cost of sales decreasing 8% from the fourth quarter of fiscal 2011 to the third quarter of fiscal 2012 while inventory levels increased by 6% for the same period.</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Current liabilities decreased to $508.5 million at August 4, 2012, a decrease of $16.5 million, or 3%, from $525.0 million at the end of fiscal 2011. This decrease was primarily due to a decrease in accrued liabilities as a result of lower variable compensation expense accruals which were partially offset by an increase in deferred income on shipments to distributors, net, which is more fully described below.</w:t>
      </w:r>
    </w:p>
    <w:p>
      <w:pPr>
        <w:spacing w:after="0" w:line="127"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As of August 4, 2012 and October 29, 2011, we had gross deferred revenue of $312.0 million and $309.6 million, respectively, and gross deferred cost of sales of $65.3 million and $76.4 million, respectively. Deferred income on shipments to distributors increased in the first nine months of fiscal 2012 as a result of our shipments to our distributors exceeding the distributors’ sales to their customers during the same time period and a mix shift in favor of higher margin products in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ind w:right="60"/>
        <w:spacing w:after="0" w:line="286" w:lineRule="auto"/>
        <w:rPr>
          <w:sz w:val="20"/>
          <w:szCs w:val="20"/>
          <w:color w:val="auto"/>
        </w:rPr>
      </w:pPr>
      <w:r>
        <w:rPr>
          <w:rFonts w:ascii="Arial" w:cs="Arial" w:eastAsia="Arial" w:hAnsi="Arial"/>
          <w:sz w:val="17"/>
          <w:szCs w:val="17"/>
          <w:color w:val="auto"/>
        </w:rPr>
        <w:t>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August 4, 2012, we had $857.0 million in debt outstanding, of which $14.5 million was current. Our debt obligations consist of the following: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5.0% senior unsecured notes</w:t>
      </w:r>
    </w:p>
    <w:p>
      <w:pPr>
        <w:spacing w:after="0" w:line="90"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On June 30, 2009, we issued $375.0 million million aggregate principal amount of 5.0% senior unsecured notes due July 1, 2014 (the 5.0% Notes) with semi-annual fixed interest payments due on January 1 and July 1 of each year, commencing January 1, 2010. We swapped the fixed interest portion of these notes for a variable interest rate based on the three-month LIBOR plus 2.05%. The variable interest payments based on the variable annual rate are payable quarterly. The LIBOR based rate is set quarterly three months prior to the date of the interest payment. In the second quarter of fiscal 2012, we terminated the interest rate swap agreement. We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5.0% Notes was adjusted for the change in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$145.0 million term loan facility</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December 22, 2010, Analog Devices Holdings B.V., our wholly owned subsidiary, entered into a credit agreement with Bank of America, N.A., London Branch as administrative agent. The credit agreement provides for a $145.0 million term loan facility, which matures on December 22, 2013. We have guaranteed the borrower’s obligations. The terms of the agreement provide for a three-year principal amortization schedule with $3.6 million payable quarterly every March, June, September and December with the balance payable upon the maturity date.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3.0% Notes) with semi-annual fixed interest payments due on April 15 and October 15 of each year, commencing October 15, 2011.</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indenture governing the 5.0% Notes and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4, 2012, we were compliant with these covenants. The terms of the $145.0 million term loan facility include limitations on subsidiary indebtedness and on liens against our assets and the assets of our subsidiaries, and also include financial covenants that require us to maintain a minimum interest coverage ratio and not exceed a maximum leverage ratio. As of August 4, 2012, we were compliant with these covenants. See Note 13, Debt</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our Condensed Consolidated Financial Statements contained in Item 1 of this Quarterly Report on Form 10-Q for further information on our outstanding debt.</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have a five-year $165.0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 The terms of this facility also include financial covenants that require us to maintain a minimum interest coverage ratio and not exceed a maximum leverage ratio. As of August 4, 2012, we were compliant with these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$5.0 billion of our common stock under the program. Under the program, we may repurchase outstanding shares of our common stock from time to time in the open market and through privately negotiated transactions.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ind w:right="100"/>
        <w:spacing w:after="0" w:line="291" w:lineRule="auto"/>
        <w:rPr>
          <w:sz w:val="20"/>
          <w:szCs w:val="20"/>
          <w:color w:val="auto"/>
        </w:rPr>
      </w:pPr>
      <w:r>
        <w:rPr>
          <w:rFonts w:ascii="Arial" w:cs="Arial" w:eastAsia="Arial" w:hAnsi="Arial"/>
          <w:sz w:val="16"/>
          <w:szCs w:val="16"/>
          <w:color w:val="auto"/>
        </w:rPr>
        <w:t>Unless terminated earlier by resolution of our Board of Directors, the repurchase program will expire when we have repurchased all shares authorized under the program. As of August 4, 2012, we had repurchased a total of approximately 128.6 million shares of our common stock for approximately $4,418.2 million under this program. As of August 4, 2012, an additional $581.8 million worth of shares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additions to property, plant and equipment were $94.7 million in the first nine months of fiscal 2012 and were funded with a combination of cash on hand and cash generated from operations. We expect capital expenditures to be in the range of approximately $135 million to $140 million in fiscal 2012 to be used primarily in our manufacturing facilities and to be funded with a combination of cash on hand and cash generated from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On August 20, 2012, our Board of Directors declared a cash dividend of $0.30 per outstanding share of common stock. The dividend will be paid on September 12, 2012 to all shareholders of record at the close of business on August 31, 2012 and is expected to total approximately $89.7 million. We currently expect quarterly dividends to continue at $0.30 per share, although they remain subject to determination and declaration by our Board of Directors. The payment of future dividends, if any, will be based on several factors, including our financial performance, outlook and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second quarter of fiscal 2012, we terminated our interest rate swap agreement related to our outstanding 5.0% senior unsecured notes. As a result of the termination, the amounts previously reflected as “payments due under interest rate swap agreements” in the contractual obligations table contained in the section entitled “Management’s Discussion and Analysis of Financial Condition and Results of Operations” of our Annual Report on Form 10-K for the fiscal year ended October 29, 2011 are no longer due.</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first quarter of fiscal 2012, we entered into non-cancelable license obligations to providers of electronic design automation software and software maintenance used in the development of our products. The following amounts will be due under the agreements and were not previously reflected in the contractual obligations table contained in the section entitled “Management’s Discussion and Analysis of Financial Condition and Results of Operations” of our Annual Report on Form 10-K for the fiscal year ended October 29, 2011: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Payment due by period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8"/>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b w:val="1"/>
                <w:bCs w:val="1"/>
                <w:color w:val="auto"/>
                <w:w w:val="98"/>
              </w:rPr>
              <w:t>More than</w:t>
            </w:r>
          </w:p>
        </w:tc>
      </w:tr>
      <w:tr>
        <w:trPr>
          <w:trHeight w:val="242"/>
        </w:trPr>
        <w:tc>
          <w:tcPr>
            <w:tcW w:w="408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w:t>
            </w:r>
          </w:p>
        </w:tc>
        <w:tc>
          <w:tcPr>
            <w:tcW w:w="34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1"/>
                <w:szCs w:val="21"/>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1 Year</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21"/>
                <w:szCs w:val="21"/>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5 Years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44,910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12,887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25,882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have not been any other material changes during the first nine months of fiscal 2012 to the amounts presented in the table summarizing our contractual obligations included in our Annual Report on Form 10-K for the fiscal year ended October 29,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the first nine months of fiscal 2012 to the information provided under the heading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“Critical Accounting Policies and Estimates” included in our Annual Report on Form 10-K for the fiscal year ended October 29, 2011.</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the second quarter of fiscal 2012, we terminated our interest rate swap agreement, which converted the 5.0% fixed interest rate on our $375.0 million 5.0% senior unsecured notes to a variable interest rate based on the three-month LIBOR plus 2.05%. As a result of the termination, we are no longer exposed to interest rate risk associated with the swap.</w:t>
      </w:r>
    </w:p>
    <w:p>
      <w:pPr>
        <w:spacing w:after="0" w:line="12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There were no other material changes in the first nine months of fiscal 2012 to the information provided under Item 7A. “Quantitative and Qualitative Disclosures about Market Risk” set forth in our Annual Report on Form 10-K for the year ended October 29, 2011.</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August 4, 2012.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4, 2012, our Chief Executive Officer and Chief Financial Officer concluded that, as of such date, our disclosure controls and procedures were effective at the reasonable assurance level.</w:t>
      </w:r>
    </w:p>
    <w:p>
      <w:pPr>
        <w:spacing w:after="0" w:line="125" w:lineRule="exact"/>
        <w:rPr>
          <w:rFonts w:ascii="Arial" w:cs="Arial" w:eastAsia="Arial" w:hAnsi="Arial"/>
          <w:sz w:val="17"/>
          <w:szCs w:val="17"/>
          <w:color w:val="auto"/>
        </w:rPr>
      </w:pPr>
    </w:p>
    <w:p>
      <w:pPr>
        <w:jc w:val="both"/>
        <w:ind w:right="120"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4, 2012,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29,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There is significant uncertainty regarding the stability of global credit and financial markets, exacerbated by the ongoing European debt crisis.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65" w:right="239" w:bottom="1440" w:gutter="0" w:footer="0" w:header="0"/>
        </w:sectPr>
      </w:pPr>
    </w:p>
    <w:bookmarkStart w:id="40" w:name="page41"/>
    <w:bookmarkEnd w:id="40"/>
    <w:p>
      <w:pPr>
        <w:ind w:right="440" w:firstLine="432"/>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224"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1300" w:right="620" w:hanging="320"/>
        <w:spacing w:after="0" w:line="3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manufacturing yields, adequate availability of wafers and other raw materials, and manufacturing, assembly and test capacity;</w:t>
      </w:r>
    </w:p>
    <w:p>
      <w:pPr>
        <w:ind w:left="1300" w:right="180" w:hanging="320"/>
        <w:spacing w:after="0" w:line="3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1300" w:right="560" w:hanging="320"/>
        <w:spacing w:after="0" w:line="3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regulations;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1300" w:right="360" w:hanging="320"/>
        <w:spacing w:after="0" w:line="38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jc w:val="both"/>
        <w:ind w:right="120" w:firstLine="8"/>
        <w:spacing w:after="0" w:line="254"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 number of factors may increase our future effective tax rate, including: increases in tax rates in various jurisdictions; variation in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the lack of sufficient excess tax benefits (credits) in our additional paid in capital (APIC) pool in situations where our realized tax deductions for certain stock-based compensation awards are less than those originally anticipated; changes in available tax credits; and changes in tax laws or the interpretation of such tax laws. Any significant increase in our future effective tax rates could adversely impact our net income during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typically do not have long-term sales contracts with our customers. In certain markets where end-user demand may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46" w:right="279" w:bottom="1440" w:gutter="0" w:footer="0" w:header="0"/>
        </w:sectPr>
      </w:pPr>
    </w:p>
    <w:bookmarkStart w:id="41" w:name="page42"/>
    <w:bookmarkEnd w:id="41"/>
    <w:p>
      <w:pPr>
        <w:ind w:right="40"/>
        <w:spacing w:after="0" w:line="291" w:lineRule="auto"/>
        <w:rPr>
          <w:sz w:val="20"/>
          <w:szCs w:val="20"/>
          <w:color w:val="auto"/>
        </w:rPr>
      </w:pPr>
      <w:r>
        <w:rPr>
          <w:rFonts w:ascii="Arial" w:cs="Arial" w:eastAsia="Arial" w:hAnsi="Arial"/>
          <w:sz w:val="16"/>
          <w:szCs w:val="16"/>
          <w:color w:val="auto"/>
        </w:rPr>
        <w:t>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3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665"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shipment which could, in turn, result in the temporary or permanent loss of customers.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3"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6"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65"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 We may also be subject to security breaches caused by computer viruses, illegal break-ins or hacking, sabotage, acts of vandalism by third parties or terrorism. Our security measures or those of our third party service providers may not detect or prevent such security breaches. Any such compromise of our information security could result in unauthorized access to our confidential business or proprietary information.</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risks, including:</w:t>
      </w:r>
    </w:p>
    <w:p>
      <w:pPr>
        <w:spacing w:after="0" w:line="279"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28" w:right="259" w:bottom="1440" w:gutter="0" w:footer="0" w:header="0"/>
        </w:sectPr>
      </w:pPr>
    </w:p>
    <w:bookmarkStart w:id="44" w:name="page45"/>
    <w:bookmarkEnd w:id="44"/>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created widespread destruction and economic uncertainty in that region. Our fiscal 2011 revenue in Japan decreased by approximately 9% year over year, primarily due to lower sales activity in the consumer end market sector in Japan as a result of the earthquake and tsunami. In addition, recent flooding in Thailand and the Philippines had disruptive effects on local semiconductor-related businesses.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Approximately 70%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August 4, 2012, our principal source of liquidity was $3,765.0 million of cash and cash equivalents and short-term investments, of which approximately $1,007.3 million was held in the United States and the remaining balance was held outside the United States in various foreign subsidiaries. As we intend to reinvest certain of our foreign earnings indefinitely, this cash held outside the United States is not readily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1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12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3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industry is subject to increasingly strict EHS requirements, particularly those environmental requirements that control and restrict the use, transportation, emission, discharge, storage and disposal of certain chemicals, elements and materials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38"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issuances of $375.0 million senior unsecured notes or our $145.0 million term loan facility.</w:t>
      </w:r>
    </w:p>
    <w:p>
      <w:pPr>
        <w:spacing w:after="0" w:line="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fiscal 2009, we issued in a public offering $375.0 million aggregate principal amount of 5.0% senior unsecured notes due July 1, 2014. In April 2011, we issued in a public offering $375.0 million aggregate principal amount of 3.0% senior unsecured notes due April 15, 2016. In December 2010, Analog Devices Holdings B.V., a wholly owned subsidiary of ours, entered into a $145.0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21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Such measures might not be sufficient to enable us to service our debt, including the notes or our term loan facility, which could negatively impact our financial results. In addition, any such financing, refinancing or sale of assets might not be possible on economically favorable terms.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2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Restrictions in our revolving credit and term loan facilities and outstanding debt instruments may limit our activities.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current revolving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22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80" w:hanging="328"/>
        <w:spacing w:after="0" w:line="3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accused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27" w:right="2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60" w:type="dxa"/>
            <w:vAlign w:val="bottom"/>
            <w:gridSpan w:val="4"/>
          </w:tcPr>
          <w:p>
            <w:pPr>
              <w:ind w:left="8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1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 Per Share (b)</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Programs (c)</w:t>
            </w:r>
          </w:p>
        </w:tc>
        <w:tc>
          <w:tcPr>
            <w:tcW w:w="200" w:type="dxa"/>
            <w:vAlign w:val="bottom"/>
          </w:tcPr>
          <w:p>
            <w:pPr>
              <w:spacing w:after="0"/>
              <w:rPr>
                <w:sz w:val="16"/>
                <w:szCs w:val="16"/>
                <w:color w:val="auto"/>
              </w:rPr>
            </w:pPr>
          </w:p>
        </w:tc>
        <w:tc>
          <w:tcPr>
            <w:tcW w:w="1620" w:type="dxa"/>
            <w:vAlign w:val="bottom"/>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6, 2012 through</w:t>
            </w:r>
          </w:p>
        </w:tc>
        <w:tc>
          <w:tcPr>
            <w:tcW w:w="184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37,193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35.83</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36,856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597,780,977</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June 2, 2012</w:t>
            </w:r>
          </w:p>
        </w:tc>
        <w:tc>
          <w:tcPr>
            <w:tcW w:w="268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CCEEFF"/>
            </w:tcBorders>
            <w:vMerge w:val="continue"/>
            <w:shd w:val="clear" w:color="auto" w:fill="CCEEFF"/>
          </w:tcPr>
          <w:p>
            <w:pPr>
              <w:spacing w:after="0"/>
              <w:rPr>
                <w:sz w:val="10"/>
                <w:szCs w:val="10"/>
                <w:color w:val="auto"/>
              </w:rPr>
            </w:pPr>
          </w:p>
        </w:tc>
        <w:tc>
          <w:tcPr>
            <w:tcW w:w="268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June 3, 2012 through</w:t>
            </w:r>
          </w:p>
        </w:tc>
        <w:tc>
          <w:tcPr>
            <w:tcW w:w="1840" w:type="dxa"/>
            <w:vAlign w:val="bottom"/>
            <w:vMerge w:val="restart"/>
          </w:tcPr>
          <w:p>
            <w:pPr>
              <w:jc w:val="right"/>
              <w:ind w:right="38"/>
              <w:spacing w:after="0"/>
              <w:rPr>
                <w:sz w:val="20"/>
                <w:szCs w:val="20"/>
                <w:color w:val="auto"/>
              </w:rPr>
            </w:pPr>
            <w:r>
              <w:rPr>
                <w:rFonts w:ascii="Arial" w:cs="Arial" w:eastAsia="Arial" w:hAnsi="Arial"/>
                <w:sz w:val="18"/>
                <w:szCs w:val="18"/>
                <w:color w:val="auto"/>
              </w:rPr>
              <w:t>80,457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36"/>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1800" w:type="dxa"/>
            <w:vAlign w:val="bottom"/>
            <w:vMerge w:val="restart"/>
          </w:tcPr>
          <w:p>
            <w:pPr>
              <w:jc w:val="right"/>
              <w:ind w:right="20"/>
              <w:spacing w:after="0"/>
              <w:rPr>
                <w:sz w:val="20"/>
                <w:szCs w:val="20"/>
                <w:color w:val="auto"/>
              </w:rPr>
            </w:pPr>
            <w:r>
              <w:rPr>
                <w:rFonts w:ascii="Arial" w:cs="Arial" w:eastAsia="Arial" w:hAnsi="Arial"/>
                <w:sz w:val="18"/>
                <w:szCs w:val="18"/>
                <w:color w:val="auto"/>
              </w:rPr>
              <w:t>80,457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ind w:right="21"/>
              <w:spacing w:after="0"/>
              <w:rPr>
                <w:sz w:val="20"/>
                <w:szCs w:val="20"/>
                <w:color w:val="auto"/>
              </w:rPr>
            </w:pPr>
            <w:r>
              <w:rPr>
                <w:rFonts w:ascii="Arial" w:cs="Arial" w:eastAsia="Arial" w:hAnsi="Arial"/>
                <w:sz w:val="18"/>
                <w:szCs w:val="18"/>
                <w:color w:val="auto"/>
              </w:rPr>
              <w:t>594,851,645</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40"/>
              <w:spacing w:after="0"/>
              <w:rPr>
                <w:sz w:val="20"/>
                <w:szCs w:val="20"/>
                <w:color w:val="auto"/>
              </w:rPr>
            </w:pPr>
            <w:r>
              <w:rPr>
                <w:rFonts w:ascii="Arial" w:cs="Arial" w:eastAsia="Arial" w:hAnsi="Arial"/>
                <w:sz w:val="18"/>
                <w:szCs w:val="18"/>
                <w:color w:val="auto"/>
              </w:rPr>
              <w:t>June 30, 2012</w:t>
            </w:r>
          </w:p>
        </w:tc>
        <w:tc>
          <w:tcPr>
            <w:tcW w:w="26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1, 2012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361,232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9"/>
                <w:szCs w:val="19"/>
                <w:color w:val="auto"/>
              </w:rPr>
            </w:pPr>
          </w:p>
        </w:tc>
        <w:tc>
          <w:tcPr>
            <w:tcW w:w="18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357,896</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581,769,062</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5"/>
              </w:rPr>
              <w:t>August 4, 2012</w:t>
            </w:r>
          </w:p>
        </w:tc>
        <w:tc>
          <w:tcPr>
            <w:tcW w:w="268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CCEEFF"/>
            </w:tcBorders>
            <w:vMerge w:val="continue"/>
            <w:shd w:val="clear" w:color="auto" w:fill="CCEEFF"/>
          </w:tcPr>
          <w:p>
            <w:pPr>
              <w:spacing w:after="0"/>
              <w:rPr>
                <w:sz w:val="11"/>
                <w:szCs w:val="11"/>
                <w:color w:val="auto"/>
              </w:rPr>
            </w:pPr>
          </w:p>
        </w:tc>
        <w:tc>
          <w:tcPr>
            <w:tcW w:w="268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680" w:type="dxa"/>
            <w:vAlign w:val="bottom"/>
          </w:tcPr>
          <w:p>
            <w:pPr>
              <w:ind w:left="5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478,882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475,209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581,769,062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3,673 shares paid to us by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20" w:lineRule="exact"/>
        <w:rPr>
          <w:rFonts w:ascii="Arial" w:cs="Arial" w:eastAsia="Arial" w:hAnsi="Arial"/>
          <w:sz w:val="17"/>
          <w:szCs w:val="17"/>
          <w:color w:val="auto"/>
        </w:rPr>
      </w:pPr>
    </w:p>
    <w:p>
      <w:pPr>
        <w:ind w:left="660" w:right="160" w:hanging="328"/>
        <w:spacing w:after="0" w:line="29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840" w:type="dxa"/>
            <w:vAlign w:val="bottom"/>
            <w:gridSpan w:val="2"/>
          </w:tcPr>
          <w:p>
            <w:pPr>
              <w:ind w:left="1560"/>
              <w:spacing w:after="0"/>
              <w:rPr>
                <w:sz w:val="20"/>
                <w:szCs w:val="20"/>
                <w:color w:val="auto"/>
              </w:rPr>
            </w:pPr>
            <w:r>
              <w:rPr>
                <w:rFonts w:ascii="Arial" w:cs="Arial" w:eastAsia="Arial" w:hAnsi="Arial"/>
                <w:sz w:val="18"/>
                <w:szCs w:val="18"/>
                <w:color w:val="auto"/>
              </w:rPr>
              <w:t>ANALOG DEVICES, INC.</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21, 2012</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ERALD</w:t>
            </w:r>
            <w:r>
              <w:rPr>
                <w:rFonts w:ascii="Arial" w:cs="Arial" w:eastAsia="Arial" w:hAnsi="Arial"/>
                <w:sz w:val="18"/>
                <w:szCs w:val="18"/>
                <w:color w:val="auto"/>
              </w:rPr>
              <w:t xml:space="preserve"> G. F</w:t>
            </w:r>
            <w:r>
              <w:rPr>
                <w:rFonts w:ascii="Arial" w:cs="Arial" w:eastAsia="Arial" w:hAnsi="Arial"/>
                <w:sz w:val="14"/>
                <w:szCs w:val="14"/>
                <w:color w:val="auto"/>
              </w:rPr>
              <w:t>ISHMAN</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Jerald G. Fishman</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21, 2012</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David A. Zinsner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080"/>
          </w:cols>
          <w:pgMar w:left="240" w:top="580" w:right="579" w:bottom="1440" w:gutter="0" w:footer="0" w:header="0"/>
        </w:sectPr>
      </w:pPr>
    </w:p>
    <w:bookmarkStart w:id="49" w:name="page50"/>
    <w:bookmarkEnd w:id="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
        </w:trPr>
        <w:tc>
          <w:tcPr>
            <w:tcW w:w="154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3"/>
              </w:rPr>
              <w:t>10.1†</w:t>
            </w: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40" w:type="dxa"/>
            <w:vAlign w:val="bottom"/>
            <w:gridSpan w:val="2"/>
            <w:vMerge w:val="continue"/>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2"/>
              </w:rPr>
              <w:t>Form of Global Restricted Stock Unit Agreement for Directors for usage under the Company's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Executive Officer).</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101.INS</w:t>
            </w:r>
          </w:p>
        </w:tc>
        <w:tc>
          <w:tcPr>
            <w:tcW w:w="892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101.SCH</w:t>
            </w:r>
          </w:p>
        </w:tc>
        <w:tc>
          <w:tcPr>
            <w:tcW w:w="8920" w:type="dxa"/>
            <w:vAlign w:val="bottom"/>
          </w:tcPr>
          <w:p>
            <w:pPr>
              <w:ind w:left="4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101.CAL</w:t>
            </w:r>
          </w:p>
        </w:tc>
        <w:tc>
          <w:tcPr>
            <w:tcW w:w="892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101.LAB</w:t>
            </w:r>
          </w:p>
        </w:tc>
        <w:tc>
          <w:tcPr>
            <w:tcW w:w="8920" w:type="dxa"/>
            <w:vAlign w:val="bottom"/>
          </w:tcPr>
          <w:p>
            <w:pPr>
              <w:ind w:left="40"/>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101.PRE</w:t>
            </w:r>
          </w:p>
        </w:tc>
        <w:tc>
          <w:tcPr>
            <w:tcW w:w="892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101.DEF</w:t>
            </w:r>
          </w:p>
        </w:tc>
        <w:tc>
          <w:tcPr>
            <w:tcW w:w="892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20" w:hanging="1076"/>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and nine months ended August 4, 2012 and July 30, 2011, (ii) Condensed Consolidated Balance Sheets at August 4, 2012 and October 29, 2011, (iii) Condensed Consolidated Statements of Cash Flows for the nine months ended August 4, 2012 and July 30, 2011 and (iv) Notes to Condensed Consolidated Financial Statements.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715"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GRANT OF RESTRICTED STOCK UNIT</w:t>
      </w: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{EMPNAME}</w:t>
      </w:r>
    </w:p>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We are pleased to advise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2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auto"/>
        </w:rPr>
        <w:t>Restricted Stock Unit</w:t>
      </w:r>
      <w:r>
        <w:rPr>
          <w:rFonts w:ascii="Arial" w:cs="Arial" w:eastAsia="Arial" w:hAnsi="Arial"/>
          <w:sz w:val="20"/>
          <w:szCs w:val="20"/>
          <w:color w:val="auto"/>
        </w:rPr>
        <w:t>.</w:t>
      </w:r>
    </w:p>
    <w:p>
      <w:pPr>
        <w:spacing w:after="0" w:line="216" w:lineRule="exact"/>
        <w:rPr>
          <w:sz w:val="20"/>
          <w:szCs w:val="20"/>
          <w:color w:val="auto"/>
        </w:rPr>
      </w:pPr>
    </w:p>
    <w:p>
      <w:pPr>
        <w:jc w:val="both"/>
        <w:ind w:left="340"/>
        <w:spacing w:after="0" w:line="292" w:lineRule="auto"/>
        <w:rPr>
          <w:sz w:val="20"/>
          <w:szCs w:val="20"/>
          <w:color w:val="auto"/>
        </w:rPr>
      </w:pPr>
      <w:r>
        <w:rPr>
          <w:rFonts w:ascii="Arial" w:cs="Arial" w:eastAsia="Arial" w:hAnsi="Arial"/>
          <w:sz w:val="20"/>
          <w:szCs w:val="20"/>
          <w:color w:val="auto"/>
        </w:rPr>
        <w:t>This agreement confirms that, subject to the terms and conditions of the Analog Devices, Inc. 2006 Stock Incentive Plan (the "Plan"), the Company has granted to the Participant (the "Participant"), effective on the Date of Grant set forth below, that number of RSUs set forth below:</w:t>
      </w:r>
    </w:p>
    <w:p>
      <w:pPr>
        <w:spacing w:after="0" w:line="11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20"/>
          <w:szCs w:val="20"/>
          <w:color w:val="auto"/>
        </w:rPr>
        <w:t>{GRANTDATE}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RSUs Granted:{RSSHARESGRANTED}</w:t>
      </w:r>
    </w:p>
    <w:p>
      <w:pPr>
        <w:sectPr>
          <w:pgSz w:w="11900" w:h="16838" w:orient="portrait"/>
          <w:cols w:equalWidth="0" w:num="1">
            <w:col w:w="11420"/>
          </w:cols>
          <w:pgMar w:left="240" w:top="1089" w:right="239" w:bottom="1440" w:gutter="0" w:footer="0" w:header="0"/>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3760"/>
        <w:spacing w:after="0" w:line="316" w:lineRule="auto"/>
        <w:rPr>
          <w:sz w:val="20"/>
          <w:szCs w:val="20"/>
          <w:color w:val="auto"/>
        </w:rPr>
      </w:pPr>
      <w:r>
        <w:rPr>
          <w:rFonts w:ascii="Arial" w:cs="Arial" w:eastAsia="Arial" w:hAnsi="Arial"/>
          <w:sz w:val="18"/>
          <w:szCs w:val="18"/>
          <w:color w:val="auto"/>
        </w:rPr>
        <w:t>The RSUs shall vest on the earlier of {GRANTDATE+1} or the date of the Company’s next annual meeting of shareholders</w:t>
      </w:r>
    </w:p>
    <w:p>
      <w:pPr>
        <w:spacing w:after="0" w:line="171" w:lineRule="exact"/>
        <w:rPr>
          <w:sz w:val="20"/>
          <w:szCs w:val="20"/>
          <w:color w:val="auto"/>
        </w:rPr>
      </w:pPr>
    </w:p>
    <w:p>
      <w:pPr>
        <w:sectPr>
          <w:pgSz w:w="11900" w:h="16838" w:orient="portrait"/>
          <w:cols w:equalWidth="0" w:num="2">
            <w:col w:w="2080" w:space="520"/>
            <w:col w:w="8820"/>
          </w:cols>
          <w:pgMar w:left="240" w:top="1089" w:right="239" w:bottom="1440" w:gutter="0" w:footer="0" w:header="0"/>
          <w:type w:val="continuous"/>
        </w:sectPr>
      </w:pPr>
    </w:p>
    <w:p>
      <w:pPr>
        <w:jc w:val="both"/>
        <w:ind w:left="340"/>
        <w:spacing w:after="0" w:line="288" w:lineRule="auto"/>
        <w:rPr>
          <w:sz w:val="20"/>
          <w:szCs w:val="20"/>
          <w:color w:val="auto"/>
        </w:rPr>
      </w:pPr>
      <w:r>
        <w:rPr>
          <w:rFonts w:ascii="Arial" w:cs="Arial" w:eastAsia="Arial" w:hAnsi="Arial"/>
          <w:sz w:val="20"/>
          <w:szCs w:val="20"/>
          <w:color w:val="auto"/>
        </w:rPr>
        <w:t>Each one (1) RSU shall, if and when it vests in accordance with this Award,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215" w:lineRule="exact"/>
        <w:rPr>
          <w:rFonts w:ascii="Arial" w:cs="Arial" w:eastAsia="Arial" w:hAnsi="Arial"/>
          <w:sz w:val="18"/>
          <w:szCs w:val="18"/>
          <w:color w:val="auto"/>
        </w:rPr>
      </w:pPr>
    </w:p>
    <w:p>
      <w:pPr>
        <w:jc w:val="both"/>
        <w:ind w:left="660" w:hanging="328"/>
        <w:spacing w:after="0" w:line="36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372" w:lineRule="exact"/>
        <w:rPr>
          <w:rFonts w:ascii="Arial" w:cs="Arial" w:eastAsia="Arial" w:hAnsi="Arial"/>
          <w:sz w:val="16"/>
          <w:szCs w:val="16"/>
          <w:color w:val="auto"/>
        </w:rPr>
      </w:pPr>
    </w:p>
    <w:p>
      <w:pPr>
        <w:jc w:val="both"/>
        <w:ind w:left="660" w:hanging="328"/>
        <w:spacing w:after="0" w:line="338"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ectPr>
          <w:pgSz w:w="11900" w:h="16838" w:orient="portrait"/>
          <w:cols w:equalWidth="0" w:num="1">
            <w:col w:w="11420"/>
          </w:cols>
          <w:pgMar w:left="240" w:top="1089" w:right="239" w:bottom="1440" w:gutter="0" w:footer="0" w:header="0"/>
          <w:type w:val="continuous"/>
        </w:sectPr>
      </w:pPr>
    </w:p>
    <w:bookmarkStart w:id="51" w:name="page52"/>
    <w:bookmarkEnd w:id="51"/>
    <w:p>
      <w:pPr>
        <w:ind w:left="652" w:right="20" w:hanging="328"/>
        <w:spacing w:after="0" w:line="303" w:lineRule="auto"/>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 xml:space="preserve">In the event the Participant </w:t>
      </w:r>
      <w:r>
        <w:rPr>
          <w:rFonts w:ascii="Arial" w:cs="Arial" w:eastAsia="Arial" w:hAnsi="Arial"/>
          <w:sz w:val="20"/>
          <w:szCs w:val="20"/>
          <w:u w:val="single" w:color="auto"/>
          <w:color w:val="auto"/>
        </w:rPr>
        <w:t>dies</w:t>
      </w:r>
      <w:r>
        <w:rPr>
          <w:rFonts w:ascii="Arial" w:cs="Arial" w:eastAsia="Arial" w:hAnsi="Arial"/>
          <w:sz w:val="20"/>
          <w:szCs w:val="20"/>
          <w:color w:val="auto"/>
        </w:rPr>
        <w:t xml:space="preserve"> while a Director of the Company, all Unvested RSUs shall vest in full as of the date of the Participant's death.</w:t>
      </w:r>
    </w:p>
    <w:p>
      <w:pPr>
        <w:spacing w:after="0" w:line="135" w:lineRule="exact"/>
        <w:rPr>
          <w:rFonts w:ascii="Arial" w:cs="Arial" w:eastAsia="Arial" w:hAnsi="Arial"/>
          <w:sz w:val="20"/>
          <w:szCs w:val="20"/>
          <w:color w:val="auto"/>
        </w:rPr>
      </w:pPr>
    </w:p>
    <w:p>
      <w:pPr>
        <w:jc w:val="both"/>
        <w:ind w:left="652" w:hanging="328"/>
        <w:spacing w:after="0" w:line="287" w:lineRule="auto"/>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In the event the Participant ceases to be a Director by reason of a </w:t>
      </w: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(as defined below), the Unvested RSUs as of the date of the Participant cease to be a Director shall vest in full as of such date. For the purpose of this Award, "Disability" means (i) the Participant's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151" w:lineRule="exact"/>
        <w:rPr>
          <w:rFonts w:ascii="Arial" w:cs="Arial" w:eastAsia="Arial" w:hAnsi="Arial"/>
          <w:sz w:val="20"/>
          <w:szCs w:val="20"/>
          <w:color w:val="auto"/>
        </w:rPr>
      </w:pPr>
    </w:p>
    <w:p>
      <w:pPr>
        <w:jc w:val="both"/>
        <w:ind w:left="652" w:hanging="328"/>
        <w:spacing w:after="0" w:line="292" w:lineRule="auto"/>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If the Participant becomes an </w:t>
      </w: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6" w:lineRule="exact"/>
        <w:rPr>
          <w:rFonts w:ascii="Arial" w:cs="Arial" w:eastAsia="Arial" w:hAnsi="Arial"/>
          <w:sz w:val="20"/>
          <w:szCs w:val="20"/>
          <w:color w:val="auto"/>
        </w:rPr>
      </w:pPr>
    </w:p>
    <w:p>
      <w:pPr>
        <w:ind w:left="652" w:hanging="328"/>
        <w:spacing w:after="0" w:line="303" w:lineRule="auto"/>
        <w:tabs>
          <w:tab w:leader="none" w:pos="6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Notwithstanding anything in the Plan or herein, all Unvested RSUs shall vest in full as of a Change in Control Event (as defined in the Plan).</w:t>
      </w:r>
    </w:p>
    <w:p>
      <w:pPr>
        <w:spacing w:after="0" w:line="135" w:lineRule="exact"/>
        <w:rPr>
          <w:rFonts w:ascii="Arial" w:cs="Arial" w:eastAsia="Arial" w:hAnsi="Arial"/>
          <w:sz w:val="20"/>
          <w:szCs w:val="20"/>
          <w:color w:val="auto"/>
        </w:rPr>
      </w:pPr>
    </w:p>
    <w:p>
      <w:pPr>
        <w:ind w:left="652" w:hanging="328"/>
        <w:spacing w:after="0" w:line="363" w:lineRule="auto"/>
        <w:tabs>
          <w:tab w:leader="none" w:pos="6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89" w:lineRule="exact"/>
        <w:rPr>
          <w:rFonts w:ascii="Arial" w:cs="Arial" w:eastAsia="Arial" w:hAnsi="Arial"/>
          <w:sz w:val="18"/>
          <w:szCs w:val="18"/>
          <w:color w:val="auto"/>
        </w:rPr>
      </w:pP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15" w:lineRule="exact"/>
        <w:rPr>
          <w:rFonts w:ascii="Arial" w:cs="Arial" w:eastAsia="Arial" w:hAnsi="Arial"/>
          <w:sz w:val="18"/>
          <w:szCs w:val="18"/>
          <w:color w:val="auto"/>
        </w:rPr>
      </w:pPr>
    </w:p>
    <w:p>
      <w:pPr>
        <w:ind w:left="652" w:hanging="328"/>
        <w:spacing w:after="0"/>
        <w:tabs>
          <w:tab w:leader="none" w:pos="6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238" w:lineRule="exact"/>
        <w:rPr>
          <w:rFonts w:ascii="Arial" w:cs="Arial" w:eastAsia="Arial" w:hAnsi="Arial"/>
          <w:sz w:val="18"/>
          <w:szCs w:val="18"/>
          <w:color w:val="auto"/>
        </w:rPr>
      </w:pPr>
    </w:p>
    <w:p>
      <w:pPr>
        <w:jc w:val="both"/>
        <w:ind w:left="652" w:hanging="328"/>
        <w:spacing w:after="0" w:line="292" w:lineRule="auto"/>
        <w:tabs>
          <w:tab w:leader="none" w:pos="652"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6" w:lineRule="exact"/>
        <w:rPr>
          <w:rFonts w:ascii="Arial" w:cs="Arial" w:eastAsia="Arial" w:hAnsi="Arial"/>
          <w:sz w:val="20"/>
          <w:szCs w:val="20"/>
          <w:color w:val="auto"/>
        </w:rPr>
      </w:pPr>
    </w:p>
    <w:p>
      <w:pPr>
        <w:jc w:val="both"/>
        <w:ind w:left="332" w:hanging="332"/>
        <w:spacing w:after="0" w:line="287" w:lineRule="auto"/>
        <w:tabs>
          <w:tab w:leader="none" w:pos="332" w:val="left"/>
        </w:tabs>
        <w:numPr>
          <w:ilvl w:val="0"/>
          <w:numId w:val="24"/>
        </w:numPr>
        <w:rPr>
          <w:rFonts w:ascii="Arial" w:cs="Arial" w:eastAsia="Arial" w:hAnsi="Arial"/>
          <w:sz w:val="18"/>
          <w:szCs w:val="18"/>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51" w:lineRule="exact"/>
        <w:rPr>
          <w:rFonts w:ascii="Arial" w:cs="Arial" w:eastAsia="Arial" w:hAnsi="Arial"/>
          <w:sz w:val="18"/>
          <w:szCs w:val="18"/>
          <w:color w:val="auto"/>
        </w:rPr>
      </w:pPr>
    </w:p>
    <w:p>
      <w:pPr>
        <w:jc w:val="both"/>
        <w:ind w:left="332" w:hanging="332"/>
        <w:spacing w:after="0" w:line="314"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The RSUs and Shares, including the grant and issuance thereof, are subject to the provisions of the Plan. A copy of the Plan prospectus is available on the Company's Intranet at www.analog.com/employee (from Signals home page, click Knowledge Centers, HR, Employee Stock Programs. The related documents can be found in the right-hand column).</w:t>
      </w:r>
    </w:p>
    <w:p>
      <w:pPr>
        <w:spacing w:after="0" w:line="128" w:lineRule="exact"/>
        <w:rPr>
          <w:rFonts w:ascii="Arial" w:cs="Arial" w:eastAsia="Arial" w:hAnsi="Arial"/>
          <w:sz w:val="17"/>
          <w:szCs w:val="17"/>
          <w:color w:val="auto"/>
        </w:rPr>
      </w:pPr>
    </w:p>
    <w:p>
      <w:pPr>
        <w:jc w:val="both"/>
        <w:ind w:left="332" w:hanging="332"/>
        <w:spacing w:after="0" w:line="292" w:lineRule="auto"/>
        <w:tabs>
          <w:tab w:leader="none" w:pos="332" w:val="left"/>
        </w:tabs>
        <w:numPr>
          <w:ilvl w:val="0"/>
          <w:numId w:val="24"/>
        </w:numPr>
        <w:rPr>
          <w:rFonts w:ascii="Arial" w:cs="Arial" w:eastAsia="Arial" w:hAnsi="Arial"/>
          <w:sz w:val="18"/>
          <w:szCs w:val="18"/>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Any Shares that are issued and any cash payment that is delivered, in either case upon settlement of the RSUs pursuant to this Award, will be in consideration of the Participant's service as a member of the Board of Directors of the Company and/or his continued employment with the Company, which consideration is deemed sufficient.</w:t>
      </w:r>
    </w:p>
    <w:p>
      <w:pPr>
        <w:sectPr>
          <w:pgSz w:w="11900" w:h="16838" w:orient="portrait"/>
          <w:cols w:equalWidth="0" w:num="1">
            <w:col w:w="11412"/>
          </w:cols>
          <w:pgMar w:left="248" w:top="1122" w:right="239" w:bottom="1440" w:gutter="0" w:footer="0" w:header="0"/>
        </w:sectPr>
      </w:pPr>
    </w:p>
    <w:bookmarkStart w:id="52" w:name="page53"/>
    <w:bookmarkEnd w:id="52"/>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Withholding Taxes</w:t>
      </w:r>
      <w:r>
        <w:rPr>
          <w:rFonts w:ascii="Arial" w:cs="Arial" w:eastAsia="Arial" w:hAnsi="Arial"/>
          <w:sz w:val="20"/>
          <w:szCs w:val="20"/>
          <w:color w:val="auto"/>
        </w:rPr>
        <w:t>.</w:t>
      </w:r>
    </w:p>
    <w:p>
      <w:pPr>
        <w:spacing w:after="0" w:line="310" w:lineRule="exact"/>
        <w:rPr>
          <w:rFonts w:ascii="Arial" w:cs="Arial" w:eastAsia="Arial" w:hAnsi="Arial"/>
          <w:sz w:val="18"/>
          <w:szCs w:val="18"/>
          <w:color w:val="auto"/>
        </w:rPr>
      </w:pPr>
    </w:p>
    <w:p>
      <w:pPr>
        <w:jc w:val="both"/>
        <w:ind w:left="652" w:hanging="328"/>
        <w:spacing w:after="0" w:line="302" w:lineRule="auto"/>
        <w:tabs>
          <w:tab w:leader="none" w:pos="652" w:val="left"/>
        </w:tabs>
        <w:numPr>
          <w:ilvl w:val="1"/>
          <w:numId w:val="25"/>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U.S. federal, state and local taxes and/or non-U.S. taxes), social insurance, payroll tax, payment on account or other tax-related withholding ("Tax-Related Items"), the Participant acknowledges that the ultimate liability for all Tax-Related Items legally due by the Participant is and remains the Participant's responsibility, and that the Company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w:t>
      </w:r>
    </w:p>
    <w:p>
      <w:pPr>
        <w:spacing w:after="0" w:line="141" w:lineRule="exact"/>
        <w:rPr>
          <w:rFonts w:ascii="Arial" w:cs="Arial" w:eastAsia="Arial" w:hAnsi="Arial"/>
          <w:sz w:val="19"/>
          <w:szCs w:val="19"/>
          <w:color w:val="auto"/>
        </w:rPr>
      </w:pPr>
    </w:p>
    <w:p>
      <w:pPr>
        <w:jc w:val="both"/>
        <w:ind w:left="652" w:hanging="328"/>
        <w:spacing w:after="0" w:line="317" w:lineRule="auto"/>
        <w:tabs>
          <w:tab w:leader="none" w:pos="6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Prior to the delivery of Shares upon the vesting of the RSUs, if any taxing jurisdiction requires withholding of Tax-Related Items, 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 Alternatively, the Company may, in its discretion, withhold any amount necessary to pay the Tax-Related Items from the Participant's salary or other amounts payable to the Participant, with no withholding in Shares. 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of Directors)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9" w:lineRule="exact"/>
        <w:rPr>
          <w:rFonts w:ascii="Arial" w:cs="Arial" w:eastAsia="Arial" w:hAnsi="Arial"/>
          <w:sz w:val="18"/>
          <w:szCs w:val="18"/>
          <w:color w:val="auto"/>
        </w:rPr>
      </w:pPr>
    </w:p>
    <w:p>
      <w:pPr>
        <w:jc w:val="both"/>
        <w:ind w:left="332" w:hanging="332"/>
        <w:spacing w:after="0" w:line="285" w:lineRule="auto"/>
        <w:tabs>
          <w:tab w:leader="none" w:pos="332" w:val="left"/>
        </w:tabs>
        <w:numPr>
          <w:ilvl w:val="0"/>
          <w:numId w:val="25"/>
        </w:numPr>
        <w:rPr>
          <w:rFonts w:ascii="Arial" w:cs="Arial" w:eastAsia="Arial" w:hAnsi="Arial"/>
          <w:sz w:val="18"/>
          <w:szCs w:val="18"/>
          <w:color w:val="auto"/>
        </w:rPr>
      </w:pPr>
      <w:r>
        <w:rPr>
          <w:rFonts w:ascii="Arial" w:cs="Arial" w:eastAsia="Arial" w:hAnsi="Arial"/>
          <w:sz w:val="20"/>
          <w:szCs w:val="20"/>
          <w:u w:val="single" w:color="auto"/>
          <w:color w:val="auto"/>
        </w:rPr>
        <w:t>Option of Company to Deliver Cash</w:t>
      </w:r>
      <w:r>
        <w:rPr>
          <w:rFonts w:ascii="Arial" w:cs="Arial" w:eastAsia="Arial" w:hAnsi="Arial"/>
          <w:sz w:val="20"/>
          <w:szCs w:val="20"/>
          <w:color w:val="auto"/>
        </w:rPr>
        <w:t>. Notwithstanding any of the other provisions of this Award and except where otherwise prohibited under local law or where cash settlement may present adverse tax consequences to the Participant, at the time the RSUs vest, the Company may elect, in the sole discretion of the Compensation Committee of the Board of Directors,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withholding obligations of the Company pursuant to Section 7 herein.</w:t>
      </w:r>
    </w:p>
    <w:p>
      <w:pPr>
        <w:spacing w:after="0" w:line="154" w:lineRule="exact"/>
        <w:rPr>
          <w:rFonts w:ascii="Arial" w:cs="Arial" w:eastAsia="Arial" w:hAnsi="Arial"/>
          <w:sz w:val="18"/>
          <w:szCs w:val="18"/>
          <w:color w:val="auto"/>
        </w:rPr>
      </w:pPr>
    </w:p>
    <w:p>
      <w:pPr>
        <w:jc w:val="both"/>
        <w:ind w:left="332" w:hanging="332"/>
        <w:spacing w:after="0" w:line="303" w:lineRule="auto"/>
        <w:tabs>
          <w:tab w:leader="none" w:pos="332" w:val="left"/>
        </w:tabs>
        <w:numPr>
          <w:ilvl w:val="0"/>
          <w:numId w:val="25"/>
        </w:numPr>
        <w:rPr>
          <w:rFonts w:ascii="Arial" w:cs="Arial" w:eastAsia="Arial" w:hAnsi="Arial"/>
          <w:sz w:val="17"/>
          <w:szCs w:val="17"/>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w:t>
      </w:r>
    </w:p>
    <w:p>
      <w:pPr>
        <w:sectPr>
          <w:pgSz w:w="11900" w:h="16838" w:orient="portrait"/>
          <w:cols w:equalWidth="0" w:num="1">
            <w:col w:w="11412"/>
          </w:cols>
          <w:pgMar w:left="248" w:top="1122" w:right="239" w:bottom="1440" w:gutter="0" w:footer="0" w:header="0"/>
        </w:sectPr>
      </w:pPr>
    </w:p>
    <w:bookmarkStart w:id="53" w:name="page54"/>
    <w:bookmarkEnd w:id="53"/>
    <w:p>
      <w:pPr>
        <w:ind w:left="332"/>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collection, use, processing and transfer of personal data as described herein.</w:t>
      </w:r>
    </w:p>
    <w:p>
      <w:pPr>
        <w:spacing w:after="0" w:line="229" w:lineRule="exact"/>
        <w:rPr>
          <w:sz w:val="20"/>
          <w:szCs w:val="20"/>
          <w:color w:val="auto"/>
        </w:rPr>
      </w:pPr>
    </w:p>
    <w:p>
      <w:pPr>
        <w:jc w:val="both"/>
        <w:ind w:left="332"/>
        <w:spacing w:after="0" w:line="318" w:lineRule="auto"/>
        <w:rPr>
          <w:sz w:val="20"/>
          <w:szCs w:val="20"/>
          <w:color w:val="auto"/>
        </w:rPr>
      </w:pPr>
      <w:r>
        <w:rPr>
          <w:rFonts w:ascii="Arial" w:cs="Arial" w:eastAsia="Arial" w:hAnsi="Arial"/>
          <w:sz w:val="18"/>
          <w:szCs w:val="18"/>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30" w:lineRule="exact"/>
        <w:rPr>
          <w:sz w:val="20"/>
          <w:szCs w:val="20"/>
          <w:color w:val="auto"/>
        </w:rPr>
      </w:pPr>
    </w:p>
    <w:p>
      <w:pPr>
        <w:jc w:val="both"/>
        <w:ind w:left="332"/>
        <w:spacing w:after="0" w:line="301" w:lineRule="auto"/>
        <w:rPr>
          <w:sz w:val="20"/>
          <w:szCs w:val="20"/>
          <w:color w:val="auto"/>
        </w:rPr>
      </w:pPr>
      <w:r>
        <w:rPr>
          <w:rFonts w:ascii="Arial" w:cs="Arial" w:eastAsia="Arial" w:hAnsi="Arial"/>
          <w:sz w:val="19"/>
          <w:szCs w:val="19"/>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44" w:lineRule="exact"/>
        <w:rPr>
          <w:sz w:val="20"/>
          <w:szCs w:val="20"/>
          <w:color w:val="auto"/>
        </w:rPr>
      </w:pPr>
    </w:p>
    <w:p>
      <w:pPr>
        <w:jc w:val="both"/>
        <w:ind w:left="332"/>
        <w:spacing w:after="0" w:line="286" w:lineRule="auto"/>
        <w:rPr>
          <w:sz w:val="20"/>
          <w:szCs w:val="20"/>
          <w:color w:val="auto"/>
        </w:rPr>
      </w:pPr>
      <w:r>
        <w:rPr>
          <w:rFonts w:ascii="Arial" w:cs="Arial" w:eastAsia="Arial" w:hAnsi="Arial"/>
          <w:sz w:val="20"/>
          <w:szCs w:val="20"/>
          <w:color w:val="auto"/>
        </w:rPr>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52" w:lineRule="exact"/>
        <w:rPr>
          <w:sz w:val="20"/>
          <w:szCs w:val="20"/>
          <w:color w:val="auto"/>
        </w:rPr>
      </w:pPr>
    </w:p>
    <w:p>
      <w:pPr>
        <w:jc w:val="both"/>
        <w:ind w:left="332" w:hanging="332"/>
        <w:spacing w:after="0" w:line="302" w:lineRule="auto"/>
        <w:tabs>
          <w:tab w:leader="none" w:pos="332" w:val="left"/>
        </w:tabs>
        <w:numPr>
          <w:ilvl w:val="0"/>
          <w:numId w:val="26"/>
        </w:numPr>
        <w:rPr>
          <w:rFonts w:ascii="Arial" w:cs="Arial" w:eastAsia="Arial" w:hAnsi="Arial"/>
          <w:sz w:val="17"/>
          <w:szCs w:val="17"/>
          <w:color w:val="auto"/>
        </w:rPr>
      </w:pPr>
      <w:r>
        <w:rPr>
          <w:rFonts w:ascii="Arial" w:cs="Arial" w:eastAsia="Arial" w:hAnsi="Arial"/>
          <w:sz w:val="19"/>
          <w:szCs w:val="19"/>
          <w:u w:val="single" w:color="auto"/>
          <w:color w:val="auto"/>
        </w:rPr>
        <w:t>Repatriation: Compliance with Laws</w:t>
      </w:r>
      <w:r>
        <w:rPr>
          <w:rFonts w:ascii="Arial" w:cs="Arial" w:eastAsia="Arial" w:hAnsi="Arial"/>
          <w:sz w:val="19"/>
          <w:szCs w:val="19"/>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ectPr>
          <w:pgSz w:w="11900" w:h="16838" w:orient="portrait"/>
          <w:cols w:equalWidth="0" w:num="1">
            <w:col w:w="11412"/>
          </w:cols>
          <w:pgMar w:left="248" w:top="1136" w:right="239" w:bottom="1440" w:gutter="0" w:footer="0" w:header="0"/>
        </w:sectPr>
      </w:pPr>
    </w:p>
    <w:bookmarkStart w:id="54" w:name="page55"/>
    <w:bookmarkEnd w:id="54"/>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Miscellaneous</w:t>
      </w:r>
      <w:r>
        <w:rPr>
          <w:rFonts w:ascii="Arial" w:cs="Arial" w:eastAsia="Arial" w:hAnsi="Arial"/>
          <w:sz w:val="20"/>
          <w:szCs w:val="20"/>
          <w:color w:val="auto"/>
        </w:rPr>
        <w:t>.</w:t>
      </w:r>
    </w:p>
    <w:p>
      <w:pPr>
        <w:spacing w:after="0" w:line="215" w:lineRule="exact"/>
        <w:rPr>
          <w:rFonts w:ascii="Arial" w:cs="Arial" w:eastAsia="Arial" w:hAnsi="Arial"/>
          <w:sz w:val="18"/>
          <w:szCs w:val="18"/>
          <w:color w:val="auto"/>
        </w:rPr>
      </w:pPr>
    </w:p>
    <w:p>
      <w:pPr>
        <w:jc w:val="both"/>
        <w:ind w:left="652" w:hanging="328"/>
        <w:spacing w:after="0" w:line="325" w:lineRule="auto"/>
        <w:tabs>
          <w:tab w:leader="none" w:pos="6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 Rights to Board Service</w:t>
      </w:r>
      <w:r>
        <w:rPr>
          <w:rFonts w:ascii="Arial" w:cs="Arial" w:eastAsia="Arial" w:hAnsi="Arial"/>
          <w:sz w:val="18"/>
          <w:szCs w:val="18"/>
          <w:color w:val="auto"/>
        </w:rPr>
        <w:t>. The grant of the RSUs shall not confer upon the Participant any right to continue to serve on the Board of Directors of the Company or, if applicable, as an employee of the Company or its subsidiaries, nor limit in any way the terms of the Participant's service on the Board of Directors, including for removal therefrom. The vesting of the RSUs pursuant to Section 2 hereof is earned only by satisfaction of the performance conditions, if any, and continuing service on the Board of Directors or as otherwise set forth in Section 2 (not through the act of being elected, hired or engaged or being granted the RSUs hereunder).</w:t>
      </w:r>
    </w:p>
    <w:p>
      <w:pPr>
        <w:spacing w:after="0" w:line="124" w:lineRule="exact"/>
        <w:rPr>
          <w:rFonts w:ascii="Arial" w:cs="Arial" w:eastAsia="Arial" w:hAnsi="Arial"/>
          <w:sz w:val="18"/>
          <w:szCs w:val="18"/>
          <w:color w:val="auto"/>
        </w:rPr>
      </w:pPr>
    </w:p>
    <w:p>
      <w:pPr>
        <w:jc w:val="both"/>
        <w:ind w:left="652" w:hanging="328"/>
        <w:spacing w:after="0" w:line="323" w:lineRule="auto"/>
        <w:tabs>
          <w:tab w:leader="none" w:pos="6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Discretionary Nature</w:t>
      </w:r>
      <w:r>
        <w:rPr>
          <w:rFonts w:ascii="Arial" w:cs="Arial" w:eastAsia="Arial" w:hAnsi="Arial"/>
          <w:sz w:val="18"/>
          <w:szCs w:val="18"/>
          <w:color w:val="auto"/>
        </w:rPr>
        <w:t>. The Participant acknowledges and agrees that the Plan is discretionary in nature and may be amended, cancelled, or terminated by the Company, in its sole discretion, at any time.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w:t>
      </w:r>
    </w:p>
    <w:p>
      <w:pPr>
        <w:spacing w:after="0" w:line="124" w:lineRule="exact"/>
        <w:rPr>
          <w:rFonts w:ascii="Arial" w:cs="Arial" w:eastAsia="Arial" w:hAnsi="Arial"/>
          <w:sz w:val="18"/>
          <w:szCs w:val="18"/>
          <w:color w:val="auto"/>
        </w:rPr>
      </w:pPr>
    </w:p>
    <w:p>
      <w:pPr>
        <w:jc w:val="both"/>
        <w:ind w:left="652" w:hanging="328"/>
        <w:spacing w:after="0" w:line="287" w:lineRule="auto"/>
        <w:tabs>
          <w:tab w:leader="none" w:pos="652"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The Participant's participation in the Plan is voluntary. The value of the RSUs and any other awards granted under the Plan is an extraordinary item of compensation outside the scope of the Participant's service on the Board of Directors of the Company. Any grant under the Plan, including the grant of the RSUs, is not part of normal or expected compensation for purposes of calculating any severance, resignation, redundancy, end of service payments, bonuses, long-service awards, pension, or retirement benefits or similar payments.</w:t>
      </w:r>
    </w:p>
    <w:p>
      <w:pPr>
        <w:spacing w:after="0" w:line="151" w:lineRule="exact"/>
        <w:rPr>
          <w:rFonts w:ascii="Arial" w:cs="Arial" w:eastAsia="Arial" w:hAnsi="Arial"/>
          <w:sz w:val="20"/>
          <w:szCs w:val="20"/>
          <w:color w:val="auto"/>
        </w:rPr>
      </w:pPr>
    </w:p>
    <w:p>
      <w:pPr>
        <w:ind w:left="652" w:hanging="328"/>
        <w:spacing w:after="0" w:line="363" w:lineRule="auto"/>
        <w:tabs>
          <w:tab w:leader="none" w:pos="6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89" w:lineRule="exact"/>
        <w:rPr>
          <w:rFonts w:ascii="Arial" w:cs="Arial" w:eastAsia="Arial" w:hAnsi="Arial"/>
          <w:sz w:val="18"/>
          <w:szCs w:val="18"/>
          <w:color w:val="auto"/>
        </w:rPr>
      </w:pPr>
    </w:p>
    <w:p>
      <w:pPr>
        <w:jc w:val="both"/>
        <w:ind w:left="652" w:hanging="328"/>
        <w:spacing w:after="0" w:line="292" w:lineRule="auto"/>
        <w:tabs>
          <w:tab w:leader="none" w:pos="652"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Award shall be binding upon and inure to the benefit of the Company and the Participant and their respective heirs, executors, administrators, legal representatives, successors and assigns, subject to the restrictions on transfer set forth in Section 3 of this Award.</w:t>
      </w:r>
    </w:p>
    <w:p>
      <w:pPr>
        <w:spacing w:after="0" w:line="146" w:lineRule="exact"/>
        <w:rPr>
          <w:rFonts w:ascii="Arial" w:cs="Arial" w:eastAsia="Arial" w:hAnsi="Arial"/>
          <w:sz w:val="20"/>
          <w:szCs w:val="20"/>
          <w:color w:val="auto"/>
        </w:rPr>
      </w:pPr>
    </w:p>
    <w:p>
      <w:pPr>
        <w:jc w:val="both"/>
        <w:ind w:left="652" w:hanging="328"/>
        <w:spacing w:after="0" w:line="325" w:lineRule="auto"/>
        <w:tabs>
          <w:tab w:leader="none" w:pos="6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24" w:lineRule="exact"/>
        <w:rPr>
          <w:rFonts w:ascii="Arial" w:cs="Arial" w:eastAsia="Arial" w:hAnsi="Arial"/>
          <w:sz w:val="18"/>
          <w:szCs w:val="18"/>
          <w:color w:val="auto"/>
        </w:rPr>
      </w:pPr>
    </w:p>
    <w:p>
      <w:pPr>
        <w:ind w:left="652" w:hanging="328"/>
        <w:spacing w:after="0" w:line="331" w:lineRule="auto"/>
        <w:tabs>
          <w:tab w:leader="none" w:pos="65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13" w:lineRule="exact"/>
        <w:rPr>
          <w:rFonts w:ascii="Arial" w:cs="Arial" w:eastAsia="Arial" w:hAnsi="Arial"/>
          <w:sz w:val="19"/>
          <w:szCs w:val="19"/>
          <w:color w:val="auto"/>
        </w:rPr>
      </w:pPr>
    </w:p>
    <w:p>
      <w:pPr>
        <w:ind w:left="652" w:hanging="328"/>
        <w:spacing w:after="0" w:line="303" w:lineRule="auto"/>
        <w:tabs>
          <w:tab w:leader="none" w:pos="652"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Award and the Plan constitute the entire understanding between the parties, and supersede all prior agreements and understandings, relating to the subject matter of these documents.</w:t>
      </w:r>
    </w:p>
    <w:p>
      <w:pPr>
        <w:sectPr>
          <w:pgSz w:w="11900" w:h="16838" w:orient="portrait"/>
          <w:cols w:equalWidth="0" w:num="1">
            <w:col w:w="11412"/>
          </w:cols>
          <w:pgMar w:left="248" w:top="1122" w:right="239" w:bottom="1440" w:gutter="0" w:footer="0" w:header="0"/>
        </w:sectPr>
      </w:pPr>
    </w:p>
    <w:bookmarkStart w:id="55" w:name="page56"/>
    <w:bookmarkEnd w:id="55"/>
    <w:p>
      <w:pPr>
        <w:ind w:left="328" w:hanging="328"/>
        <w:spacing w:after="0" w:line="303"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Governing Law</w:t>
      </w:r>
      <w:r>
        <w:rPr>
          <w:rFonts w:ascii="Arial" w:cs="Arial" w:eastAsia="Arial" w:hAnsi="Arial"/>
          <w:sz w:val="20"/>
          <w:szCs w:val="20"/>
          <w:color w:val="auto"/>
        </w:rPr>
        <w:t>. This Award shall be construed, interpreted and enforced in accordance with the internal laws of the Commonwealth of Massachusetts without regard to any applicable conflicts of laws.</w:t>
      </w:r>
    </w:p>
    <w:p>
      <w:pPr>
        <w:spacing w:after="0" w:line="135" w:lineRule="exact"/>
        <w:rPr>
          <w:rFonts w:ascii="Arial" w:cs="Arial" w:eastAsia="Arial" w:hAnsi="Arial"/>
          <w:sz w:val="20"/>
          <w:szCs w:val="20"/>
          <w:color w:val="auto"/>
        </w:rPr>
      </w:pPr>
    </w:p>
    <w:p>
      <w:pPr>
        <w:ind w:left="328" w:hanging="328"/>
        <w:spacing w:after="0" w:line="331"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this Award or the Plan, or other matters related to the Plan, by the Compensation Committee of the Board of Directors of the Company shall be final and conclusive.</w:t>
      </w:r>
    </w:p>
    <w:p>
      <w:pPr>
        <w:spacing w:after="0" w:line="113" w:lineRule="exact"/>
        <w:rPr>
          <w:rFonts w:ascii="Arial" w:cs="Arial" w:eastAsia="Arial" w:hAnsi="Arial"/>
          <w:sz w:val="19"/>
          <w:szCs w:val="19"/>
          <w:color w:val="auto"/>
        </w:rPr>
      </w:pPr>
    </w:p>
    <w:p>
      <w:pPr>
        <w:jc w:val="both"/>
        <w:ind w:left="328" w:hanging="328"/>
        <w:spacing w:after="0" w:line="288"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52" w:lineRule="exact"/>
        <w:rPr>
          <w:rFonts w:ascii="Arial" w:cs="Arial" w:eastAsia="Arial" w:hAnsi="Arial"/>
          <w:sz w:val="20"/>
          <w:szCs w:val="20"/>
          <w:color w:val="auto"/>
        </w:rPr>
      </w:pPr>
    </w:p>
    <w:p>
      <w:pPr>
        <w:jc w:val="both"/>
        <w:ind w:left="328" w:hanging="328"/>
        <w:spacing w:after="0" w:line="288"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2" w:lineRule="exact"/>
        <w:rPr>
          <w:rFonts w:ascii="Arial" w:cs="Arial" w:eastAsia="Arial" w:hAnsi="Arial"/>
          <w:sz w:val="20"/>
          <w:szCs w:val="20"/>
          <w:color w:val="auto"/>
        </w:rPr>
      </w:pPr>
    </w:p>
    <w:p>
      <w:pPr>
        <w:jc w:val="both"/>
        <w:ind w:left="328" w:hanging="328"/>
        <w:spacing w:after="0" w:line="329" w:lineRule="auto"/>
        <w:tabs>
          <w:tab w:leader="none" w:pos="3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21" w:lineRule="exact"/>
        <w:rPr>
          <w:rFonts w:ascii="Arial" w:cs="Arial" w:eastAsia="Arial" w:hAnsi="Arial"/>
          <w:sz w:val="18"/>
          <w:szCs w:val="18"/>
          <w:color w:val="auto"/>
        </w:rPr>
      </w:pPr>
    </w:p>
    <w:p>
      <w:pPr>
        <w:jc w:val="both"/>
        <w:ind w:left="328" w:hanging="328"/>
        <w:spacing w:after="0" w:line="323"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Notwithstanding any provisions herein to the contrary, the RSUs shall be subject to any special terms and conditions for the Participant's country of residence (and, if any, country of employment, if different), as may be set forth in an addendum to this Agreement (the "Addendum"). Further, if the Participant transfers the Participant's residence and/or employment to another country reflected in an Addendum, the special terms and conditions for such country will apply to the Participant to the extent the Company determines, in its sole discretion, that the application of such terms and conditions is necessary or advisable in order to comply with local law or to facilitate the administration of the Plan. Any Addendum shall constitute part of this Agreement.</w:t>
      </w:r>
    </w:p>
    <w:p>
      <w:pPr>
        <w:spacing w:after="0" w:line="124" w:lineRule="exact"/>
        <w:rPr>
          <w:rFonts w:ascii="Arial" w:cs="Arial" w:eastAsia="Arial" w:hAnsi="Arial"/>
          <w:sz w:val="18"/>
          <w:szCs w:val="18"/>
          <w:color w:val="auto"/>
        </w:rPr>
      </w:pPr>
    </w:p>
    <w:p>
      <w:pPr>
        <w:jc w:val="both"/>
        <w:ind w:left="328" w:hanging="328"/>
        <w:spacing w:after="0" w:line="287"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Additional Requirements</w:t>
      </w:r>
      <w:r>
        <w:rPr>
          <w:rFonts w:ascii="Arial" w:cs="Arial" w:eastAsia="Arial" w:hAnsi="Arial"/>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151" w:lineRule="exact"/>
        <w:rPr>
          <w:rFonts w:ascii="Arial" w:cs="Arial" w:eastAsia="Arial" w:hAnsi="Arial"/>
          <w:sz w:val="20"/>
          <w:szCs w:val="20"/>
          <w:color w:val="auto"/>
        </w:rPr>
      </w:pPr>
    </w:p>
    <w:p>
      <w:pPr>
        <w:jc w:val="both"/>
        <w:ind w:left="328" w:hanging="328"/>
        <w:spacing w:after="0" w:line="329"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ectPr>
          <w:pgSz w:w="11900" w:h="16838" w:orient="portrait"/>
          <w:cols w:equalWidth="0" w:num="1">
            <w:col w:w="11088"/>
          </w:cols>
          <w:pgMar w:left="572" w:top="1122" w:right="239" w:bottom="1440" w:gutter="0" w:footer="0" w:header="0"/>
        </w:sectPr>
      </w:pPr>
    </w:p>
    <w:bookmarkStart w:id="56" w:name="page57"/>
    <w:bookmarkEnd w:id="56"/>
    <w:p>
      <w:pPr>
        <w:jc w:val="both"/>
        <w:ind w:left="620" w:hanging="328"/>
        <w:spacing w:after="0" w:line="329"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15060" cy="351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51790"/>
                    </a:xfrm>
                    <a:prstGeom prst="rect">
                      <a:avLst/>
                    </a:prstGeom>
                    <a:noFill/>
                  </pic:spPr>
                </pic:pic>
              </a:graphicData>
            </a:graphic>
          </wp:anchor>
        </w:drawing>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Directors of the Company.</w:t>
      </w:r>
    </w:p>
    <w:p>
      <w:pPr>
        <w:spacing w:after="0" w:line="121" w:lineRule="exact"/>
        <w:rPr>
          <w:rFonts w:ascii="Arial" w:cs="Arial" w:eastAsia="Arial" w:hAnsi="Arial"/>
          <w:sz w:val="18"/>
          <w:szCs w:val="18"/>
          <w:color w:val="auto"/>
        </w:rPr>
      </w:pPr>
    </w:p>
    <w:p>
      <w:pPr>
        <w:ind w:left="620" w:hanging="32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Award may be amended or modified only by a written instrument executed by both the Company and the Participant.</w:t>
      </w:r>
    </w:p>
    <w:p>
      <w:pPr>
        <w:sectPr>
          <w:pgSz w:w="11900" w:h="16838" w:orient="portrait"/>
          <w:cols w:equalWidth="0" w:num="1">
            <w:col w:w="11380"/>
          </w:cols>
          <w:pgMar w:left="280" w:top="1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Ray Stata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Jerald G. Fishman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2">
            <w:col w:w="3440" w:space="720"/>
            <w:col w:w="7220"/>
          </w:cols>
          <w:pgMar w:left="280" w:top="1122" w:right="2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6"/>
          <w:szCs w:val="16"/>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Jerald G. Fishman, certify that:</w:t>
      </w:r>
    </w:p>
    <w:p>
      <w:pPr>
        <w:spacing w:after="0" w:line="5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Analog Devices, Inc.;</w:t>
      </w:r>
    </w:p>
    <w:p>
      <w:pPr>
        <w:spacing w:after="0" w:line="59" w:lineRule="exact"/>
        <w:rPr>
          <w:rFonts w:ascii="Arial" w:cs="Arial" w:eastAsia="Arial" w:hAnsi="Arial"/>
          <w:sz w:val="16"/>
          <w:szCs w:val="16"/>
          <w:color w:val="auto"/>
        </w:rPr>
      </w:pPr>
    </w:p>
    <w:p>
      <w:pPr>
        <w:ind w:left="660" w:right="20" w:hanging="328"/>
        <w:spacing w:after="0" w:line="300"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56"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6"/>
          <w:szCs w:val="16"/>
          <w:color w:val="auto"/>
        </w:rPr>
      </w:pPr>
    </w:p>
    <w:p>
      <w:pPr>
        <w:ind w:left="1300" w:right="80" w:hanging="320"/>
        <w:spacing w:after="0" w:line="275"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6"/>
          <w:szCs w:val="16"/>
          <w:color w:val="auto"/>
        </w:rPr>
      </w:pPr>
    </w:p>
    <w:p>
      <w:pPr>
        <w:ind w:left="1300" w:right="20" w:hanging="320"/>
        <w:spacing w:after="0" w:line="261"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1300" w:right="460" w:hanging="320"/>
        <w:spacing w:after="0" w:line="275"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August 21, 2012</w:t>
      </w:r>
      <w:r>
        <w:rPr>
          <w:sz w:val="20"/>
          <w:szCs w:val="20"/>
          <w:color w:val="auto"/>
        </w:rPr>
        <w:tab/>
      </w:r>
      <w:r>
        <w:rPr>
          <w:rFonts w:ascii="Arial" w:cs="Arial" w:eastAsia="Arial" w:hAnsi="Arial"/>
          <w:sz w:val="14"/>
          <w:szCs w:val="14"/>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Jerald G. Fishman</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President and Chief</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Officer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13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David A. Zinsner, certify that:</w:t>
      </w:r>
    </w:p>
    <w:p>
      <w:pPr>
        <w:spacing w:after="0" w:line="7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Analog Devices, Inc.;</w:t>
      </w:r>
    </w:p>
    <w:p>
      <w:pPr>
        <w:spacing w:after="0" w:line="63" w:lineRule="exact"/>
        <w:rPr>
          <w:rFonts w:ascii="Arial" w:cs="Arial" w:eastAsia="Arial" w:hAnsi="Arial"/>
          <w:sz w:val="18"/>
          <w:szCs w:val="18"/>
          <w:color w:val="auto"/>
        </w:rPr>
      </w:pPr>
    </w:p>
    <w:p>
      <w:pPr>
        <w:ind w:left="660" w:right="20" w:hanging="328"/>
        <w:spacing w:after="0" w:line="30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97" w:lineRule="exact"/>
        <w:rPr>
          <w:rFonts w:ascii="Arial" w:cs="Arial" w:eastAsia="Arial" w:hAnsi="Arial"/>
          <w:sz w:val="16"/>
          <w:szCs w:val="16"/>
          <w:color w:val="auto"/>
        </w:rPr>
      </w:pPr>
    </w:p>
    <w:p>
      <w:pPr>
        <w:ind w:left="1300" w:right="180" w:hanging="320"/>
        <w:spacing w:after="0" w:line="279"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1300" w:right="80" w:hanging="320"/>
        <w:spacing w:after="0" w:line="279"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8"/>
          <w:szCs w:val="18"/>
          <w:color w:val="auto"/>
        </w:rPr>
      </w:pPr>
    </w:p>
    <w:p>
      <w:pPr>
        <w:ind w:left="1300" w:right="80" w:hanging="320"/>
        <w:spacing w:after="0" w:line="28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300" w:right="20" w:hanging="320"/>
        <w:spacing w:after="0" w:line="279"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660" w:right="480" w:hanging="328"/>
        <w:spacing w:after="0" w:line="28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left="1300" w:right="260" w:hanging="320"/>
        <w:spacing w:after="0" w:line="28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300" w:right="460" w:hanging="320"/>
        <w:spacing w:after="0" w:line="28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August 21, 2012</w:t>
      </w:r>
      <w:r>
        <w:rPr>
          <w:sz w:val="20"/>
          <w:szCs w:val="20"/>
          <w:color w:val="auto"/>
        </w:rPr>
        <w:tab/>
      </w:r>
      <w:r>
        <w:rPr>
          <w:rFonts w:ascii="Arial" w:cs="Arial" w:eastAsia="Arial" w:hAnsi="Arial"/>
          <w:sz w:val="15"/>
          <w:szCs w:val="15"/>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David A. Zinsner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Vice President, Finance</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and Chief Financial Officer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13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Quarterly Report on Form 10-Q of Analog Devices, Inc. (the “Company”) for the period ended August 4, 2012 as filed with the Securities and Exchange Commission on the date hereof (the “Report”), the undersigned, Jerald G. Fishman, Chief Executive Officer of the Company, hereby certifies, pursuant to 18 U.S.C. Section 1350, that:</w:t>
      </w:r>
    </w:p>
    <w:p>
      <w:pPr>
        <w:spacing w:after="0" w:line="2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August 21, 2012</w:t>
      </w:r>
      <w:r>
        <w:rPr>
          <w:sz w:val="20"/>
          <w:szCs w:val="20"/>
          <w:color w:val="auto"/>
        </w:rPr>
        <w:tab/>
      </w:r>
      <w:r>
        <w:rPr>
          <w:rFonts w:ascii="Arial" w:cs="Arial" w:eastAsia="Arial" w:hAnsi="Arial"/>
          <w:sz w:val="14"/>
          <w:szCs w:val="14"/>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Jerald G. Fishman</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3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Quarterly Report on Form 10-Q of Analog Devices, Inc. (the “Company”) for the period ended August 4, 2012 as filed with the Securities and Exchange Commission on the date hereof (the “Report”), the undersigned, David A. Zinsner, Chief Financial Officer of the Company, hereby certifies, pursuant to 18 U.S.C. Section 1350, that:</w:t>
      </w:r>
    </w:p>
    <w:p>
      <w:pPr>
        <w:spacing w:after="0" w:line="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61"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August 21, 2012</w:t>
      </w:r>
      <w:r>
        <w:rPr>
          <w:sz w:val="20"/>
          <w:szCs w:val="20"/>
          <w:color w:val="auto"/>
        </w:rPr>
        <w:tab/>
      </w:r>
      <w:r>
        <w:rPr>
          <w:rFonts w:ascii="Arial" w:cs="Arial" w:eastAsia="Arial" w:hAnsi="Arial"/>
          <w:sz w:val="15"/>
          <w:szCs w:val="15"/>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David A. Zinsner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Roman"/>
      <w:start w:val="2"/>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Roman"/>
      <w:start w:val="2"/>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2"/>
    </w:lvl>
    <w:lvl w:ilvl="1">
      <w:lvlJc w:val="left"/>
      <w:lvlText w:val="(%2)"/>
      <w:numFmt w:val="lowerLetter"/>
      <w:start w:val="1"/>
    </w:lvl>
  </w:abstractNum>
  <w:abstractNum w:abstractNumId="22">
    <w:nsid w:val="2CA88611"/>
    <w:multiLevelType w:val="hybridMultilevel"/>
    <w:lvl w:ilvl="0">
      <w:lvlJc w:val="left"/>
      <w:lvlText w:val="%1"/>
      <w:numFmt w:val="decimal"/>
      <w:start w:val="1"/>
    </w:lvl>
    <w:lvl w:ilvl="1">
      <w:lvlJc w:val="left"/>
      <w:lvlText w:val="(%2)"/>
      <w:numFmt w:val="lowerLetter"/>
      <w:start w:val="3"/>
    </w:lvl>
  </w:abstractNum>
  <w:abstractNum w:abstractNumId="23">
    <w:nsid w:val="836C40E"/>
    <w:multiLevelType w:val="hybridMultilevel"/>
    <w:lvl w:ilvl="0">
      <w:lvlJc w:val="left"/>
      <w:lvlText w:val="%1."/>
      <w:numFmt w:val="decimal"/>
      <w:start w:val="3"/>
    </w:lvl>
    <w:lvl w:ilvl="1">
      <w:lvlJc w:val="left"/>
      <w:lvlText w:val="(%2)"/>
      <w:numFmt w:val="lowerLetter"/>
      <w:start w:val="1"/>
    </w:lvl>
  </w:abstractNum>
  <w:abstractNum w:abstractNumId="24">
    <w:nsid w:val="2901D82"/>
    <w:multiLevelType w:val="hybridMultilevel"/>
    <w:lvl w:ilvl="0">
      <w:lvlJc w:val="left"/>
      <w:lvlText w:val="%1."/>
      <w:numFmt w:val="decimal"/>
      <w:start w:val="7"/>
    </w:lvl>
    <w:lvl w:ilvl="1">
      <w:lvlJc w:val="left"/>
      <w:lvlText w:val="(%2)"/>
      <w:numFmt w:val="lowerLetter"/>
      <w:start w:val="1"/>
    </w:lvl>
  </w:abstractNum>
  <w:abstractNum w:abstractNumId="25">
    <w:nsid w:val="3A95F874"/>
    <w:multiLevelType w:val="hybridMultilevel"/>
    <w:lvl w:ilvl="0">
      <w:lvlJc w:val="left"/>
      <w:lvlText w:val="%1."/>
      <w:numFmt w:val="decimal"/>
      <w:start w:val="10"/>
    </w:lvl>
  </w:abstractNum>
  <w:abstractNum w:abstractNumId="26">
    <w:nsid w:val="8138641"/>
    <w:multiLevelType w:val="hybridMultilevel"/>
    <w:lvl w:ilvl="0">
      <w:lvlJc w:val="left"/>
      <w:lvlText w:val="%1."/>
      <w:numFmt w:val="decimal"/>
      <w:start w:val="11"/>
    </w:lvl>
    <w:lvl w:ilvl="1">
      <w:lvlJc w:val="left"/>
      <w:lvlText w:val="(%2)"/>
      <w:numFmt w:val="lowerLetter"/>
      <w:start w:val="1"/>
    </w:lvl>
  </w:abstractNum>
  <w:abstractNum w:abstractNumId="27">
    <w:nsid w:val="1E7FF521"/>
    <w:multiLevelType w:val="hybridMultilevel"/>
    <w:lvl w:ilvl="0">
      <w:lvlJc w:val="left"/>
      <w:lvlText w:val="(%1)"/>
      <w:numFmt w:val="lowerLetter"/>
      <w:start w:val="9"/>
    </w:lvl>
  </w:abstractNum>
  <w:abstractNum w:abstractNumId="28">
    <w:nsid w:val="7C3DBD3D"/>
    <w:multiLevelType w:val="hybridMultilevel"/>
    <w:lvl w:ilvl="0">
      <w:lvlJc w:val="left"/>
      <w:lvlText w:val="(%1)"/>
      <w:numFmt w:val="lowerLetter"/>
      <w:start w:val="17"/>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2019-12-09T05:35:15Z</dcterms:created>
  <dcterms:modified xsi:type="dcterms:W3CDTF">2019-12-09T05:35:15Z</dcterms:modified>
</cp:coreProperties>
</file>