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2344d8k.htm"/>
      <w:bookmarkStart w:id="1" w:name="ksd11234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Analog Devices,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Massachusetts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1-7819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04-2348234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One Analog Way</w:t>
            </w:r>
          </w:p>
          <w:p>
            <w:pPr>
              <w:pStyle w:val="TableContents"/>
              <w:bidi w:val="0"/>
              <w:spacing w:before="0" w:after="20"/>
              <w:jc w:val="center"/>
              <w:rPr>
                <w:rFonts w:ascii="Times New Roman" w:hAnsi="Times New Roman"/>
                <w:b/>
                <w:sz w:val="20"/>
              </w:rPr>
            </w:pPr>
            <w:r>
              <w:rPr>
                <w:rFonts w:ascii="Times New Roman" w:hAnsi="Times New Roman"/>
                <w:b/>
                <w:sz w:val="20"/>
              </w:rPr>
              <w:t>Wilmington,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01887</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(781) 329-4700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10" w:type="dxa"/>
        <w:jc w:val="left"/>
        <w:tblInd w:w="0" w:type="dxa"/>
        <w:tblLayout w:type="fixed"/>
        <w:tblCellMar>
          <w:top w:w="0" w:type="dxa"/>
          <w:left w:w="0" w:type="dxa"/>
          <w:bottom w:w="0" w:type="dxa"/>
          <w:right w:w="0" w:type="dxa"/>
        </w:tblCellMar>
      </w:tblPr>
      <w:tblGrid>
        <w:gridCol w:w="4325"/>
        <w:gridCol w:w="60"/>
        <w:gridCol w:w="740"/>
        <w:gridCol w:w="60"/>
        <w:gridCol w:w="2825"/>
      </w:tblGrid>
      <w:tr>
        <w:trPr/>
        <w:tc>
          <w:tcPr>
            <w:tcW w:w="4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3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325" w:type="dxa"/>
            <w:tcBorders/>
            <w:vAlign w:val="center"/>
          </w:tcPr>
          <w:p>
            <w:pPr>
              <w:pStyle w:val="TableContents"/>
              <w:bidi w:val="0"/>
              <w:spacing w:before="0" w:after="283"/>
              <w:jc w:val="center"/>
              <w:rPr/>
            </w:pPr>
            <w:r>
              <w:rPr/>
              <w:t>Common Stock $0.16 2/3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ADI</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65" w:type="dxa"/>
        <w:jc w:val="left"/>
        <w:tblInd w:w="0" w:type="dxa"/>
        <w:tblLayout w:type="fixed"/>
        <w:tblCellMar>
          <w:top w:w="0" w:type="dxa"/>
          <w:left w:w="0" w:type="dxa"/>
          <w:bottom w:w="0" w:type="dxa"/>
          <w:right w:w="0" w:type="dxa"/>
        </w:tblCellMar>
      </w:tblPr>
      <w:tblGrid>
        <w:gridCol w:w="1025"/>
        <w:gridCol w:w="3740"/>
      </w:tblGrid>
      <w:tr>
        <w:trPr/>
        <w:tc>
          <w:tcPr>
            <w:tcW w:w="1025"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 2026, Analog Devices, Inc. (the “Company”) entered into a Credit Agreement (the “Revolving Credit Agreement”) among the Company, certain subsidiaries of the Company from time to time party thereto as Designated Borrowers, Bank of America, N.A., as Administrative Agent, the several banks and other financial institutions from time to time parties thereto as lenders, Citibank, N.A., JPMorgan Chase Bank, N.A., Morgan Stanley Senior Funding, Inc., Barclays Bank PLC and BNP Paribas Securities Corp., as co-documentation agents, and BofA Securities, Inc., Citibank, N.A., JPMorgan Chase Bank, N.A., Morgan Stanley Senior Funding, Inc., Barclays Bank PLC and BNP Paribas Securities Corp., as joint lead arrangers and joint bookrunners. The Revolving Credit Agreement, provides for a 364-day revolving credit facility (“Revolving Credit Facility”) in an aggregate principal amount not to exceed $3.0 billion. Terms used in this Item 1.01 and not defined herein shall have the meanings ascribed to them in the Revolving Credit Agreement, which is attached to this Form 8-K as Exhibit 10.1. </w:t>
      </w:r>
    </w:p>
    <w:p>
      <w:pPr>
        <w:pStyle w:val="TextBody"/>
        <w:bidi w:val="0"/>
        <w:spacing w:before="240" w:after="0"/>
        <w:jc w:val="left"/>
        <w:rPr>
          <w:rFonts w:ascii="Times New Roman" w:hAnsi="Times New Roman"/>
          <w:sz w:val="20"/>
        </w:rPr>
      </w:pPr>
      <w:r>
        <w:rPr>
          <w:rFonts w:ascii="Times New Roman" w:hAnsi="Times New Roman"/>
          <w:sz w:val="20"/>
        </w:rPr>
        <w:t xml:space="preserve">The Revolving Credit Facility expires on July 1, 2027 (the “Initial Maturity Date”). In advance of each annual anniversary of the Closing Date, the Revolving Credit Agreement may be extended for an additional year from the maturity date then in effect at the request of the Company and with the consent of the lenders with no limit on the number of such extension requests. Additionally, the Company may, no less than three business days prior to the Initial Maturity Date, opt to convert all or a portion of the then outstanding loans under the Revolving Credit Facility to a non-amortizing term loan that will be due upon the one year anniversary of the Initial Maturity Date, subject to specified conditions and a fee equal to 0.50% of the principal amount of loans so converted. Borrowings under the Revolving Credit Agreement are prepayable at the Company’s option in whole or in part without premium or penalty, subject to reimbursement of the Lenders’ breakage and redeployment costs. Voluntary reductions of the unutilized portion of the commitments under the Revolving Credit Facility are similarly permissible without penalty. In addition, amounts borrowed under the Revolving Credit Agreement may be repaid and reborrowed from time to time prior to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not request increases in the lending commitments under the Revolving Credit Agreement. Furthermore, the Company has the right, subject to certain conditions set forth in the Revolving Credit Agreement, to designate certain foreign subsidiaries of the Company as borrowers under the Revolving Credit Facility. In connection with any such designation, the Company will guarantee the obligations of each subsidiary that is named as Designated Borrower under the Revolving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Loans under the Revolving Credit Agreement may bear interest based on Term SOFR, Base Rate or specified alternative currency benchmark rates. Each Term SOFR Loan will bear interest at a rate per annum equal to the applicable Term SOFR plus a margin based on the Company’s Debt Ratings from time to time of between 0.48% and 0.925%. Each Base Rate Loan will bear interest at a rate per annum equal to the Base Rate. In addition, the Company has agreed to pay a facility fee based on the Company’s Debt Ratings from time to time, at a rate per annum of between 0.020% and 0.075% times the actual daily amount of the Commitments in effect. The Revolving Credit Agreement includes a multicurrency borrowing feature permitting borrowings in U.S. dollars, euros, pounds sterling and certain other approved currencies. </w:t>
      </w:r>
    </w:p>
    <w:p>
      <w:pPr>
        <w:pStyle w:val="TextBody"/>
        <w:bidi w:val="0"/>
        <w:spacing w:before="240" w:after="0"/>
        <w:jc w:val="left"/>
        <w:rPr>
          <w:rFonts w:ascii="Times New Roman" w:hAnsi="Times New Roman"/>
          <w:sz w:val="20"/>
        </w:rPr>
      </w:pPr>
      <w:r>
        <w:rPr>
          <w:rFonts w:ascii="Times New Roman" w:hAnsi="Times New Roman"/>
          <w:sz w:val="20"/>
        </w:rPr>
        <w:t xml:space="preserve">The Revolving Credit Agreement contains customary representations and warranties, and affirmative and negative covenants and events of default applicable to the Company and its subsidiaries. The events of default include, among others, nonpayment of principal, interest, fees or other amounts, failure to perform certain covenants, cross-defaults to certain other indebtedness, insolvency or bankruptcy, customary ERISA defaults or the occurrence of a change of control. The negative covenants include limitations on liens and mergers and other fundamental changes, among others. The Revolving Credit Agreement also requires that, commencing with the first fiscal quarter ending after the Closing Date, the Company maintain a ratio of consolidated EBITDA to consolidated interest charges of no less than 3.00 to 1.00 for any fiscal quarter ending thereafter.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respective businesses, certain of the lenders and the other parties to the Revolving Credit Agreement and their respective affiliates have engaged, and may in the future engage, in commercial banking, investment banking, financial advisory or other services with the Company and its affiliates for which they have in the past received, and/or may in the future receive, customary compensation and expense reimbursement.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description of the Revolving Credit Agreement does not purport to be complete and is qualified in its entirety by reference to the full text of the Revolving Credit Agreement, which is filed as Exhibit 10.1, and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9"/>
        <w:gridCol w:w="9216"/>
      </w:tblGrid>
      <w:tr>
        <w:trPr/>
        <w:tc>
          <w:tcPr>
            <w:tcW w:w="989" w:type="dxa"/>
            <w:tcBorders/>
            <w:vAlign w:val="center"/>
          </w:tcPr>
          <w:p>
            <w:pPr>
              <w:pStyle w:val="TableContents"/>
              <w:bidi w:val="0"/>
              <w:spacing w:before="0" w:after="283"/>
              <w:jc w:val="left"/>
              <w:rPr>
                <w:b/>
              </w:rPr>
            </w:pPr>
            <w:r>
              <w:rPr>
                <w:b/>
              </w:rPr>
              <w:t>Item 2.03.</w:t>
            </w:r>
          </w:p>
        </w:tc>
        <w:tc>
          <w:tcPr>
            <w:tcW w:w="921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included in Item 1.01 of this Current Report on Form 8-K is incorporated by reference into this Item 2.03.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305"/>
        <w:gridCol w:w="770"/>
      </w:tblGrid>
      <w:tr>
        <w:trPr/>
        <w:tc>
          <w:tcPr>
            <w:tcW w:w="305"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120"/>
        <w:gridCol w:w="9360"/>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725" w:type="dxa"/>
            <w:tcBorders>
              <w:bottom w:val="single" w:sz="8" w:space="0" w:color="000000"/>
            </w:tcBorders>
            <w:tcMar>
              <w:bottom w:w="28" w:type="dxa"/>
            </w:tcMar>
            <w:vAlign w:val="center"/>
          </w:tcPr>
          <w:p>
            <w:pPr>
              <w:pStyle w:val="TableContents"/>
              <w:bidi w:val="0"/>
              <w:spacing w:before="0" w:after="283"/>
              <w:jc w:val="center"/>
              <w:rPr/>
            </w:pPr>
            <w:r>
              <w:rPr/>
              <w:t>Exhibit</w:t>
              <w:br/>
              <w:t>No.</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w:t>
            </w:r>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112344dex101.htm">
              <w:r>
                <w:rPr>
                  <w:rStyle w:val="InternetLink"/>
                </w:rPr>
                <w:t xml:space="preserve">Credit Agreement, dated as of July 2, 2026, among Analog Devices, Inc., as Borrower, Bank of America, N.A. as Administrative Agent, and each lender from time to time party thereto.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9480"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Cover Page Interactive Data File (formatted as inline XBRL).</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683" w:type="dxa"/>
        <w:jc w:val="left"/>
        <w:tblInd w:w="0" w:type="dxa"/>
        <w:tblLayout w:type="fixed"/>
        <w:tblCellMar>
          <w:top w:w="0" w:type="dxa"/>
          <w:left w:w="0" w:type="dxa"/>
          <w:bottom w:w="0" w:type="dxa"/>
          <w:right w:w="0" w:type="dxa"/>
        </w:tblCellMar>
      </w:tblPr>
      <w:tblGrid>
        <w:gridCol w:w="556"/>
        <w:gridCol w:w="879"/>
        <w:gridCol w:w="338"/>
        <w:gridCol w:w="60"/>
        <w:gridCol w:w="365"/>
        <w:gridCol w:w="60"/>
        <w:gridCol w:w="6425"/>
      </w:tblGrid>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pPr>
            <w:r>
              <w:rPr/>
              <w:t>Date: July 2, 2026</w:t>
            </w:r>
          </w:p>
        </w:tc>
        <w:tc>
          <w:tcPr>
            <w:tcW w:w="60" w:type="dxa"/>
            <w:tcBorders/>
            <w:vAlign w:val="center"/>
          </w:tcPr>
          <w:p>
            <w:pPr>
              <w:pStyle w:val="TableContents"/>
              <w:bidi w:val="0"/>
              <w:spacing w:before="0" w:after="283"/>
              <w:jc w:val="left"/>
              <w:rPr/>
            </w:pPr>
            <w:r>
              <w:rPr/>
              <w:t> </w:t>
            </w:r>
          </w:p>
        </w:tc>
        <w:tc>
          <w:tcPr>
            <w:tcW w:w="6850" w:type="dxa"/>
            <w:gridSpan w:val="3"/>
            <w:tcBorders/>
            <w:vAlign w:val="center"/>
          </w:tcPr>
          <w:p>
            <w:pPr>
              <w:pStyle w:val="TableContents"/>
              <w:bidi w:val="0"/>
              <w:spacing w:before="0" w:after="283"/>
              <w:jc w:val="left"/>
              <w:rPr/>
            </w:pPr>
            <w:r>
              <w:rPr/>
              <w:t>ANALOG DEVICES, INC.</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217"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485"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Janene I. Asgeirsson</w:t>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left"/>
              <w:rPr/>
            </w:pPr>
            <w:r>
              <w:rPr/>
              <w:t>Janene I. Asgeirsson</w:t>
            </w:r>
          </w:p>
        </w:tc>
      </w:tr>
      <w:tr>
        <w:trPr/>
        <w:tc>
          <w:tcPr>
            <w:tcW w:w="5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left"/>
              <w:rPr/>
            </w:pPr>
            <w:r>
              <w:rPr/>
              <w:t>Senior Vice President, Chief Legal Officer and Corporate Secretary</w:t>
            </w:r>
          </w:p>
        </w:tc>
      </w:tr>
    </w:tbl>
    <w:p>
      <w:pPr>
        <w:pStyle w:val="TextBody"/>
        <w:bidi w:val="0"/>
        <w:spacing w:before="0" w:after="0"/>
        <w:jc w:val="right"/>
        <w:rPr>
          <w:rFonts w:ascii="Times New Roman" w:hAnsi="Times New Roman"/>
          <w:b/>
          <w:sz w:val="20"/>
        </w:rPr>
      </w:pPr>
      <w:bookmarkStart w:id="2" w:name="d112344dex101.htm"/>
      <w:bookmarkStart w:id="3" w:name="ksd112344dex101"/>
      <w:bookmarkEnd w:id="2"/>
      <w:bookmarkEnd w:id="3"/>
      <w:r>
        <w:rPr>
          <w:rFonts w:ascii="Times New Roman" w:hAnsi="Times New Roman"/>
          <w:b/>
          <w:sz w:val="20"/>
        </w:rPr>
        <w:t xml:space="preserve">Exhibit 10.1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120" w:after="0"/>
        <w:jc w:val="right"/>
        <w:rPr>
          <w:rFonts w:ascii="Times New Roman" w:hAnsi="Times New Roman"/>
          <w:sz w:val="20"/>
        </w:rPr>
      </w:pPr>
      <w:r>
        <w:rPr>
          <w:rFonts w:ascii="Times New Roman" w:hAnsi="Times New Roman"/>
          <w:sz w:val="20"/>
        </w:rPr>
        <w:t xml:space="preserve">Deal CUSIP: 03265PAV0 </w:t>
      </w:r>
    </w:p>
    <w:p>
      <w:pPr>
        <w:pStyle w:val="TextBody"/>
        <w:bidi w:val="0"/>
        <w:spacing w:before="0" w:after="0"/>
        <w:jc w:val="right"/>
        <w:rPr>
          <w:rFonts w:ascii="Times New Roman" w:hAnsi="Times New Roman"/>
          <w:sz w:val="20"/>
        </w:rPr>
      </w:pPr>
      <w:r>
        <w:rPr>
          <w:rFonts w:ascii="Times New Roman" w:hAnsi="Times New Roman"/>
          <w:sz w:val="20"/>
        </w:rPr>
        <w:t xml:space="preserve">Revolver CUSIP: 03265PAW8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2,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ANALOG DEVICES, INC., </w:t>
      </w:r>
    </w:p>
    <w:p>
      <w:pPr>
        <w:pStyle w:val="TextBody"/>
        <w:bidi w:val="0"/>
        <w:spacing w:before="0" w:after="0"/>
        <w:jc w:val="center"/>
        <w:rPr>
          <w:rFonts w:ascii="Times New Roman" w:hAnsi="Times New Roman"/>
          <w:sz w:val="20"/>
        </w:rPr>
      </w:pPr>
      <w:r>
        <w:rPr>
          <w:rFonts w:ascii="Times New Roman" w:hAnsi="Times New Roman"/>
          <w:sz w:val="20"/>
        </w:rPr>
        <w:t xml:space="preserve">as the Company and as a Borrower, </w:t>
      </w:r>
    </w:p>
    <w:p>
      <w:pPr>
        <w:pStyle w:val="TextBody"/>
        <w:bidi w:val="0"/>
        <w:spacing w:before="240" w:after="0"/>
        <w:jc w:val="center"/>
        <w:rPr>
          <w:rFonts w:ascii="Times New Roman" w:hAnsi="Times New Roman"/>
          <w:sz w:val="20"/>
        </w:rPr>
      </w:pPr>
      <w:r>
        <w:rPr>
          <w:rFonts w:ascii="Times New Roman" w:hAnsi="Times New Roman"/>
          <w:sz w:val="20"/>
        </w:rPr>
        <w:t xml:space="preserve">CERTAIN SUBSIDIARIES OF THE COMPANY, </w:t>
      </w:r>
    </w:p>
    <w:p>
      <w:pPr>
        <w:pStyle w:val="TextBody"/>
        <w:bidi w:val="0"/>
        <w:spacing w:before="0" w:after="0"/>
        <w:jc w:val="center"/>
        <w:rPr>
          <w:rFonts w:ascii="Times New Roman" w:hAnsi="Times New Roman"/>
          <w:sz w:val="20"/>
        </w:rPr>
      </w:pPr>
      <w:r>
        <w:rPr>
          <w:rFonts w:ascii="Times New Roman" w:hAnsi="Times New Roman"/>
          <w:sz w:val="20"/>
        </w:rPr>
        <w:t xml:space="preserve">as Designated Borrowers, </w:t>
      </w:r>
    </w:p>
    <w:p>
      <w:pPr>
        <w:pStyle w:val="TextBody"/>
        <w:bidi w:val="0"/>
        <w:spacing w:before="240" w:after="0"/>
        <w:jc w:val="center"/>
        <w:rPr>
          <w:rFonts w:ascii="Times New Roman" w:hAnsi="Times New Roman"/>
          <w:sz w:val="20"/>
        </w:rPr>
      </w:pPr>
      <w:r>
        <w:rPr>
          <w:rFonts w:ascii="Times New Roman" w:hAnsi="Times New Roman"/>
          <w:sz w:val="20"/>
        </w:rPr>
        <w:t xml:space="preserve">BANK OF AMERICA, N.A.,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The LENDERS Party Hereto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MORGAN STANLEY SENIOR FUNDING, INC., </w:t>
      </w:r>
    </w:p>
    <w:p>
      <w:pPr>
        <w:pStyle w:val="TextBody"/>
        <w:bidi w:val="0"/>
        <w:spacing w:before="0" w:after="0"/>
        <w:jc w:val="center"/>
        <w:rPr>
          <w:rFonts w:ascii="Times New Roman" w:hAnsi="Times New Roman"/>
          <w:sz w:val="20"/>
        </w:rPr>
      </w:pPr>
      <w:r>
        <w:rPr>
          <w:rFonts w:ascii="Times New Roman" w:hAnsi="Times New Roman"/>
          <w:sz w:val="20"/>
        </w:rPr>
        <w:t xml:space="preserve">BARCLAYS BANK PLC and </w:t>
      </w:r>
    </w:p>
    <w:p>
      <w:pPr>
        <w:pStyle w:val="TextBody"/>
        <w:bidi w:val="0"/>
        <w:spacing w:before="0" w:after="0"/>
        <w:jc w:val="center"/>
        <w:rPr>
          <w:rFonts w:ascii="Times New Roman" w:hAnsi="Times New Roman"/>
          <w:sz w:val="20"/>
        </w:rPr>
      </w:pPr>
      <w:r>
        <w:rPr>
          <w:rFonts w:ascii="Times New Roman" w:hAnsi="Times New Roman"/>
          <w:sz w:val="20"/>
        </w:rPr>
        <w:t xml:space="preserve">BNP PARIBAS SECURITIES CORP., </w:t>
      </w:r>
    </w:p>
    <w:p>
      <w:pPr>
        <w:pStyle w:val="TextBody"/>
        <w:bidi w:val="0"/>
        <w:spacing w:before="0" w:after="0"/>
        <w:jc w:val="center"/>
        <w:rPr>
          <w:rFonts w:ascii="Times New Roman" w:hAnsi="Times New Roman"/>
          <w:sz w:val="20"/>
        </w:rPr>
      </w:pPr>
      <w:r>
        <w:rPr>
          <w:rFonts w:ascii="Times New Roman" w:hAnsi="Times New Roman"/>
          <w:sz w:val="20"/>
        </w:rPr>
        <w:t xml:space="preserve">as Co-Documentation Agents </w:t>
      </w:r>
    </w:p>
    <w:p>
      <w:pPr>
        <w:pStyle w:val="TextBody"/>
        <w:bidi w:val="0"/>
        <w:spacing w:before="240" w:after="0"/>
        <w:jc w:val="center"/>
        <w:rPr>
          <w:rFonts w:ascii="Times New Roman" w:hAnsi="Times New Roman"/>
          <w:sz w:val="20"/>
        </w:rPr>
      </w:pPr>
      <w:r>
        <w:rPr>
          <w:rFonts w:ascii="Times New Roman" w:hAnsi="Times New Roman"/>
          <w:sz w:val="20"/>
        </w:rPr>
        <w:t xml:space="preserve">BOFA SECURITIES, INC., </w:t>
      </w:r>
    </w:p>
    <w:p>
      <w:pPr>
        <w:pStyle w:val="TextBody"/>
        <w:bidi w:val="0"/>
        <w:spacing w:before="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MORGAN STANLEY SENIOR FUNDING, INC., </w:t>
      </w:r>
    </w:p>
    <w:p>
      <w:pPr>
        <w:pStyle w:val="TextBody"/>
        <w:bidi w:val="0"/>
        <w:spacing w:before="0" w:after="0"/>
        <w:jc w:val="center"/>
        <w:rPr>
          <w:rFonts w:ascii="Times New Roman" w:hAnsi="Times New Roman"/>
          <w:sz w:val="20"/>
        </w:rPr>
      </w:pPr>
      <w:r>
        <w:rPr>
          <w:rFonts w:ascii="Times New Roman" w:hAnsi="Times New Roman"/>
          <w:sz w:val="20"/>
        </w:rPr>
        <w:t xml:space="preserve">BARCLAYS BANK PLC and </w:t>
      </w:r>
    </w:p>
    <w:p>
      <w:pPr>
        <w:pStyle w:val="TextBody"/>
        <w:bidi w:val="0"/>
        <w:spacing w:before="0" w:after="0"/>
        <w:jc w:val="center"/>
        <w:rPr>
          <w:rFonts w:ascii="Times New Roman" w:hAnsi="Times New Roman"/>
          <w:sz w:val="20"/>
        </w:rPr>
      </w:pPr>
      <w:r>
        <w:rPr>
          <w:rFonts w:ascii="Times New Roman" w:hAnsi="Times New Roman"/>
          <w:sz w:val="20"/>
        </w:rPr>
        <w:t xml:space="preserve">BNP PARIBAS SECURITIES CORP.,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and Joint Bookrunners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8"/>
        <w:gridCol w:w="129"/>
        <w:gridCol w:w="440"/>
        <w:gridCol w:w="129"/>
        <w:gridCol w:w="8506"/>
        <w:gridCol w:w="129"/>
        <w:gridCol w:w="90"/>
        <w:gridCol w:w="399"/>
        <w:gridCol w:w="65"/>
      </w:tblGrid>
      <w:tr>
        <w:trPr/>
        <w:tc>
          <w:tcPr>
            <w:tcW w:w="318"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850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489"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522" w:type="dxa"/>
            <w:gridSpan w:val="5"/>
            <w:tcBorders/>
            <w:vAlign w:val="center"/>
          </w:tcPr>
          <w:p>
            <w:pPr>
              <w:pStyle w:val="TableContents"/>
              <w:bidi w:val="0"/>
              <w:spacing w:before="0" w:after="283"/>
              <w:jc w:val="left"/>
              <w:rPr>
                <w:sz w:val="4"/>
                <w:szCs w:val="4"/>
              </w:rPr>
            </w:pPr>
            <w:r>
              <w:rPr>
                <w:sz w:val="4"/>
                <w:szCs w:val="4"/>
              </w:rPr>
            </w:r>
          </w:p>
        </w:tc>
        <w:tc>
          <w:tcPr>
            <w:tcW w:w="683" w:type="dxa"/>
            <w:gridSpan w:val="4"/>
            <w:tcBorders/>
            <w:vAlign w:val="center"/>
          </w:tcPr>
          <w:p>
            <w:pPr>
              <w:pStyle w:val="TableContents"/>
              <w:bidi w:val="0"/>
              <w:spacing w:before="0" w:after="283"/>
              <w:jc w:val="left"/>
              <w:rPr>
                <w:sz w:val="4"/>
                <w:szCs w:val="4"/>
              </w:rPr>
            </w:pPr>
            <w:r>
              <w:rPr>
                <w:sz w:val="4"/>
                <w:szCs w:val="4"/>
              </w:rPr>
            </w:r>
          </w:p>
        </w:tc>
      </w:tr>
      <w:tr>
        <w:trPr/>
        <w:tc>
          <w:tcPr>
            <w:tcW w:w="9522"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 DEFINITIONS AND ACCOUNTING TERMS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rHeight w:val="120" w:hRule="atLeast"/>
        </w:trPr>
        <w:tc>
          <w:tcPr>
            <w:tcW w:w="318" w:type="dxa"/>
            <w:tcBorders/>
            <w:vAlign w:val="center"/>
          </w:tcPr>
          <w:p>
            <w:pPr>
              <w:pStyle w:val="TableContents"/>
              <w:bidi w:val="0"/>
              <w:spacing w:before="0" w:after="283"/>
              <w:jc w:val="left"/>
              <w:rPr>
                <w:sz w:val="4"/>
                <w:szCs w:val="4"/>
              </w:rPr>
            </w:pPr>
            <w:r>
              <w:rPr>
                <w:sz w:val="4"/>
                <w:szCs w:val="4"/>
              </w:rPr>
            </w:r>
          </w:p>
        </w:tc>
        <w:tc>
          <w:tcPr>
            <w:tcW w:w="569" w:type="dxa"/>
            <w:gridSpan w:val="2"/>
            <w:tcBorders/>
            <w:vAlign w:val="center"/>
          </w:tcPr>
          <w:p>
            <w:pPr>
              <w:pStyle w:val="TableContents"/>
              <w:bidi w:val="0"/>
              <w:spacing w:before="0" w:after="283"/>
              <w:jc w:val="left"/>
              <w:rPr>
                <w:sz w:val="4"/>
                <w:szCs w:val="4"/>
              </w:rPr>
            </w:pPr>
            <w:r>
              <w:rPr>
                <w:sz w:val="4"/>
                <w:szCs w:val="4"/>
              </w:rPr>
            </w:r>
          </w:p>
        </w:tc>
        <w:tc>
          <w:tcPr>
            <w:tcW w:w="8635" w:type="dxa"/>
            <w:gridSpan w:val="2"/>
            <w:tcBorders/>
            <w:vAlign w:val="center"/>
          </w:tcPr>
          <w:p>
            <w:pPr>
              <w:pStyle w:val="TableContents"/>
              <w:bidi w:val="0"/>
              <w:spacing w:before="0" w:after="283"/>
              <w:jc w:val="left"/>
              <w:rPr>
                <w:sz w:val="4"/>
                <w:szCs w:val="4"/>
              </w:rPr>
            </w:pPr>
            <w:r>
              <w:rPr>
                <w:sz w:val="4"/>
                <w:szCs w:val="4"/>
              </w:rPr>
            </w:r>
          </w:p>
        </w:tc>
        <w:tc>
          <w:tcPr>
            <w:tcW w:w="683" w:type="dxa"/>
            <w:gridSpan w:val="4"/>
            <w:tcBorders/>
            <w:vAlign w:val="center"/>
          </w:tcPr>
          <w:p>
            <w:pPr>
              <w:pStyle w:val="TableContents"/>
              <w:bidi w:val="0"/>
              <w:spacing w:before="0" w:after="283"/>
              <w:jc w:val="left"/>
              <w:rPr>
                <w:sz w:val="4"/>
                <w:szCs w:val="4"/>
              </w:rPr>
            </w:pPr>
            <w:r>
              <w:rPr>
                <w:sz w:val="4"/>
                <w:szCs w:val="4"/>
              </w:rPr>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1.01</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Defined Terms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1.02</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Other Interpretive Provisions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0"/>
              <w:jc w:val="left"/>
              <w:rPr/>
            </w:pPr>
            <w:r>
              <w:rPr/>
              <w:t>  </w:t>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1.03</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Accounting Terms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26</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1.04</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Rounding</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1.05</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Times of Day</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1.06</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Exchange Rates; Currency Equivalents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1.07</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Additional Alternate Currencies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28</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1.08</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Change of Currency</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28</w:t>
            </w:r>
          </w:p>
        </w:tc>
        <w:tc>
          <w:tcPr>
            <w:tcW w:w="65" w:type="dxa"/>
            <w:tcBorders/>
            <w:vAlign w:val="bottom"/>
          </w:tcPr>
          <w:p>
            <w:pPr>
              <w:pStyle w:val="TableContents"/>
              <w:bidi w:val="0"/>
              <w:spacing w:before="0" w:after="283"/>
              <w:jc w:val="left"/>
              <w:rPr/>
            </w:pPr>
            <w:r>
              <w:rPr/>
              <w:t> </w:t>
            </w:r>
          </w:p>
        </w:tc>
      </w:tr>
      <w:tr>
        <w:trPr>
          <w:trHeight w:val="120" w:hRule="atLeast"/>
        </w:trPr>
        <w:tc>
          <w:tcPr>
            <w:tcW w:w="9522" w:type="dxa"/>
            <w:gridSpan w:val="5"/>
            <w:tcBorders/>
            <w:vAlign w:val="center"/>
          </w:tcPr>
          <w:p>
            <w:pPr>
              <w:pStyle w:val="TableContents"/>
              <w:bidi w:val="0"/>
              <w:spacing w:before="0" w:after="283"/>
              <w:jc w:val="left"/>
              <w:rPr>
                <w:sz w:val="4"/>
                <w:szCs w:val="4"/>
              </w:rPr>
            </w:pPr>
            <w:r>
              <w:rPr>
                <w:sz w:val="4"/>
                <w:szCs w:val="4"/>
              </w:rPr>
            </w:r>
          </w:p>
        </w:tc>
        <w:tc>
          <w:tcPr>
            <w:tcW w:w="683" w:type="dxa"/>
            <w:gridSpan w:val="4"/>
            <w:tcBorders/>
            <w:vAlign w:val="center"/>
          </w:tcPr>
          <w:p>
            <w:pPr>
              <w:pStyle w:val="TableContents"/>
              <w:bidi w:val="0"/>
              <w:spacing w:before="0" w:after="283"/>
              <w:jc w:val="left"/>
              <w:rPr>
                <w:sz w:val="4"/>
                <w:szCs w:val="4"/>
              </w:rPr>
            </w:pPr>
            <w:r>
              <w:rPr>
                <w:sz w:val="4"/>
                <w:szCs w:val="4"/>
              </w:rPr>
            </w:r>
          </w:p>
        </w:tc>
      </w:tr>
      <w:tr>
        <w:trPr/>
        <w:tc>
          <w:tcPr>
            <w:tcW w:w="9522"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II THE COMMITMENTS AND COMMITTED BORROWINGS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rHeight w:val="120" w:hRule="atLeast"/>
        </w:trPr>
        <w:tc>
          <w:tcPr>
            <w:tcW w:w="318" w:type="dxa"/>
            <w:tcBorders/>
            <w:vAlign w:val="center"/>
          </w:tcPr>
          <w:p>
            <w:pPr>
              <w:pStyle w:val="TableContents"/>
              <w:bidi w:val="0"/>
              <w:spacing w:before="0" w:after="283"/>
              <w:jc w:val="left"/>
              <w:rPr>
                <w:sz w:val="4"/>
                <w:szCs w:val="4"/>
              </w:rPr>
            </w:pPr>
            <w:r>
              <w:rPr>
                <w:sz w:val="4"/>
                <w:szCs w:val="4"/>
              </w:rPr>
            </w:r>
          </w:p>
        </w:tc>
        <w:tc>
          <w:tcPr>
            <w:tcW w:w="569" w:type="dxa"/>
            <w:gridSpan w:val="2"/>
            <w:tcBorders/>
            <w:vAlign w:val="center"/>
          </w:tcPr>
          <w:p>
            <w:pPr>
              <w:pStyle w:val="TableContents"/>
              <w:bidi w:val="0"/>
              <w:spacing w:before="0" w:after="283"/>
              <w:jc w:val="left"/>
              <w:rPr>
                <w:sz w:val="4"/>
                <w:szCs w:val="4"/>
              </w:rPr>
            </w:pPr>
            <w:r>
              <w:rPr>
                <w:sz w:val="4"/>
                <w:szCs w:val="4"/>
              </w:rPr>
            </w:r>
          </w:p>
        </w:tc>
        <w:tc>
          <w:tcPr>
            <w:tcW w:w="8635" w:type="dxa"/>
            <w:gridSpan w:val="2"/>
            <w:tcBorders/>
            <w:vAlign w:val="center"/>
          </w:tcPr>
          <w:p>
            <w:pPr>
              <w:pStyle w:val="TableContents"/>
              <w:bidi w:val="0"/>
              <w:spacing w:before="0" w:after="283"/>
              <w:jc w:val="left"/>
              <w:rPr>
                <w:sz w:val="4"/>
                <w:szCs w:val="4"/>
              </w:rPr>
            </w:pPr>
            <w:r>
              <w:rPr>
                <w:sz w:val="4"/>
                <w:szCs w:val="4"/>
              </w:rPr>
            </w:r>
          </w:p>
        </w:tc>
        <w:tc>
          <w:tcPr>
            <w:tcW w:w="683" w:type="dxa"/>
            <w:gridSpan w:val="4"/>
            <w:tcBorders/>
            <w:vAlign w:val="center"/>
          </w:tcPr>
          <w:p>
            <w:pPr>
              <w:pStyle w:val="TableContents"/>
              <w:bidi w:val="0"/>
              <w:spacing w:before="0" w:after="283"/>
              <w:jc w:val="left"/>
              <w:rPr>
                <w:sz w:val="4"/>
                <w:szCs w:val="4"/>
              </w:rPr>
            </w:pPr>
            <w:r>
              <w:rPr>
                <w:sz w:val="4"/>
                <w:szCs w:val="4"/>
              </w:rPr>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2.01</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Committed Loans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2.02</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Committed Borrowings, Conversions and Continuations of Committed Loans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2.03</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[Reserved]</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31</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2.04</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[Reserved]</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31</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2.05</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Prepayments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31</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2.06</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Termination or Reduction of Commitments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32</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2.07</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Repayment of Loans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32</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2.08</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Interest</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32</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2.09</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Fees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2.10</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Computation of Interest and Fees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2.11</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Evidence of Debt</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2.12</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Payments Generally; Administrative Agent’s Clawback</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2.13</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Sharing of Payments by Lenders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36</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2.14</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Extension of Maturity Date</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36</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2.15</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[Reserved]</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38</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2.16</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[Reserved]</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38</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2.17</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Defaulting Lenders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38</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2.18</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Designated Borrowers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39</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2.19</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Term-Out Option</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rHeight w:val="120" w:hRule="atLeast"/>
        </w:trPr>
        <w:tc>
          <w:tcPr>
            <w:tcW w:w="9522" w:type="dxa"/>
            <w:gridSpan w:val="5"/>
            <w:tcBorders/>
            <w:vAlign w:val="center"/>
          </w:tcPr>
          <w:p>
            <w:pPr>
              <w:pStyle w:val="TableContents"/>
              <w:bidi w:val="0"/>
              <w:spacing w:before="0" w:after="283"/>
              <w:jc w:val="left"/>
              <w:rPr>
                <w:sz w:val="4"/>
                <w:szCs w:val="4"/>
              </w:rPr>
            </w:pPr>
            <w:r>
              <w:rPr>
                <w:sz w:val="4"/>
                <w:szCs w:val="4"/>
              </w:rPr>
            </w:r>
          </w:p>
        </w:tc>
        <w:tc>
          <w:tcPr>
            <w:tcW w:w="683" w:type="dxa"/>
            <w:gridSpan w:val="4"/>
            <w:tcBorders/>
            <w:vAlign w:val="center"/>
          </w:tcPr>
          <w:p>
            <w:pPr>
              <w:pStyle w:val="TableContents"/>
              <w:bidi w:val="0"/>
              <w:spacing w:before="0" w:after="283"/>
              <w:jc w:val="left"/>
              <w:rPr>
                <w:sz w:val="4"/>
                <w:szCs w:val="4"/>
              </w:rPr>
            </w:pPr>
            <w:r>
              <w:rPr>
                <w:sz w:val="4"/>
                <w:szCs w:val="4"/>
              </w:rPr>
            </w:r>
          </w:p>
        </w:tc>
      </w:tr>
      <w:tr>
        <w:trPr/>
        <w:tc>
          <w:tcPr>
            <w:tcW w:w="9522"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III TAXES, YIELD PROTECTION AND ILLEGALITY</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rHeight w:val="120" w:hRule="atLeast"/>
        </w:trPr>
        <w:tc>
          <w:tcPr>
            <w:tcW w:w="318" w:type="dxa"/>
            <w:tcBorders/>
            <w:vAlign w:val="center"/>
          </w:tcPr>
          <w:p>
            <w:pPr>
              <w:pStyle w:val="TableContents"/>
              <w:bidi w:val="0"/>
              <w:spacing w:before="0" w:after="283"/>
              <w:jc w:val="left"/>
              <w:rPr>
                <w:sz w:val="4"/>
                <w:szCs w:val="4"/>
              </w:rPr>
            </w:pPr>
            <w:r>
              <w:rPr>
                <w:sz w:val="4"/>
                <w:szCs w:val="4"/>
              </w:rPr>
            </w:r>
          </w:p>
        </w:tc>
        <w:tc>
          <w:tcPr>
            <w:tcW w:w="569" w:type="dxa"/>
            <w:gridSpan w:val="2"/>
            <w:tcBorders/>
            <w:vAlign w:val="center"/>
          </w:tcPr>
          <w:p>
            <w:pPr>
              <w:pStyle w:val="TableContents"/>
              <w:bidi w:val="0"/>
              <w:spacing w:before="0" w:after="283"/>
              <w:jc w:val="left"/>
              <w:rPr>
                <w:sz w:val="4"/>
                <w:szCs w:val="4"/>
              </w:rPr>
            </w:pPr>
            <w:r>
              <w:rPr>
                <w:sz w:val="4"/>
                <w:szCs w:val="4"/>
              </w:rPr>
            </w:r>
          </w:p>
        </w:tc>
        <w:tc>
          <w:tcPr>
            <w:tcW w:w="8635" w:type="dxa"/>
            <w:gridSpan w:val="2"/>
            <w:tcBorders/>
            <w:vAlign w:val="center"/>
          </w:tcPr>
          <w:p>
            <w:pPr>
              <w:pStyle w:val="TableContents"/>
              <w:bidi w:val="0"/>
              <w:spacing w:before="0" w:after="283"/>
              <w:jc w:val="left"/>
              <w:rPr>
                <w:sz w:val="4"/>
                <w:szCs w:val="4"/>
              </w:rPr>
            </w:pPr>
            <w:r>
              <w:rPr>
                <w:sz w:val="4"/>
                <w:szCs w:val="4"/>
              </w:rPr>
            </w:r>
          </w:p>
        </w:tc>
        <w:tc>
          <w:tcPr>
            <w:tcW w:w="683" w:type="dxa"/>
            <w:gridSpan w:val="4"/>
            <w:tcBorders/>
            <w:vAlign w:val="center"/>
          </w:tcPr>
          <w:p>
            <w:pPr>
              <w:pStyle w:val="TableContents"/>
              <w:bidi w:val="0"/>
              <w:spacing w:before="0" w:after="283"/>
              <w:jc w:val="left"/>
              <w:rPr>
                <w:sz w:val="4"/>
                <w:szCs w:val="4"/>
              </w:rPr>
            </w:pPr>
            <w:r>
              <w:rPr>
                <w:sz w:val="4"/>
                <w:szCs w:val="4"/>
              </w:rPr>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3.01</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Taxes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3.02</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Illegality</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3.03</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Inability to Determine Rates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3.04</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Increased Costs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49</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3.05</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Compensation for Losses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3.06</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Mitigation Obligations; Replacement of Lenders</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318"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3.07</w:t>
            </w:r>
          </w:p>
        </w:tc>
        <w:tc>
          <w:tcPr>
            <w:tcW w:w="129" w:type="dxa"/>
            <w:tcBorders/>
            <w:vAlign w:val="bottom"/>
          </w:tcPr>
          <w:p>
            <w:pPr>
              <w:pStyle w:val="TableContents"/>
              <w:bidi w:val="0"/>
              <w:spacing w:before="0" w:after="283"/>
              <w:jc w:val="left"/>
              <w:rPr/>
            </w:pPr>
            <w:r>
              <w:rPr/>
              <w:t>  </w:t>
            </w:r>
          </w:p>
        </w:tc>
        <w:tc>
          <w:tcPr>
            <w:tcW w:w="8506" w:type="dxa"/>
            <w:tcBorders/>
            <w:vAlign w:val="bottom"/>
          </w:tcPr>
          <w:p>
            <w:pPr>
              <w:pStyle w:val="TableContents"/>
              <w:bidi w:val="0"/>
              <w:spacing w:before="0" w:after="283"/>
              <w:jc w:val="left"/>
              <w:rPr/>
            </w:pPr>
            <w:r>
              <w:rPr/>
              <w:t>Survival</w:t>
            </w:r>
          </w:p>
        </w:tc>
        <w:tc>
          <w:tcPr>
            <w:tcW w:w="1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51</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21"/>
        <w:gridCol w:w="149"/>
        <w:gridCol w:w="459"/>
        <w:gridCol w:w="149"/>
        <w:gridCol w:w="8493"/>
        <w:gridCol w:w="149"/>
        <w:gridCol w:w="60"/>
        <w:gridCol w:w="261"/>
        <w:gridCol w:w="64"/>
      </w:tblGrid>
      <w:tr>
        <w:trPr/>
        <w:tc>
          <w:tcPr>
            <w:tcW w:w="421"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8493"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71" w:type="dxa"/>
            <w:gridSpan w:val="5"/>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9671"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IV CONDITIONS PRECEDENT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608" w:type="dxa"/>
            <w:gridSpan w:val="2"/>
            <w:tcBorders/>
            <w:vAlign w:val="center"/>
          </w:tcPr>
          <w:p>
            <w:pPr>
              <w:pStyle w:val="TableContents"/>
              <w:bidi w:val="0"/>
              <w:spacing w:before="0" w:after="283"/>
              <w:jc w:val="left"/>
              <w:rPr>
                <w:sz w:val="4"/>
                <w:szCs w:val="4"/>
              </w:rPr>
            </w:pPr>
            <w:r>
              <w:rPr>
                <w:sz w:val="4"/>
                <w:szCs w:val="4"/>
              </w:rPr>
            </w:r>
          </w:p>
        </w:tc>
        <w:tc>
          <w:tcPr>
            <w:tcW w:w="8642" w:type="dxa"/>
            <w:gridSpan w:val="2"/>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4.01</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Conditions to Effectiveness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4.02</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Conditions to all Committed Borrowings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rHeight w:val="120" w:hRule="atLeast"/>
        </w:trPr>
        <w:tc>
          <w:tcPr>
            <w:tcW w:w="9671" w:type="dxa"/>
            <w:gridSpan w:val="5"/>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9671"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608" w:type="dxa"/>
            <w:gridSpan w:val="2"/>
            <w:tcBorders/>
            <w:vAlign w:val="center"/>
          </w:tcPr>
          <w:p>
            <w:pPr>
              <w:pStyle w:val="TableContents"/>
              <w:bidi w:val="0"/>
              <w:spacing w:before="0" w:after="283"/>
              <w:jc w:val="left"/>
              <w:rPr>
                <w:sz w:val="4"/>
                <w:szCs w:val="4"/>
              </w:rPr>
            </w:pPr>
            <w:r>
              <w:rPr>
                <w:sz w:val="4"/>
                <w:szCs w:val="4"/>
              </w:rPr>
            </w:r>
          </w:p>
        </w:tc>
        <w:tc>
          <w:tcPr>
            <w:tcW w:w="8642" w:type="dxa"/>
            <w:gridSpan w:val="2"/>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vAlign w:val="bottom"/>
          </w:tcPr>
          <w:p>
            <w:pPr>
              <w:pStyle w:val="TableContents"/>
              <w:bidi w:val="0"/>
              <w:spacing w:before="0" w:after="0"/>
              <w:jc w:val="left"/>
              <w:rPr/>
            </w:pPr>
            <w:r>
              <w:rPr/>
              <w:t>  </w:t>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5.01</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Existence, Qualification and Power</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5.02</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Authorization; No Contravention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5.03</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Governmental Authorization; Other Consents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5.04</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Binding Effect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5.05</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Financial Statements; No Material Adverse Effect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5.06</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Litigation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5.07</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No Default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5.08</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Ownership of Property; Liens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5.09</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[Reserved]</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5.10</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Insurance</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5.11</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Taxes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5.12</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ERISA Compliance</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5.13</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[Reserved]</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5.14</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Margin Regulations; Investment Company Act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5.15</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Disclosure</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5.16</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Compliance with Laws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5.17</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Taxpayer Identification Number</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5.18</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[Reserved]</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5.19</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Sanctions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5.20</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Anti-Corruption Laws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5.21</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Affected Financial Institutions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rHeight w:val="120" w:hRule="atLeast"/>
        </w:trPr>
        <w:tc>
          <w:tcPr>
            <w:tcW w:w="9671" w:type="dxa"/>
            <w:gridSpan w:val="5"/>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9671"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VI AFFIRMATIVE COVENANTS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608" w:type="dxa"/>
            <w:gridSpan w:val="2"/>
            <w:tcBorders/>
            <w:vAlign w:val="center"/>
          </w:tcPr>
          <w:p>
            <w:pPr>
              <w:pStyle w:val="TableContents"/>
              <w:bidi w:val="0"/>
              <w:spacing w:before="0" w:after="283"/>
              <w:jc w:val="left"/>
              <w:rPr>
                <w:sz w:val="4"/>
                <w:szCs w:val="4"/>
              </w:rPr>
            </w:pPr>
            <w:r>
              <w:rPr>
                <w:sz w:val="4"/>
                <w:szCs w:val="4"/>
              </w:rPr>
            </w:r>
          </w:p>
        </w:tc>
        <w:tc>
          <w:tcPr>
            <w:tcW w:w="8642" w:type="dxa"/>
            <w:gridSpan w:val="2"/>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6.01</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Financial Statements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6.02</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Certificates; Other Information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6.03</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Notices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6.04</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Payment of Obligations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6.05</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Preservation of Existence, Etc</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6.06</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[Reserved]</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6.07</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[Reserved]</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6.08</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Compliance with Laws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6.09</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Books and Records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6.10</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Inspection Rights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6.11</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Use of Proceeds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6.12</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Anti-Corruption Laws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rHeight w:val="120" w:hRule="atLeast"/>
        </w:trPr>
        <w:tc>
          <w:tcPr>
            <w:tcW w:w="9671" w:type="dxa"/>
            <w:gridSpan w:val="5"/>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9671"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VII NEGATIVE COVENANTS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rHeight w:val="120" w:hRule="atLeast"/>
        </w:trPr>
        <w:tc>
          <w:tcPr>
            <w:tcW w:w="421" w:type="dxa"/>
            <w:tcBorders/>
            <w:vAlign w:val="center"/>
          </w:tcPr>
          <w:p>
            <w:pPr>
              <w:pStyle w:val="TableContents"/>
              <w:bidi w:val="0"/>
              <w:spacing w:before="0" w:after="283"/>
              <w:jc w:val="left"/>
              <w:rPr>
                <w:sz w:val="4"/>
                <w:szCs w:val="4"/>
              </w:rPr>
            </w:pPr>
            <w:r>
              <w:rPr>
                <w:sz w:val="4"/>
                <w:szCs w:val="4"/>
              </w:rPr>
            </w:r>
          </w:p>
        </w:tc>
        <w:tc>
          <w:tcPr>
            <w:tcW w:w="608" w:type="dxa"/>
            <w:gridSpan w:val="2"/>
            <w:tcBorders/>
            <w:vAlign w:val="center"/>
          </w:tcPr>
          <w:p>
            <w:pPr>
              <w:pStyle w:val="TableContents"/>
              <w:bidi w:val="0"/>
              <w:spacing w:before="0" w:after="283"/>
              <w:jc w:val="left"/>
              <w:rPr>
                <w:sz w:val="4"/>
                <w:szCs w:val="4"/>
              </w:rPr>
            </w:pPr>
            <w:r>
              <w:rPr>
                <w:sz w:val="4"/>
                <w:szCs w:val="4"/>
              </w:rPr>
            </w:r>
          </w:p>
        </w:tc>
        <w:tc>
          <w:tcPr>
            <w:tcW w:w="8642" w:type="dxa"/>
            <w:gridSpan w:val="2"/>
            <w:tcBorders/>
            <w:vAlign w:val="center"/>
          </w:tcPr>
          <w:p>
            <w:pPr>
              <w:pStyle w:val="TableContents"/>
              <w:bidi w:val="0"/>
              <w:spacing w:before="0" w:after="283"/>
              <w:jc w:val="left"/>
              <w:rPr>
                <w:sz w:val="4"/>
                <w:szCs w:val="4"/>
              </w:rPr>
            </w:pPr>
            <w:r>
              <w:rPr>
                <w:sz w:val="4"/>
                <w:szCs w:val="4"/>
              </w:rPr>
            </w:r>
          </w:p>
        </w:tc>
        <w:tc>
          <w:tcPr>
            <w:tcW w:w="534" w:type="dxa"/>
            <w:gridSpan w:val="4"/>
            <w:tcBorders/>
            <w:vAlign w:val="center"/>
          </w:tcPr>
          <w:p>
            <w:pPr>
              <w:pStyle w:val="TableContents"/>
              <w:bidi w:val="0"/>
              <w:spacing w:before="0" w:after="283"/>
              <w:jc w:val="left"/>
              <w:rPr>
                <w:sz w:val="4"/>
                <w:szCs w:val="4"/>
              </w:rPr>
            </w:pPr>
            <w:r>
              <w:rPr>
                <w:sz w:val="4"/>
                <w:szCs w:val="4"/>
              </w:rPr>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7.01</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Liens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7.02</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[Reserved]</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7.03</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Fundamental Changes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7.04</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[Reserved]</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42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7.05</w:t>
            </w:r>
          </w:p>
        </w:tc>
        <w:tc>
          <w:tcPr>
            <w:tcW w:w="149" w:type="dxa"/>
            <w:tcBorders/>
            <w:vAlign w:val="bottom"/>
          </w:tcPr>
          <w:p>
            <w:pPr>
              <w:pStyle w:val="TableContents"/>
              <w:bidi w:val="0"/>
              <w:spacing w:before="0" w:after="283"/>
              <w:jc w:val="left"/>
              <w:rPr/>
            </w:pPr>
            <w:r>
              <w:rPr/>
              <w:t>  </w:t>
            </w:r>
          </w:p>
        </w:tc>
        <w:tc>
          <w:tcPr>
            <w:tcW w:w="8493" w:type="dxa"/>
            <w:tcBorders/>
            <w:vAlign w:val="bottom"/>
          </w:tcPr>
          <w:p>
            <w:pPr>
              <w:pStyle w:val="TableContents"/>
              <w:bidi w:val="0"/>
              <w:spacing w:before="0" w:after="283"/>
              <w:jc w:val="left"/>
              <w:rPr/>
            </w:pPr>
            <w:r>
              <w:rPr/>
              <w:t>Use of Proceeds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26"/>
        <w:gridCol w:w="132"/>
        <w:gridCol w:w="579"/>
        <w:gridCol w:w="132"/>
        <w:gridCol w:w="8521"/>
        <w:gridCol w:w="132"/>
        <w:gridCol w:w="60"/>
        <w:gridCol w:w="260"/>
        <w:gridCol w:w="63"/>
      </w:tblGrid>
      <w:tr>
        <w:trPr/>
        <w:tc>
          <w:tcPr>
            <w:tcW w:w="326"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7.06</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Fiscal Year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7.07</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Financial Covenant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7.08</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Sanctions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7.09</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Anti-Corruption Laws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120" w:hRule="atLeast"/>
        </w:trPr>
        <w:tc>
          <w:tcPr>
            <w:tcW w:w="9690" w:type="dxa"/>
            <w:gridSpan w:val="5"/>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VIII EVENTS OF DEFAULT AND REMEDIES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120" w:hRule="atLeast"/>
        </w:trPr>
        <w:tc>
          <w:tcPr>
            <w:tcW w:w="326" w:type="dxa"/>
            <w:tcBorders/>
            <w:vAlign w:val="center"/>
          </w:tcPr>
          <w:p>
            <w:pPr>
              <w:pStyle w:val="TableContents"/>
              <w:bidi w:val="0"/>
              <w:spacing w:before="0" w:after="283"/>
              <w:jc w:val="left"/>
              <w:rPr>
                <w:sz w:val="4"/>
                <w:szCs w:val="4"/>
              </w:rPr>
            </w:pPr>
            <w:r>
              <w:rPr>
                <w:sz w:val="4"/>
                <w:szCs w:val="4"/>
              </w:rPr>
            </w:r>
          </w:p>
        </w:tc>
        <w:tc>
          <w:tcPr>
            <w:tcW w:w="711" w:type="dxa"/>
            <w:gridSpan w:val="2"/>
            <w:tcBorders/>
            <w:vAlign w:val="center"/>
          </w:tcPr>
          <w:p>
            <w:pPr>
              <w:pStyle w:val="TableContents"/>
              <w:bidi w:val="0"/>
              <w:spacing w:before="0" w:after="283"/>
              <w:jc w:val="left"/>
              <w:rPr>
                <w:sz w:val="4"/>
                <w:szCs w:val="4"/>
              </w:rPr>
            </w:pPr>
            <w:r>
              <w:rPr>
                <w:sz w:val="4"/>
                <w:szCs w:val="4"/>
              </w:rPr>
            </w:r>
          </w:p>
        </w:tc>
        <w:tc>
          <w:tcPr>
            <w:tcW w:w="8653"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8.01</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Events of Default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8.02</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Remedies Upon Event of Default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8.03</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Application of Funds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9690" w:type="dxa"/>
            <w:gridSpan w:val="5"/>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IX ADMINISTRATIVE AGENT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326" w:type="dxa"/>
            <w:tcBorders/>
            <w:vAlign w:val="center"/>
          </w:tcPr>
          <w:p>
            <w:pPr>
              <w:pStyle w:val="TableContents"/>
              <w:bidi w:val="0"/>
              <w:spacing w:before="0" w:after="283"/>
              <w:jc w:val="left"/>
              <w:rPr>
                <w:sz w:val="4"/>
                <w:szCs w:val="4"/>
              </w:rPr>
            </w:pPr>
            <w:r>
              <w:rPr>
                <w:sz w:val="4"/>
                <w:szCs w:val="4"/>
              </w:rPr>
            </w:r>
          </w:p>
        </w:tc>
        <w:tc>
          <w:tcPr>
            <w:tcW w:w="711" w:type="dxa"/>
            <w:gridSpan w:val="2"/>
            <w:tcBorders/>
            <w:vAlign w:val="center"/>
          </w:tcPr>
          <w:p>
            <w:pPr>
              <w:pStyle w:val="TableContents"/>
              <w:bidi w:val="0"/>
              <w:spacing w:before="0" w:after="283"/>
              <w:jc w:val="left"/>
              <w:rPr>
                <w:sz w:val="4"/>
                <w:szCs w:val="4"/>
              </w:rPr>
            </w:pPr>
            <w:r>
              <w:rPr>
                <w:sz w:val="4"/>
                <w:szCs w:val="4"/>
              </w:rPr>
            </w:r>
          </w:p>
        </w:tc>
        <w:tc>
          <w:tcPr>
            <w:tcW w:w="8653"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9.01</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Appointment and Authority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9.02</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Rights as a Lender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0"/>
              <w:jc w:val="left"/>
              <w:rPr/>
            </w:pPr>
            <w:r>
              <w:rPr/>
              <w:t>  </w:t>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9.03</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Exculpatory Provisions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9.04</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Reliance by Administrative Agent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9.05</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Delegation of Duties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9.06</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Resignation of Administrative Agent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9.07</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Non-Reliance on Administrative Agent and Other Lenders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9.08</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No Other Duties, Etc</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9.09</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Administrative Agent May File Proofs of Claim</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9.10</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ERISA Matters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9.11</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Recovery of Erroneous Payments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rHeight w:val="120" w:hRule="atLeast"/>
        </w:trPr>
        <w:tc>
          <w:tcPr>
            <w:tcW w:w="9690" w:type="dxa"/>
            <w:gridSpan w:val="5"/>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5"/>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X MISCELLANEOUS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rHeight w:val="120" w:hRule="atLeast"/>
        </w:trPr>
        <w:tc>
          <w:tcPr>
            <w:tcW w:w="326" w:type="dxa"/>
            <w:tcBorders/>
            <w:vAlign w:val="center"/>
          </w:tcPr>
          <w:p>
            <w:pPr>
              <w:pStyle w:val="TableContents"/>
              <w:bidi w:val="0"/>
              <w:spacing w:before="0" w:after="283"/>
              <w:jc w:val="left"/>
              <w:rPr>
                <w:sz w:val="4"/>
                <w:szCs w:val="4"/>
              </w:rPr>
            </w:pPr>
            <w:r>
              <w:rPr>
                <w:sz w:val="4"/>
                <w:szCs w:val="4"/>
              </w:rPr>
            </w:r>
          </w:p>
        </w:tc>
        <w:tc>
          <w:tcPr>
            <w:tcW w:w="711" w:type="dxa"/>
            <w:gridSpan w:val="2"/>
            <w:tcBorders/>
            <w:vAlign w:val="center"/>
          </w:tcPr>
          <w:p>
            <w:pPr>
              <w:pStyle w:val="TableContents"/>
              <w:bidi w:val="0"/>
              <w:spacing w:before="0" w:after="283"/>
              <w:jc w:val="left"/>
              <w:rPr>
                <w:sz w:val="4"/>
                <w:szCs w:val="4"/>
              </w:rPr>
            </w:pPr>
            <w:r>
              <w:rPr>
                <w:sz w:val="4"/>
                <w:szCs w:val="4"/>
              </w:rPr>
            </w:r>
          </w:p>
        </w:tc>
        <w:tc>
          <w:tcPr>
            <w:tcW w:w="8653"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10.01</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Amendments, Etc</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10.02</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Notices; Effectiveness; Electronic Communication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10.03</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No Waiver; Cumulative Remedies; Enforcement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10.04</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Expenses; Indemnity; Damage Waiver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10.05</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Payments Set Aside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10.06</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Successors and Assigns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10.07</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Treatment of Certain Information; Confidentiality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10.08</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Right of Setoff</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10.09</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Interest Rate Limitation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10.10</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Counterparts; Integration; Effectiveness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10.11</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Survival of Representations and Warranties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10.12</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Severability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10.13</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Replacement of Lenders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10.14</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Governing Law; Jurisdiction; Etc.</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10.15</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Waiver of Jury Trial</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10.16</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No Advisory or Fiduciary Responsibility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10.17</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Electronic Execution of Assignments and Certain Other Documents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10.18</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Judgment Currency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10.19</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USA PATRIOT ACT NOTICE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10.20</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Acknowledgement Regarding Any Supported QFCs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10.21</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Acknowledgement and Consent to Bail-In of Affected Financial Institutions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326"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10.22</w:t>
            </w:r>
          </w:p>
        </w:tc>
        <w:tc>
          <w:tcPr>
            <w:tcW w:w="132" w:type="dxa"/>
            <w:tcBorders/>
            <w:vAlign w:val="bottom"/>
          </w:tcPr>
          <w:p>
            <w:pPr>
              <w:pStyle w:val="TableContents"/>
              <w:bidi w:val="0"/>
              <w:spacing w:before="0" w:after="283"/>
              <w:jc w:val="left"/>
              <w:rPr/>
            </w:pPr>
            <w:r>
              <w:rPr/>
              <w:t>  </w:t>
            </w:r>
          </w:p>
        </w:tc>
        <w:tc>
          <w:tcPr>
            <w:tcW w:w="8521" w:type="dxa"/>
            <w:tcBorders/>
            <w:vAlign w:val="bottom"/>
          </w:tcPr>
          <w:p>
            <w:pPr>
              <w:pStyle w:val="TableContents"/>
              <w:bidi w:val="0"/>
              <w:spacing w:before="0" w:after="283"/>
              <w:jc w:val="left"/>
              <w:rPr/>
            </w:pPr>
            <w:r>
              <w:rPr/>
              <w:t>Subsidiary Guarantors; Release of Subsidiary Guarantors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8"/>
        <w:gridCol w:w="108"/>
        <w:gridCol w:w="594"/>
        <w:gridCol w:w="120"/>
        <w:gridCol w:w="8945"/>
      </w:tblGrid>
      <w:tr>
        <w:trPr/>
        <w:tc>
          <w:tcPr>
            <w:tcW w:w="43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945" w:type="dxa"/>
            <w:tcBorders/>
            <w:vAlign w:val="center"/>
          </w:tcPr>
          <w:p>
            <w:pPr>
              <w:pStyle w:val="TableContents"/>
              <w:bidi w:val="0"/>
              <w:spacing w:before="0" w:after="283"/>
              <w:jc w:val="left"/>
              <w:rPr>
                <w:sz w:val="4"/>
                <w:szCs w:val="4"/>
              </w:rPr>
            </w:pPr>
            <w:r>
              <w:rPr>
                <w:sz w:val="4"/>
                <w:szCs w:val="4"/>
              </w:rPr>
            </w:r>
          </w:p>
        </w:tc>
      </w:tr>
      <w:tr>
        <w:trPr/>
        <w:tc>
          <w:tcPr>
            <w:tcW w:w="43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left"/>
              <w:rPr/>
            </w:pPr>
            <w:r>
              <w:rPr/>
              <w:t>2.01</w:t>
            </w:r>
          </w:p>
        </w:tc>
        <w:tc>
          <w:tcPr>
            <w:tcW w:w="120"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r>
              <w:rPr/>
              <w:t>Commitments and Applicable Percentages</w:t>
            </w:r>
          </w:p>
        </w:tc>
      </w:tr>
      <w:tr>
        <w:trPr/>
        <w:tc>
          <w:tcPr>
            <w:tcW w:w="438" w:type="dxa"/>
            <w:tcBorders/>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left"/>
              <w:rPr/>
            </w:pPr>
            <w:r>
              <w:rPr/>
              <w:t>5.12(d)</w:t>
            </w:r>
          </w:p>
        </w:tc>
        <w:tc>
          <w:tcPr>
            <w:tcW w:w="120"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r>
              <w:rPr/>
              <w:t>Pension Plans</w:t>
            </w:r>
          </w:p>
        </w:tc>
      </w:tr>
      <w:tr>
        <w:trPr/>
        <w:tc>
          <w:tcPr>
            <w:tcW w:w="43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left"/>
              <w:rPr/>
            </w:pPr>
            <w:r>
              <w:rPr/>
              <w:t>5.13</w:t>
            </w:r>
          </w:p>
        </w:tc>
        <w:tc>
          <w:tcPr>
            <w:tcW w:w="120"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r>
              <w:rPr/>
              <w:t>[Reserved]</w:t>
            </w:r>
          </w:p>
        </w:tc>
      </w:tr>
      <w:tr>
        <w:trPr/>
        <w:tc>
          <w:tcPr>
            <w:tcW w:w="43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left"/>
              <w:rPr/>
            </w:pPr>
            <w:r>
              <w:rPr/>
              <w:t>5.17</w:t>
            </w:r>
          </w:p>
        </w:tc>
        <w:tc>
          <w:tcPr>
            <w:tcW w:w="120"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r>
              <w:rPr/>
              <w:t>Taxpayer Identification Number</w:t>
            </w:r>
          </w:p>
        </w:tc>
      </w:tr>
      <w:tr>
        <w:trPr/>
        <w:tc>
          <w:tcPr>
            <w:tcW w:w="43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left"/>
              <w:rPr/>
            </w:pPr>
            <w:r>
              <w:rPr/>
              <w:t>7.01</w:t>
            </w:r>
          </w:p>
        </w:tc>
        <w:tc>
          <w:tcPr>
            <w:tcW w:w="120"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r>
              <w:rPr/>
              <w:t>Liens</w:t>
            </w:r>
          </w:p>
        </w:tc>
      </w:tr>
      <w:tr>
        <w:trPr/>
        <w:tc>
          <w:tcPr>
            <w:tcW w:w="43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left"/>
              <w:rPr/>
            </w:pPr>
            <w:r>
              <w:rPr/>
              <w:t>7.02</w:t>
            </w:r>
          </w:p>
        </w:tc>
        <w:tc>
          <w:tcPr>
            <w:tcW w:w="120"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r>
              <w:rPr/>
              <w:t>[Reserved]</w:t>
            </w:r>
          </w:p>
        </w:tc>
      </w:tr>
      <w:tr>
        <w:trPr/>
        <w:tc>
          <w:tcPr>
            <w:tcW w:w="438"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4" w:type="dxa"/>
            <w:tcBorders/>
          </w:tcPr>
          <w:p>
            <w:pPr>
              <w:pStyle w:val="TableContents"/>
              <w:bidi w:val="0"/>
              <w:spacing w:before="0" w:after="283"/>
              <w:jc w:val="left"/>
              <w:rPr/>
            </w:pPr>
            <w:r>
              <w:rPr/>
              <w:t>10.02</w:t>
            </w:r>
          </w:p>
        </w:tc>
        <w:tc>
          <w:tcPr>
            <w:tcW w:w="120" w:type="dxa"/>
            <w:tcBorders/>
            <w:vAlign w:val="bottom"/>
          </w:tcPr>
          <w:p>
            <w:pPr>
              <w:pStyle w:val="TableContents"/>
              <w:bidi w:val="0"/>
              <w:spacing w:before="0" w:after="283"/>
              <w:jc w:val="left"/>
              <w:rPr/>
            </w:pPr>
            <w:r>
              <w:rPr/>
              <w:t>  </w:t>
            </w:r>
          </w:p>
        </w:tc>
        <w:tc>
          <w:tcPr>
            <w:tcW w:w="8945" w:type="dxa"/>
            <w:tcBorders/>
          </w:tcPr>
          <w:p>
            <w:pPr>
              <w:pStyle w:val="TableContents"/>
              <w:bidi w:val="0"/>
              <w:spacing w:before="0" w:after="283"/>
              <w:jc w:val="left"/>
              <w:rPr/>
            </w:pPr>
            <w:r>
              <w:rPr/>
              <w:t>Administrative Agent’s Office; Certain Addresses for Notices</w:t>
            </w:r>
          </w:p>
        </w:tc>
      </w:tr>
    </w:tbl>
    <w:p>
      <w:pPr>
        <w:pStyle w:val="TextBody"/>
        <w:bidi w:val="0"/>
        <w:spacing w:before="360" w:after="0"/>
        <w:jc w:val="left"/>
        <w:rPr>
          <w:rFonts w:ascii="Times New Roman" w:hAnsi="Times New Roman"/>
          <w:sz w:val="20"/>
        </w:rPr>
      </w:pPr>
      <w:r>
        <w:rPr>
          <w:rFonts w:ascii="Times New Roman" w:hAnsi="Times New Roman"/>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8"/>
        <w:gridCol w:w="109"/>
        <w:gridCol w:w="592"/>
        <w:gridCol w:w="120"/>
        <w:gridCol w:w="8946"/>
      </w:tblGrid>
      <w:tr>
        <w:trPr/>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946" w:type="dxa"/>
            <w:tcBorders/>
            <w:vAlign w:val="center"/>
          </w:tcPr>
          <w:p>
            <w:pPr>
              <w:pStyle w:val="TableContents"/>
              <w:bidi w:val="0"/>
              <w:spacing w:before="0" w:after="283"/>
              <w:jc w:val="left"/>
              <w:rPr>
                <w:sz w:val="4"/>
                <w:szCs w:val="4"/>
              </w:rPr>
            </w:pPr>
            <w:r>
              <w:rPr>
                <w:sz w:val="4"/>
                <w:szCs w:val="4"/>
              </w:rPr>
            </w:r>
          </w:p>
        </w:tc>
      </w:tr>
      <w:tr>
        <w:trPr/>
        <w:tc>
          <w:tcPr>
            <w:tcW w:w="43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946" w:type="dxa"/>
            <w:tcBorders/>
          </w:tcPr>
          <w:p>
            <w:pPr>
              <w:pStyle w:val="TableContents"/>
              <w:bidi w:val="0"/>
              <w:spacing w:before="0" w:after="283"/>
              <w:jc w:val="left"/>
              <w:rPr>
                <w:i/>
              </w:rPr>
            </w:pPr>
            <w:r>
              <w:rPr>
                <w:i/>
              </w:rPr>
              <w:t>Form of</w:t>
            </w:r>
          </w:p>
        </w:tc>
      </w:tr>
      <w:tr>
        <w:trPr/>
        <w:tc>
          <w:tcPr>
            <w:tcW w:w="438" w:type="dxa"/>
            <w:tcBorders/>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pPr>
            <w:r>
              <w:rPr/>
              <w:t>1.01(a)</w:t>
            </w:r>
          </w:p>
        </w:tc>
        <w:tc>
          <w:tcPr>
            <w:tcW w:w="120" w:type="dxa"/>
            <w:tcBorders/>
            <w:vAlign w:val="bottom"/>
          </w:tcPr>
          <w:p>
            <w:pPr>
              <w:pStyle w:val="TableContents"/>
              <w:bidi w:val="0"/>
              <w:spacing w:before="0" w:after="283"/>
              <w:jc w:val="left"/>
              <w:rPr/>
            </w:pPr>
            <w:r>
              <w:rPr/>
              <w:t>  </w:t>
            </w:r>
          </w:p>
        </w:tc>
        <w:tc>
          <w:tcPr>
            <w:tcW w:w="8946" w:type="dxa"/>
            <w:tcBorders/>
          </w:tcPr>
          <w:p>
            <w:pPr>
              <w:pStyle w:val="TableContents"/>
              <w:bidi w:val="0"/>
              <w:spacing w:before="0" w:after="283"/>
              <w:jc w:val="left"/>
              <w:rPr/>
            </w:pPr>
            <w:r>
              <w:rPr/>
              <w:t>Company Guaranty</w:t>
            </w:r>
          </w:p>
        </w:tc>
      </w:tr>
      <w:tr>
        <w:trPr/>
        <w:tc>
          <w:tcPr>
            <w:tcW w:w="43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pPr>
            <w:r>
              <w:rPr/>
              <w:t>1.01(b)</w:t>
            </w:r>
          </w:p>
        </w:tc>
        <w:tc>
          <w:tcPr>
            <w:tcW w:w="120" w:type="dxa"/>
            <w:tcBorders/>
            <w:vAlign w:val="bottom"/>
          </w:tcPr>
          <w:p>
            <w:pPr>
              <w:pStyle w:val="TableContents"/>
              <w:bidi w:val="0"/>
              <w:spacing w:before="0" w:after="283"/>
              <w:jc w:val="left"/>
              <w:rPr/>
            </w:pPr>
            <w:r>
              <w:rPr/>
              <w:t>  </w:t>
            </w:r>
          </w:p>
        </w:tc>
        <w:tc>
          <w:tcPr>
            <w:tcW w:w="8946" w:type="dxa"/>
            <w:tcBorders/>
          </w:tcPr>
          <w:p>
            <w:pPr>
              <w:pStyle w:val="TableContents"/>
              <w:bidi w:val="0"/>
              <w:spacing w:before="0" w:after="283"/>
              <w:jc w:val="left"/>
              <w:rPr/>
            </w:pPr>
            <w:r>
              <w:rPr/>
              <w:t>Subsidiary Guaranty</w:t>
            </w:r>
          </w:p>
        </w:tc>
      </w:tr>
      <w:tr>
        <w:trPr/>
        <w:tc>
          <w:tcPr>
            <w:tcW w:w="43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pPr>
            <w:r>
              <w:rPr/>
              <w:t>2.02</w:t>
            </w:r>
          </w:p>
        </w:tc>
        <w:tc>
          <w:tcPr>
            <w:tcW w:w="120" w:type="dxa"/>
            <w:tcBorders/>
            <w:vAlign w:val="bottom"/>
          </w:tcPr>
          <w:p>
            <w:pPr>
              <w:pStyle w:val="TableContents"/>
              <w:bidi w:val="0"/>
              <w:spacing w:before="0" w:after="283"/>
              <w:jc w:val="left"/>
              <w:rPr/>
            </w:pPr>
            <w:r>
              <w:rPr/>
              <w:t>  </w:t>
            </w:r>
          </w:p>
        </w:tc>
        <w:tc>
          <w:tcPr>
            <w:tcW w:w="8946" w:type="dxa"/>
            <w:tcBorders/>
          </w:tcPr>
          <w:p>
            <w:pPr>
              <w:pStyle w:val="TableContents"/>
              <w:bidi w:val="0"/>
              <w:spacing w:before="0" w:after="283"/>
              <w:jc w:val="left"/>
              <w:rPr/>
            </w:pPr>
            <w:r>
              <w:rPr/>
              <w:t>Committed Loan Notice</w:t>
            </w:r>
          </w:p>
        </w:tc>
      </w:tr>
      <w:tr>
        <w:trPr/>
        <w:tc>
          <w:tcPr>
            <w:tcW w:w="43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pPr>
            <w:r>
              <w:rPr/>
              <w:t>2.11</w:t>
            </w:r>
          </w:p>
        </w:tc>
        <w:tc>
          <w:tcPr>
            <w:tcW w:w="120" w:type="dxa"/>
            <w:tcBorders/>
            <w:vAlign w:val="bottom"/>
          </w:tcPr>
          <w:p>
            <w:pPr>
              <w:pStyle w:val="TableContents"/>
              <w:bidi w:val="0"/>
              <w:spacing w:before="0" w:after="283"/>
              <w:jc w:val="left"/>
              <w:rPr/>
            </w:pPr>
            <w:r>
              <w:rPr/>
              <w:t>  </w:t>
            </w:r>
          </w:p>
        </w:tc>
        <w:tc>
          <w:tcPr>
            <w:tcW w:w="8946" w:type="dxa"/>
            <w:tcBorders/>
          </w:tcPr>
          <w:p>
            <w:pPr>
              <w:pStyle w:val="TableContents"/>
              <w:bidi w:val="0"/>
              <w:spacing w:before="0" w:after="283"/>
              <w:jc w:val="left"/>
              <w:rPr/>
            </w:pPr>
            <w:r>
              <w:rPr/>
              <w:t>Note</w:t>
            </w:r>
          </w:p>
        </w:tc>
      </w:tr>
      <w:tr>
        <w:trPr/>
        <w:tc>
          <w:tcPr>
            <w:tcW w:w="43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pPr>
            <w:r>
              <w:rPr/>
              <w:t>2.18(a)</w:t>
            </w:r>
          </w:p>
        </w:tc>
        <w:tc>
          <w:tcPr>
            <w:tcW w:w="120" w:type="dxa"/>
            <w:tcBorders/>
            <w:vAlign w:val="bottom"/>
          </w:tcPr>
          <w:p>
            <w:pPr>
              <w:pStyle w:val="TableContents"/>
              <w:bidi w:val="0"/>
              <w:spacing w:before="0" w:after="283"/>
              <w:jc w:val="left"/>
              <w:rPr/>
            </w:pPr>
            <w:r>
              <w:rPr/>
              <w:t>  </w:t>
            </w:r>
          </w:p>
        </w:tc>
        <w:tc>
          <w:tcPr>
            <w:tcW w:w="8946" w:type="dxa"/>
            <w:tcBorders/>
          </w:tcPr>
          <w:p>
            <w:pPr>
              <w:pStyle w:val="TableContents"/>
              <w:bidi w:val="0"/>
              <w:spacing w:before="0" w:after="283"/>
              <w:jc w:val="left"/>
              <w:rPr/>
            </w:pPr>
            <w:r>
              <w:rPr/>
              <w:t>Designated Borrower Request and Assumption Agreement</w:t>
            </w:r>
          </w:p>
        </w:tc>
      </w:tr>
      <w:tr>
        <w:trPr/>
        <w:tc>
          <w:tcPr>
            <w:tcW w:w="43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pPr>
            <w:r>
              <w:rPr/>
              <w:t>2.18(b)</w:t>
            </w:r>
          </w:p>
        </w:tc>
        <w:tc>
          <w:tcPr>
            <w:tcW w:w="120" w:type="dxa"/>
            <w:tcBorders/>
            <w:vAlign w:val="bottom"/>
          </w:tcPr>
          <w:p>
            <w:pPr>
              <w:pStyle w:val="TableContents"/>
              <w:bidi w:val="0"/>
              <w:spacing w:before="0" w:after="283"/>
              <w:jc w:val="left"/>
              <w:rPr/>
            </w:pPr>
            <w:r>
              <w:rPr/>
              <w:t>  </w:t>
            </w:r>
          </w:p>
        </w:tc>
        <w:tc>
          <w:tcPr>
            <w:tcW w:w="8946" w:type="dxa"/>
            <w:tcBorders/>
          </w:tcPr>
          <w:p>
            <w:pPr>
              <w:pStyle w:val="TableContents"/>
              <w:bidi w:val="0"/>
              <w:spacing w:before="0" w:after="283"/>
              <w:jc w:val="left"/>
              <w:rPr/>
            </w:pPr>
            <w:r>
              <w:rPr/>
              <w:t>Designated Borrower Notice</w:t>
            </w:r>
          </w:p>
        </w:tc>
      </w:tr>
      <w:tr>
        <w:trPr/>
        <w:tc>
          <w:tcPr>
            <w:tcW w:w="43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pPr>
            <w:r>
              <w:rPr/>
              <w:t>3.01</w:t>
            </w:r>
          </w:p>
        </w:tc>
        <w:tc>
          <w:tcPr>
            <w:tcW w:w="120" w:type="dxa"/>
            <w:tcBorders/>
            <w:vAlign w:val="bottom"/>
          </w:tcPr>
          <w:p>
            <w:pPr>
              <w:pStyle w:val="TableContents"/>
              <w:bidi w:val="0"/>
              <w:spacing w:before="0" w:after="283"/>
              <w:jc w:val="left"/>
              <w:rPr/>
            </w:pPr>
            <w:r>
              <w:rPr/>
              <w:t>  </w:t>
            </w:r>
          </w:p>
        </w:tc>
        <w:tc>
          <w:tcPr>
            <w:tcW w:w="8946" w:type="dxa"/>
            <w:tcBorders/>
          </w:tcPr>
          <w:p>
            <w:pPr>
              <w:pStyle w:val="TableContents"/>
              <w:bidi w:val="0"/>
              <w:spacing w:before="0" w:after="283"/>
              <w:jc w:val="left"/>
              <w:rPr/>
            </w:pPr>
            <w:r>
              <w:rPr/>
              <w:t>U.S. Tax Compliance Certificates</w:t>
            </w:r>
          </w:p>
        </w:tc>
      </w:tr>
      <w:tr>
        <w:trPr/>
        <w:tc>
          <w:tcPr>
            <w:tcW w:w="43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pPr>
            <w:r>
              <w:rPr/>
              <w:t>6.02</w:t>
            </w:r>
          </w:p>
        </w:tc>
        <w:tc>
          <w:tcPr>
            <w:tcW w:w="120" w:type="dxa"/>
            <w:tcBorders/>
            <w:vAlign w:val="bottom"/>
          </w:tcPr>
          <w:p>
            <w:pPr>
              <w:pStyle w:val="TableContents"/>
              <w:bidi w:val="0"/>
              <w:spacing w:before="0" w:after="283"/>
              <w:jc w:val="left"/>
              <w:rPr/>
            </w:pPr>
            <w:r>
              <w:rPr/>
              <w:t>  </w:t>
            </w:r>
          </w:p>
        </w:tc>
        <w:tc>
          <w:tcPr>
            <w:tcW w:w="8946" w:type="dxa"/>
            <w:tcBorders/>
          </w:tcPr>
          <w:p>
            <w:pPr>
              <w:pStyle w:val="TableContents"/>
              <w:bidi w:val="0"/>
              <w:spacing w:before="0" w:after="283"/>
              <w:jc w:val="left"/>
              <w:rPr/>
            </w:pPr>
            <w:r>
              <w:rPr/>
              <w:t>Compliance Certificate</w:t>
            </w:r>
          </w:p>
        </w:tc>
      </w:tr>
      <w:tr>
        <w:trPr/>
        <w:tc>
          <w:tcPr>
            <w:tcW w:w="43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pPr>
            <w:r>
              <w:rPr/>
              <w:t>10.06</w:t>
            </w:r>
          </w:p>
        </w:tc>
        <w:tc>
          <w:tcPr>
            <w:tcW w:w="120" w:type="dxa"/>
            <w:tcBorders/>
            <w:vAlign w:val="bottom"/>
          </w:tcPr>
          <w:p>
            <w:pPr>
              <w:pStyle w:val="TableContents"/>
              <w:bidi w:val="0"/>
              <w:spacing w:before="0" w:after="283"/>
              <w:jc w:val="left"/>
              <w:rPr/>
            </w:pPr>
            <w:r>
              <w:rPr/>
              <w:t>  </w:t>
            </w:r>
          </w:p>
        </w:tc>
        <w:tc>
          <w:tcPr>
            <w:tcW w:w="8946" w:type="dxa"/>
            <w:tcBorders/>
          </w:tcPr>
          <w:p>
            <w:pPr>
              <w:pStyle w:val="TableContents"/>
              <w:bidi w:val="0"/>
              <w:spacing w:before="0" w:after="283"/>
              <w:jc w:val="left"/>
              <w:rPr/>
            </w:pPr>
            <w:r>
              <w:rPr/>
              <w:t>Assignment and Assumption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left"/>
        <w:rPr>
          <w:rFonts w:ascii="Times New Roman" w:hAnsi="Times New Roman"/>
          <w:sz w:val="20"/>
        </w:rPr>
      </w:pPr>
      <w:r>
        <w:rPr>
          <w:rFonts w:ascii="Times New Roman" w:hAnsi="Times New Roman"/>
          <w:sz w:val="20"/>
        </w:rPr>
        <w:t>This CREDIT AGREEMENT (“</w:t>
      </w:r>
      <w:r>
        <w:rPr>
          <w:rFonts w:ascii="Times New Roman" w:hAnsi="Times New Roman"/>
          <w:sz w:val="20"/>
          <w:u w:val="single"/>
        </w:rPr>
        <w:t>Agreement</w:t>
      </w:r>
      <w:r>
        <w:rPr>
          <w:rFonts w:ascii="Times New Roman" w:hAnsi="Times New Roman"/>
          <w:sz w:val="20"/>
        </w:rPr>
        <w:t>”) is entered into as of July 2, 2026 among ANALOG DEVICES, INC., a Massachusetts corporation (the “</w:t>
      </w:r>
      <w:r>
        <w:rPr>
          <w:rFonts w:ascii="Times New Roman" w:hAnsi="Times New Roman"/>
          <w:sz w:val="20"/>
          <w:u w:val="single"/>
        </w:rPr>
        <w:t>Company</w:t>
      </w:r>
      <w:r>
        <w:rPr>
          <w:rFonts w:ascii="Times New Roman" w:hAnsi="Times New Roman"/>
          <w:sz w:val="20"/>
        </w:rPr>
        <w:t xml:space="preserve">”), certain Subsidiaries of the Company party hereto pursuant to </w:t>
      </w:r>
      <w:r>
        <w:rPr>
          <w:rFonts w:ascii="Times New Roman" w:hAnsi="Times New Roman"/>
          <w:sz w:val="20"/>
          <w:u w:val="single"/>
        </w:rPr>
        <w:t>Section 2.18</w:t>
      </w:r>
      <w:r>
        <w:rPr>
          <w:rFonts w:ascii="Times New Roman" w:hAnsi="Times New Roman"/>
          <w:sz w:val="20"/>
        </w:rPr>
        <w:t xml:space="preserve"> (each a “</w:t>
      </w:r>
      <w:r>
        <w:rPr>
          <w:rFonts w:ascii="Times New Roman" w:hAnsi="Times New Roman"/>
          <w:sz w:val="20"/>
          <w:u w:val="single"/>
        </w:rPr>
        <w:t>Designated Borrower</w:t>
      </w:r>
      <w:r>
        <w:rPr>
          <w:rFonts w:ascii="Times New Roman" w:hAnsi="Times New Roman"/>
          <w:sz w:val="20"/>
        </w:rPr>
        <w:t>” and, together with the Company, the “</w:t>
      </w:r>
      <w:r>
        <w:rPr>
          <w:rFonts w:ascii="Times New Roman" w:hAnsi="Times New Roman"/>
          <w:sz w:val="20"/>
          <w:u w:val="single"/>
        </w:rPr>
        <w:t>Borrowers</w:t>
      </w:r>
      <w:r>
        <w:rPr>
          <w:rFonts w:ascii="Times New Roman" w:hAnsi="Times New Roman"/>
          <w:sz w:val="20"/>
        </w:rPr>
        <w:t>” and each a “</w:t>
      </w:r>
      <w:r>
        <w:rPr>
          <w:rFonts w:ascii="Times New Roman" w:hAnsi="Times New Roman"/>
          <w:sz w:val="20"/>
          <w:u w:val="single"/>
        </w:rPr>
        <w:t>Borrower</w:t>
      </w:r>
      <w:r>
        <w:rPr>
          <w:rFonts w:ascii="Times New Roman" w:hAnsi="Times New Roman"/>
          <w:sz w:val="20"/>
        </w:rPr>
        <w:t>”), each lender from time to time party hereto (collectively, the “</w:t>
      </w:r>
      <w:r>
        <w:rPr>
          <w:rFonts w:ascii="Times New Roman" w:hAnsi="Times New Roman"/>
          <w:sz w:val="20"/>
          <w:u w:val="single"/>
        </w:rPr>
        <w:t>Lenders</w:t>
      </w:r>
      <w:r>
        <w:rPr>
          <w:rFonts w:ascii="Times New Roman" w:hAnsi="Times New Roman"/>
          <w:sz w:val="20"/>
        </w:rPr>
        <w:t>” and individually, a “</w:t>
      </w:r>
      <w:r>
        <w:rPr>
          <w:rFonts w:ascii="Times New Roman" w:hAnsi="Times New Roman"/>
          <w:sz w:val="20"/>
          <w:u w:val="single"/>
        </w:rPr>
        <w:t>Lender</w:t>
      </w:r>
      <w:r>
        <w:rPr>
          <w:rFonts w:ascii="Times New Roman" w:hAnsi="Times New Roman"/>
          <w:sz w:val="20"/>
        </w:rPr>
        <w:t xml:space="preserve">”)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requested the Lenders to extend credit as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agreements herein contained, the parties hereto covenant and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AND ACCOUNTING TERMS </w:t>
      </w:r>
    </w:p>
    <w:p>
      <w:pPr>
        <w:pStyle w:val="TextBody"/>
        <w:bidi w:val="0"/>
        <w:spacing w:before="240" w:after="0"/>
        <w:jc w:val="left"/>
        <w:rPr>
          <w:rFonts w:ascii="Times New Roman" w:hAnsi="Times New Roman"/>
          <w:sz w:val="20"/>
        </w:rPr>
      </w:pPr>
      <w:r>
        <w:rPr>
          <w:rFonts w:ascii="Times New Roman" w:hAnsi="Times New Roman"/>
          <w:b/>
          <w:sz w:val="20"/>
        </w:rPr>
        <w:t>1.01</w:t>
      </w:r>
      <w:r>
        <w:rPr>
          <w:rFonts w:ascii="Times New Roman" w:hAnsi="Times New Roman"/>
          <w:sz w:val="20"/>
        </w:rPr>
        <w:t xml:space="preserve"> </w:t>
      </w:r>
      <w:r>
        <w:rPr>
          <w:rFonts w:ascii="Times New Roman" w:hAnsi="Times New Roman"/>
          <w:b/>
          <w:sz w:val="20"/>
          <w:u w:val="single"/>
        </w:rPr>
        <w:t>Defined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the following terms shall have the meanings set forth below: </w:t>
      </w:r>
    </w:p>
    <w:p>
      <w:pPr>
        <w:pStyle w:val="TextBody"/>
        <w:bidi w:val="0"/>
        <w:spacing w:before="120" w:after="0"/>
        <w:jc w:val="left"/>
        <w:rPr/>
      </w:pPr>
      <w:r>
        <w:rPr/>
        <w:t>“</w:t>
      </w:r>
      <w:r>
        <w:rPr>
          <w:rFonts w:ascii="Times New Roman" w:hAnsi="Times New Roman"/>
          <w:b/>
          <w:sz w:val="20"/>
          <w:u w:val="single"/>
        </w:rPr>
        <w:t>Additional Commitment Lender</w:t>
      </w:r>
      <w:r>
        <w:rPr>
          <w:rFonts w:ascii="Times New Roman" w:hAnsi="Times New Roman"/>
          <w:sz w:val="20"/>
        </w:rPr>
        <w:t xml:space="preserve">” has the meaning specified in </w:t>
      </w:r>
      <w:r>
        <w:rPr>
          <w:rFonts w:ascii="Times New Roman" w:hAnsi="Times New Roman"/>
          <w:sz w:val="20"/>
          <w:u w:val="single"/>
        </w:rPr>
        <w:t>Section 2.14(d)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Administrative Agent</w:t>
      </w:r>
      <w:r>
        <w:rPr>
          <w:rFonts w:ascii="Times New Roman" w:hAnsi="Times New Roman"/>
          <w:sz w:val="20"/>
        </w:rPr>
        <w:t xml:space="preserve">” means Bank of America (or any of its designated branch offices or affiliates) in its capacity as administrative agent under the Loan Documents, or any successor administrative agent. </w:t>
      </w:r>
    </w:p>
    <w:p>
      <w:pPr>
        <w:pStyle w:val="TextBody"/>
        <w:bidi w:val="0"/>
        <w:spacing w:before="240" w:after="0"/>
        <w:jc w:val="left"/>
        <w:rPr/>
      </w:pPr>
      <w:r>
        <w:rPr/>
        <w:t>“</w:t>
      </w:r>
      <w:r>
        <w:rPr>
          <w:rFonts w:ascii="Times New Roman" w:hAnsi="Times New Roman"/>
          <w:b/>
          <w:sz w:val="20"/>
          <w:u w:val="single"/>
        </w:rPr>
        <w:t>Administrative Agent’s Office</w:t>
      </w:r>
      <w:r>
        <w:rPr>
          <w:rFonts w:ascii="Times New Roman" w:hAnsi="Times New Roman"/>
          <w:sz w:val="20"/>
        </w:rPr>
        <w:t xml:space="preserve">” means, with respect to any currency, the Administrative Agent’s address and, as appropriate, account as set forth on </w:t>
      </w:r>
      <w:r>
        <w:rPr>
          <w:rFonts w:ascii="Times New Roman" w:hAnsi="Times New Roman"/>
          <w:sz w:val="20"/>
          <w:u w:val="single"/>
        </w:rPr>
        <w:t>SCHEDULE 10.02</w:t>
      </w:r>
      <w:r>
        <w:rPr>
          <w:rFonts w:ascii="Times New Roman" w:hAnsi="Times New Roman"/>
          <w:sz w:val="20"/>
        </w:rPr>
        <w:t xml:space="preserve"> with respect to such currency or such other address or account with respect to such currency as the Administrative Agent may from time to time notify to the Company and the Lenders. </w:t>
      </w:r>
    </w:p>
    <w:p>
      <w:pPr>
        <w:pStyle w:val="TextBody"/>
        <w:bidi w:val="0"/>
        <w:spacing w:before="240" w:after="0"/>
        <w:jc w:val="left"/>
        <w:rPr/>
      </w:pPr>
      <w:r>
        <w:rPr/>
        <w:t>“</w:t>
      </w:r>
      <w:r>
        <w:rPr>
          <w:rFonts w:ascii="Times New Roman" w:hAnsi="Times New Roman"/>
          <w:b/>
          <w:sz w:val="20"/>
          <w:u w:val="single"/>
        </w:rPr>
        <w:t>Administrative Questionnaire</w:t>
      </w:r>
      <w:r>
        <w:rPr>
          <w:rFonts w:ascii="Times New Roman" w:hAnsi="Times New Roman"/>
          <w:sz w:val="20"/>
        </w:rPr>
        <w:t xml:space="preserve">” means an Administrative Questionnaire in a form supplied by the Administrative Agent. </w:t>
      </w:r>
    </w:p>
    <w:p>
      <w:pPr>
        <w:pStyle w:val="TextBody"/>
        <w:bidi w:val="0"/>
        <w:spacing w:before="240" w:after="0"/>
        <w:jc w:val="left"/>
        <w:rPr/>
      </w:pPr>
      <w:r>
        <w:rPr/>
        <w:t>“</w:t>
      </w:r>
      <w:r>
        <w:rPr>
          <w:rFonts w:ascii="Times New Roman" w:hAnsi="Times New Roman"/>
          <w:b/>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b/>
          <w:sz w:val="20"/>
          <w:u w:val="single"/>
        </w:rPr>
        <w:t>Affiliate</w:t>
      </w:r>
      <w:r>
        <w:rPr>
          <w:rFonts w:ascii="Times New Roman" w:hAnsi="Times New Roman"/>
          <w:sz w:val="20"/>
        </w:rPr>
        <w:t xml:space="preserve">” means, with respect to any Person, another Person that directly, or indirectly through one or more intermediaries, Controls or is Controlled by or is under common Control with the Person specified. </w:t>
      </w:r>
    </w:p>
    <w:p>
      <w:pPr>
        <w:pStyle w:val="TextBody"/>
        <w:bidi w:val="0"/>
        <w:spacing w:before="240" w:after="0"/>
        <w:jc w:val="left"/>
        <w:rPr/>
      </w:pPr>
      <w:r>
        <w:rPr/>
        <w:t>“</w:t>
      </w:r>
      <w:r>
        <w:rPr>
          <w:rFonts w:ascii="Times New Roman" w:hAnsi="Times New Roman"/>
          <w:b/>
          <w:sz w:val="20"/>
          <w:u w:val="single"/>
        </w:rPr>
        <w:t>Agent Fee Letter</w:t>
      </w:r>
      <w:r>
        <w:rPr>
          <w:rFonts w:ascii="Times New Roman" w:hAnsi="Times New Roman"/>
          <w:sz w:val="20"/>
        </w:rPr>
        <w:t xml:space="preserve">” means the fee letter agreement, dated as of June 10, 2026, among the Company, the Administrative Agent, Bank of America and BofA Securities. </w:t>
      </w:r>
    </w:p>
    <w:p>
      <w:pPr>
        <w:pStyle w:val="TextBody"/>
        <w:bidi w:val="0"/>
        <w:spacing w:before="240" w:after="0"/>
        <w:jc w:val="left"/>
        <w:rPr/>
      </w:pPr>
      <w:r>
        <w:rPr/>
        <w:t>“</w:t>
      </w:r>
      <w:r>
        <w:rPr>
          <w:rFonts w:ascii="Times New Roman" w:hAnsi="Times New Roman"/>
          <w:b/>
          <w:sz w:val="20"/>
          <w:u w:val="single"/>
        </w:rPr>
        <w:t>Agent Parties</w:t>
      </w:r>
      <w:r>
        <w:rPr>
          <w:rFonts w:ascii="Times New Roman" w:hAnsi="Times New Roman"/>
          <w:sz w:val="20"/>
        </w:rPr>
        <w:t xml:space="preserve">” has the meaning specified in </w:t>
      </w:r>
      <w:r>
        <w:rPr>
          <w:rFonts w:ascii="Times New Roman" w:hAnsi="Times New Roman"/>
          <w:sz w:val="20"/>
          <w:u w:val="single"/>
        </w:rPr>
        <w:t>Section 10.02(c)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Aggregate Commitments</w:t>
      </w:r>
      <w:r>
        <w:rPr>
          <w:rFonts w:ascii="Times New Roman" w:hAnsi="Times New Roman"/>
          <w:sz w:val="20"/>
        </w:rPr>
        <w:t xml:space="preserve">” means the Commitments of all the Lenders, as increased or reduced from time to time pursuant to the terms of this Agreement. </w:t>
      </w:r>
    </w:p>
    <w:p>
      <w:pPr>
        <w:pStyle w:val="TextBody"/>
        <w:bidi w:val="0"/>
        <w:spacing w:before="240" w:after="0"/>
        <w:jc w:val="left"/>
        <w:rPr/>
      </w:pPr>
      <w:r>
        <w:rPr/>
        <w:t>“</w:t>
      </w:r>
      <w:r>
        <w:rPr>
          <w:rFonts w:ascii="Times New Roman" w:hAnsi="Times New Roman"/>
          <w:b/>
          <w:sz w:val="20"/>
          <w:u w:val="single"/>
        </w:rPr>
        <w:t>Agreed Currency</w:t>
      </w:r>
      <w:r>
        <w:rPr>
          <w:rFonts w:ascii="Times New Roman" w:hAnsi="Times New Roman"/>
          <w:sz w:val="20"/>
        </w:rPr>
        <w:t xml:space="preserve">” means Dollars or any Alternative Currency, as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3"/>
        <w:gridCol w:w="3186"/>
        <w:gridCol w:w="123"/>
        <w:gridCol w:w="3317"/>
      </w:tblGrid>
      <w:tr>
        <w:trPr/>
        <w:tc>
          <w:tcPr>
            <w:tcW w:w="34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center"/>
              <w:rPr/>
            </w:pPr>
            <w:r>
              <w:rPr/>
              <w:t>1</w:t>
            </w:r>
          </w:p>
        </w:tc>
        <w:tc>
          <w:tcPr>
            <w:tcW w:w="123" w:type="dxa"/>
            <w:tcBorders/>
            <w:vAlign w:val="bottom"/>
          </w:tcPr>
          <w:p>
            <w:pPr>
              <w:pStyle w:val="TableContents"/>
              <w:bidi w:val="0"/>
              <w:spacing w:before="0" w:after="283"/>
              <w:jc w:val="left"/>
              <w:rPr/>
            </w:pPr>
            <w:r>
              <w:rPr/>
              <w:t>  </w:t>
            </w:r>
          </w:p>
        </w:tc>
        <w:tc>
          <w:tcPr>
            <w:tcW w:w="3317"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u w:val="single"/>
        </w:rPr>
        <w:t>Agreement</w:t>
      </w:r>
      <w:r>
        <w:rPr>
          <w:rFonts w:ascii="Times New Roman" w:hAnsi="Times New Roman"/>
          <w:sz w:val="20"/>
        </w:rPr>
        <w:t xml:space="preserve">” means this Credit Agreement, as amended, modified or supplemented from time to time. </w:t>
      </w:r>
    </w:p>
    <w:p>
      <w:pPr>
        <w:pStyle w:val="TextBody"/>
        <w:bidi w:val="0"/>
        <w:spacing w:before="240" w:after="0"/>
        <w:jc w:val="left"/>
        <w:rPr/>
      </w:pPr>
      <w:r>
        <w:rPr/>
        <w:t>“</w:t>
      </w:r>
      <w:r>
        <w:rPr>
          <w:rFonts w:ascii="Times New Roman" w:hAnsi="Times New Roman"/>
          <w:b/>
          <w:sz w:val="20"/>
          <w:u w:val="single"/>
        </w:rPr>
        <w:t>Agreement Currency</w:t>
      </w:r>
      <w:r>
        <w:rPr>
          <w:rFonts w:ascii="Times New Roman" w:hAnsi="Times New Roman"/>
          <w:sz w:val="20"/>
        </w:rPr>
        <w:t xml:space="preserve">” has the meaning specified in </w:t>
      </w:r>
      <w:r>
        <w:rPr>
          <w:rFonts w:ascii="Times New Roman" w:hAnsi="Times New Roman"/>
          <w:sz w:val="20"/>
          <w:u w:val="single"/>
        </w:rPr>
        <w:t>Section 10.18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Alternative Currency</w:t>
      </w:r>
      <w:r>
        <w:rPr>
          <w:rFonts w:ascii="Times New Roman" w:hAnsi="Times New Roman"/>
          <w:sz w:val="20"/>
        </w:rPr>
        <w:t xml:space="preserve">” means each of Euro, Sterling and each other currency (other than Dollars) that is approved in accordance with </w:t>
      </w:r>
      <w:r>
        <w:rPr>
          <w:rFonts w:ascii="Times New Roman" w:hAnsi="Times New Roman"/>
          <w:sz w:val="20"/>
          <w:u w:val="single"/>
        </w:rPr>
        <w:t>Section 1.07</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for each Alternative Currency, such requested currency is an Eligible Currency. </w:t>
      </w:r>
    </w:p>
    <w:p>
      <w:pPr>
        <w:pStyle w:val="TextBody"/>
        <w:bidi w:val="0"/>
        <w:spacing w:before="240" w:after="0"/>
        <w:jc w:val="left"/>
        <w:rPr/>
      </w:pPr>
      <w:r>
        <w:rPr/>
        <w:t>“</w:t>
      </w:r>
      <w:r>
        <w:rPr>
          <w:rFonts w:ascii="Times New Roman" w:hAnsi="Times New Roman"/>
          <w:b/>
          <w:sz w:val="20"/>
          <w:u w:val="single"/>
        </w:rPr>
        <w:t>Alternative Currency Daily Rate</w:t>
      </w:r>
      <w:r>
        <w:rPr>
          <w:rFonts w:ascii="Times New Roman" w:hAnsi="Times New Roman"/>
          <w:sz w:val="20"/>
        </w:rPr>
        <w:t xml:space="preserve">” means, for any day, with respect to any Committed Borrowing: </w:t>
      </w:r>
    </w:p>
    <w:p>
      <w:pPr>
        <w:pStyle w:val="TextBody"/>
        <w:bidi w:val="0"/>
        <w:spacing w:before="120" w:after="0"/>
        <w:jc w:val="left"/>
        <w:rPr>
          <w:rFonts w:ascii="Times New Roman" w:hAnsi="Times New Roman"/>
          <w:sz w:val="20"/>
        </w:rPr>
      </w:pPr>
      <w:r>
        <w:rPr>
          <w:rFonts w:ascii="Times New Roman" w:hAnsi="Times New Roman"/>
          <w:sz w:val="20"/>
        </w:rPr>
        <w:t xml:space="preserve">(a) denominated in Sterling, the rate per annum equal to SONIA determined pursuant to the definition thereof; and </w:t>
      </w:r>
    </w:p>
    <w:p>
      <w:pPr>
        <w:pStyle w:val="TextBody"/>
        <w:bidi w:val="0"/>
        <w:spacing w:before="240" w:after="0"/>
        <w:jc w:val="left"/>
        <w:rPr>
          <w:rFonts w:ascii="Times New Roman" w:hAnsi="Times New Roman"/>
          <w:sz w:val="20"/>
        </w:rPr>
      </w:pPr>
      <w:r>
        <w:rPr>
          <w:rFonts w:ascii="Times New Roman" w:hAnsi="Times New Roman"/>
          <w:sz w:val="20"/>
        </w:rPr>
        <w:t xml:space="preserve">(b) denominated in any other Alternative Currency other than Euro (to the extent such Loans denominated in such currency bear interest at a daily rate), the daily rate per annum as designated with respect to such Alternative Currency at the time such Alternative Currency is approved by the Administrative Agent and the relevant Lenders pursuant to </w:t>
      </w:r>
      <w:r>
        <w:rPr>
          <w:rFonts w:ascii="Times New Roman" w:hAnsi="Times New Roman"/>
          <w:sz w:val="20"/>
          <w:u w:val="single"/>
        </w:rPr>
        <w:t>Section 1.07</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the adjustment (if any) determined by the Administrative Agent and the relevant Lenders pursuant to </w:t>
      </w:r>
      <w:r>
        <w:rPr>
          <w:rFonts w:ascii="Times New Roman" w:hAnsi="Times New Roman"/>
          <w:sz w:val="20"/>
          <w:u w:val="single"/>
        </w:rPr>
        <w:t>Section 1.07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provided, that, if any Alternative Currency Daily Rate shall be less than zero, such rate shall be deemed zero for purposes of this Agreement. Any change in an Alternative Currency Daily Rate shall be effective from and including the date of such change without further notice. </w:t>
      </w:r>
    </w:p>
    <w:p>
      <w:pPr>
        <w:pStyle w:val="TextBody"/>
        <w:bidi w:val="0"/>
        <w:spacing w:before="240" w:after="0"/>
        <w:jc w:val="left"/>
        <w:rPr/>
      </w:pPr>
      <w:r>
        <w:rPr/>
        <w:t>“</w:t>
      </w:r>
      <w:r>
        <w:rPr>
          <w:rFonts w:ascii="Times New Roman" w:hAnsi="Times New Roman"/>
          <w:b/>
          <w:sz w:val="20"/>
          <w:u w:val="single"/>
        </w:rPr>
        <w:t>Alternative Currency Daily Rate Loan</w:t>
      </w:r>
      <w:r>
        <w:rPr>
          <w:rFonts w:ascii="Times New Roman" w:hAnsi="Times New Roman"/>
          <w:sz w:val="20"/>
        </w:rPr>
        <w:t xml:space="preserve">” means a Committed Loan that bears interest at a rate based on the definition of “Alternative Currency Daily Rate”. All Alternative Currency Daily Rate Loans must be denominated in an Alternative Currency. </w:t>
      </w:r>
    </w:p>
    <w:p>
      <w:pPr>
        <w:pStyle w:val="TextBody"/>
        <w:bidi w:val="0"/>
        <w:spacing w:before="240" w:after="0"/>
        <w:jc w:val="left"/>
        <w:rPr/>
      </w:pPr>
      <w:r>
        <w:rPr/>
        <w:t>“</w:t>
      </w:r>
      <w:r>
        <w:rPr>
          <w:rFonts w:ascii="Times New Roman" w:hAnsi="Times New Roman"/>
          <w:b/>
          <w:sz w:val="20"/>
          <w:u w:val="single"/>
        </w:rPr>
        <w:t>Alternative Currency Loan</w:t>
      </w:r>
      <w:r>
        <w:rPr>
          <w:rFonts w:ascii="Times New Roman" w:hAnsi="Times New Roman"/>
          <w:sz w:val="20"/>
        </w:rPr>
        <w:t xml:space="preserve">” means an Alternative Currency Daily Rate Loan or an Alternative Currency Term Rate Loan, as applicable. </w:t>
      </w:r>
    </w:p>
    <w:p>
      <w:pPr>
        <w:pStyle w:val="TextBody"/>
        <w:bidi w:val="0"/>
        <w:spacing w:before="240" w:after="0"/>
        <w:jc w:val="left"/>
        <w:rPr/>
      </w:pPr>
      <w:r>
        <w:rPr/>
        <w:t>“</w:t>
      </w:r>
      <w:r>
        <w:rPr>
          <w:rFonts w:ascii="Times New Roman" w:hAnsi="Times New Roman"/>
          <w:b/>
          <w:sz w:val="20"/>
          <w:u w:val="single"/>
        </w:rPr>
        <w:t>Alternative Currency Term Rate</w:t>
      </w:r>
      <w:r>
        <w:rPr>
          <w:rFonts w:ascii="Times New Roman" w:hAnsi="Times New Roman"/>
          <w:sz w:val="20"/>
        </w:rPr>
        <w:t xml:space="preserve">” means, for any Interest Period, with respect to any Committed Borrowing: </w:t>
      </w:r>
    </w:p>
    <w:p>
      <w:pPr>
        <w:pStyle w:val="TextBody"/>
        <w:bidi w:val="0"/>
        <w:spacing w:before="120" w:after="0"/>
        <w:jc w:val="left"/>
        <w:rPr>
          <w:rFonts w:ascii="Times New Roman" w:hAnsi="Times New Roman"/>
          <w:sz w:val="20"/>
        </w:rPr>
      </w:pPr>
      <w:r>
        <w:rPr>
          <w:rFonts w:ascii="Times New Roman" w:hAnsi="Times New Roman"/>
          <w:sz w:val="20"/>
        </w:rPr>
        <w:t>(a) denominated in Euros, the rate per annum equal to the Euro Interbank Offered Rate (“</w:t>
      </w:r>
      <w:r>
        <w:rPr>
          <w:rFonts w:ascii="Times New Roman" w:hAnsi="Times New Roman"/>
          <w:sz w:val="20"/>
          <w:u w:val="single"/>
        </w:rPr>
        <w:t>EURIBOR</w:t>
      </w:r>
      <w:r>
        <w:rPr>
          <w:rFonts w:ascii="Times New Roman" w:hAnsi="Times New Roman"/>
          <w:sz w:val="20"/>
        </w:rPr>
        <w:t xml:space="preserve">”),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and </w:t>
      </w:r>
    </w:p>
    <w:p>
      <w:pPr>
        <w:pStyle w:val="TextBody"/>
        <w:bidi w:val="0"/>
        <w:spacing w:before="240" w:after="0"/>
        <w:jc w:val="left"/>
        <w:rPr>
          <w:rFonts w:ascii="Times New Roman" w:hAnsi="Times New Roman"/>
          <w:sz w:val="20"/>
        </w:rPr>
      </w:pPr>
      <w:r>
        <w:rPr>
          <w:rFonts w:ascii="Times New Roman" w:hAnsi="Times New Roman"/>
          <w:sz w:val="20"/>
        </w:rPr>
        <w:t xml:space="preserve">(b) 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 w:hAnsi="Times New Roman"/>
          <w:sz w:val="20"/>
          <w:u w:val="single"/>
        </w:rPr>
        <w:t>Section 1.07</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the adjustment (if any) determined by the Administrative Agent and the relevant Lenders pursuant to </w:t>
      </w:r>
      <w:r>
        <w:rPr>
          <w:rFonts w:ascii="Times New Roman" w:hAnsi="Times New Roman"/>
          <w:sz w:val="20"/>
          <w:u w:val="single"/>
        </w:rPr>
        <w:t>Section 1.07;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any Alternative Currency Term Rate shall be less than zero, such rate shall be deemed zero for purposes of this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3"/>
        <w:gridCol w:w="3186"/>
        <w:gridCol w:w="123"/>
        <w:gridCol w:w="3317"/>
      </w:tblGrid>
      <w:tr>
        <w:trPr/>
        <w:tc>
          <w:tcPr>
            <w:tcW w:w="34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center"/>
              <w:rPr/>
            </w:pPr>
            <w:r>
              <w:rPr/>
              <w:t>2</w:t>
            </w:r>
          </w:p>
        </w:tc>
        <w:tc>
          <w:tcPr>
            <w:tcW w:w="123" w:type="dxa"/>
            <w:tcBorders/>
            <w:vAlign w:val="bottom"/>
          </w:tcPr>
          <w:p>
            <w:pPr>
              <w:pStyle w:val="TableContents"/>
              <w:bidi w:val="0"/>
              <w:spacing w:before="0" w:after="283"/>
              <w:jc w:val="left"/>
              <w:rPr/>
            </w:pPr>
            <w:r>
              <w:rPr/>
              <w:t>  </w:t>
            </w:r>
          </w:p>
        </w:tc>
        <w:tc>
          <w:tcPr>
            <w:tcW w:w="3317"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u w:val="single"/>
        </w:rPr>
        <w:t>Alternative Currency Term Rate Loan</w:t>
      </w:r>
      <w:r>
        <w:rPr>
          <w:rFonts w:ascii="Times New Roman" w:hAnsi="Times New Roman"/>
          <w:sz w:val="20"/>
        </w:rPr>
        <w:t xml:space="preserve">” means a Committed Loan that bears interest at a rate based on the definition of “Alternative Currency Term Rate.” All Alternative Currency Term Rate Loans must be denominated in an Alternative Currency. </w:t>
      </w:r>
    </w:p>
    <w:p>
      <w:pPr>
        <w:pStyle w:val="TextBody"/>
        <w:bidi w:val="0"/>
        <w:spacing w:before="240" w:after="0"/>
        <w:jc w:val="left"/>
        <w:rPr/>
      </w:pPr>
      <w:r>
        <w:rPr/>
        <w:t>“</w:t>
      </w:r>
      <w:r>
        <w:rPr>
          <w:rFonts w:ascii="Times New Roman" w:hAnsi="Times New Roman"/>
          <w:b/>
          <w:sz w:val="20"/>
          <w:u w:val="single"/>
        </w:rPr>
        <w:t>Anti-Corruption Laws</w:t>
      </w:r>
      <w:r>
        <w:rPr>
          <w:rFonts w:ascii="Times New Roman" w:hAnsi="Times New Roman"/>
          <w:sz w:val="20"/>
        </w:rPr>
        <w:t xml:space="preserve">” has the meaning specified in </w:t>
      </w:r>
      <w:r>
        <w:rPr>
          <w:rFonts w:ascii="Times New Roman" w:hAnsi="Times New Roman"/>
          <w:sz w:val="20"/>
          <w:u w:val="single"/>
        </w:rPr>
        <w:t>Section 5.20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Applicable Authority</w:t>
      </w:r>
      <w:r>
        <w:rPr>
          <w:rFonts w:ascii="Times New Roman" w:hAnsi="Times New Roman"/>
          <w:sz w:val="20"/>
        </w:rPr>
        <w:t xml:space="preserve">” means (a) with respect to SOFR, the SOFR Administrator or any Governmental Authority having jurisdiction over the Administrative Agent or the SOFR Administrator with respect to its publication of SOFR, in each case acting in such capacity and (b)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 </w:t>
      </w:r>
    </w:p>
    <w:p>
      <w:pPr>
        <w:pStyle w:val="TextBody"/>
        <w:bidi w:val="0"/>
        <w:spacing w:before="240" w:after="0"/>
        <w:jc w:val="left"/>
        <w:rPr/>
      </w:pPr>
      <w:r>
        <w:rPr/>
        <w:t>“</w:t>
      </w:r>
      <w:r>
        <w:rPr>
          <w:rFonts w:ascii="Times New Roman" w:hAnsi="Times New Roman"/>
          <w:b/>
          <w:sz w:val="20"/>
          <w:u w:val="single"/>
        </w:rPr>
        <w:t>Applicable Percentage</w:t>
      </w:r>
      <w:r>
        <w:rPr>
          <w:rFonts w:ascii="Times New Roman" w:hAnsi="Times New Roman"/>
          <w:sz w:val="20"/>
        </w:rPr>
        <w:t xml:space="preserve">” means with respect to any Lender at any time, the percentage (carried out to the ninth decimal place) of the Aggregate Commitments represented by such Lender’s Commitment at such time, subject to adjustment as provided in </w:t>
      </w:r>
      <w:r>
        <w:rPr>
          <w:rFonts w:ascii="Times New Roman" w:hAnsi="Times New Roman"/>
          <w:sz w:val="20"/>
          <w:u w:val="single"/>
        </w:rPr>
        <w:t>Section 2.17</w:t>
      </w:r>
      <w:r>
        <w:rPr>
          <w:rFonts w:ascii="Times New Roman" w:hAnsi="Times New Roman"/>
          <w:sz w:val="20"/>
        </w:rPr>
        <w:t xml:space="preserve">. If the commitment of each Lender to make Loans has been terminated pursuant to </w:t>
      </w:r>
      <w:r>
        <w:rPr>
          <w:rFonts w:ascii="Times New Roman" w:hAnsi="Times New Roman"/>
          <w:sz w:val="20"/>
          <w:u w:val="single"/>
        </w:rPr>
        <w:t>Section 8.02</w:t>
      </w:r>
      <w:r>
        <w:rPr>
          <w:rFonts w:ascii="Times New Roman" w:hAnsi="Times New Roman"/>
          <w:sz w:val="20"/>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 w:hAnsi="Times New Roman"/>
          <w:sz w:val="20"/>
          <w:u w:val="single"/>
        </w:rPr>
        <w:t>Schedule 2.01</w:t>
      </w:r>
      <w:r>
        <w:rPr>
          <w:rFonts w:ascii="Times New Roman" w:hAnsi="Times New Roman"/>
          <w:sz w:val="20"/>
        </w:rPr>
        <w:t xml:space="preserve"> or in the Assignment and Assumption or other agreement pursuant to which such Lender becomes a party hereto, as applicable. </w:t>
      </w:r>
    </w:p>
    <w:p>
      <w:pPr>
        <w:pStyle w:val="TextBody"/>
        <w:bidi w:val="0"/>
        <w:spacing w:before="240" w:after="0"/>
        <w:jc w:val="left"/>
        <w:rPr/>
      </w:pPr>
      <w:r>
        <w:rPr/>
        <w:t>“</w:t>
      </w:r>
      <w:r>
        <w:rPr>
          <w:rFonts w:ascii="Times New Roman" w:hAnsi="Times New Roman"/>
          <w:b/>
          <w:sz w:val="20"/>
          <w:u w:val="single"/>
        </w:rPr>
        <w:t>Applicable Rate</w:t>
      </w:r>
      <w:r>
        <w:rPr>
          <w:rFonts w:ascii="Times New Roman" w:hAnsi="Times New Roman"/>
          <w:sz w:val="20"/>
        </w:rPr>
        <w:t xml:space="preserve">” means, from time to time, the following percentages per annum, based upon the Company’s then-current Debt Rating: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022"/>
        <w:gridCol w:w="179"/>
        <w:gridCol w:w="2574"/>
        <w:gridCol w:w="179"/>
        <w:gridCol w:w="109"/>
        <w:gridCol w:w="1021"/>
        <w:gridCol w:w="275"/>
        <w:gridCol w:w="110"/>
        <w:gridCol w:w="163"/>
        <w:gridCol w:w="1522"/>
        <w:gridCol w:w="275"/>
        <w:gridCol w:w="110"/>
        <w:gridCol w:w="151"/>
        <w:gridCol w:w="1417"/>
        <w:gridCol w:w="281"/>
      </w:tblGrid>
      <w:tr>
        <w:trPr/>
        <w:tc>
          <w:tcPr>
            <w:tcW w:w="1022"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02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Pricing Level</w:t>
            </w:r>
          </w:p>
        </w:tc>
        <w:tc>
          <w:tcPr>
            <w:tcW w:w="179" w:type="dxa"/>
            <w:tcBorders/>
            <w:vAlign w:val="bottom"/>
          </w:tcPr>
          <w:p>
            <w:pPr>
              <w:pStyle w:val="TableContents"/>
              <w:bidi w:val="0"/>
              <w:spacing w:before="0" w:after="283"/>
              <w:jc w:val="left"/>
              <w:rPr/>
            </w:pPr>
            <w:r>
              <w:rPr/>
              <w:t>  </w:t>
            </w:r>
          </w:p>
        </w:tc>
        <w:tc>
          <w:tcPr>
            <w:tcW w:w="2574"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Debt Rating</w:t>
            </w:r>
          </w:p>
        </w:tc>
        <w:tc>
          <w:tcPr>
            <w:tcW w:w="179"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t>Facility Fee</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bottom"/>
          </w:tcPr>
          <w:p>
            <w:pPr>
              <w:pStyle w:val="TableContents"/>
              <w:bidi w:val="0"/>
              <w:spacing w:before="0" w:after="283"/>
              <w:jc w:val="center"/>
              <w:rPr/>
            </w:pPr>
            <w:r>
              <w:rPr/>
              <w:t>Applicable</w:t>
              <w:br/>
              <w:t>Margin for Term</w:t>
              <w:br/>
              <w:t>SOFR Loans and</w:t>
              <w:br/>
              <w:t>Alternative</w:t>
              <w:br/>
              <w:t>Currency Loans</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568" w:type="dxa"/>
            <w:gridSpan w:val="2"/>
            <w:tcBorders>
              <w:bottom w:val="single" w:sz="8" w:space="0" w:color="000000"/>
            </w:tcBorders>
            <w:tcMar>
              <w:bottom w:w="28" w:type="dxa"/>
            </w:tcMar>
            <w:vAlign w:val="bottom"/>
          </w:tcPr>
          <w:p>
            <w:pPr>
              <w:pStyle w:val="TableContents"/>
              <w:bidi w:val="0"/>
              <w:spacing w:before="0" w:after="283"/>
              <w:jc w:val="center"/>
              <w:rPr/>
            </w:pPr>
            <w:r>
              <w:rPr/>
              <w:t>Applicable</w:t>
              <w:br/>
              <w:t>Margin for Base</w:t>
              <w:br/>
              <w:t>Rate Loans</w:t>
            </w:r>
          </w:p>
        </w:tc>
        <w:tc>
          <w:tcPr>
            <w:tcW w:w="281" w:type="dxa"/>
            <w:tcBorders/>
            <w:vAlign w:val="bottom"/>
          </w:tcPr>
          <w:p>
            <w:pPr>
              <w:pStyle w:val="TableContents"/>
              <w:bidi w:val="0"/>
              <w:spacing w:before="0" w:after="283"/>
              <w:jc w:val="left"/>
              <w:rPr/>
            </w:pPr>
            <w:r>
              <w:rPr/>
              <w:t> </w:t>
            </w:r>
          </w:p>
        </w:tc>
      </w:tr>
      <w:tr>
        <w:trPr/>
        <w:tc>
          <w:tcPr>
            <w:tcW w:w="10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w:t>
            </w:r>
          </w:p>
        </w:tc>
        <w:tc>
          <w:tcPr>
            <w:tcW w:w="179" w:type="dxa"/>
            <w:tcBorders/>
            <w:shd w:fill="CCEEFF" w:val="clear"/>
            <w:vAlign w:val="bottom"/>
          </w:tcPr>
          <w:p>
            <w:pPr>
              <w:pStyle w:val="TableContents"/>
              <w:bidi w:val="0"/>
              <w:spacing w:before="0" w:after="283"/>
              <w:jc w:val="left"/>
              <w:rPr/>
            </w:pPr>
            <w:r>
              <w:rPr/>
              <w:t>  </w:t>
            </w:r>
          </w:p>
        </w:tc>
        <w:tc>
          <w:tcPr>
            <w:tcW w:w="2574" w:type="dxa"/>
            <w:tcBorders/>
            <w:shd w:fill="CCEEFF" w:val="clear"/>
            <w:vAlign w:val="bottom"/>
          </w:tcPr>
          <w:p>
            <w:pPr>
              <w:pStyle w:val="TableContents"/>
              <w:bidi w:val="0"/>
              <w:spacing w:before="0" w:after="283"/>
              <w:jc w:val="center"/>
              <w:rPr/>
            </w:pPr>
            <w:r>
              <w:rPr/>
              <w:t>≥</w:t>
            </w:r>
            <w:r>
              <w:rPr/>
              <w:t>AA-/Aa3/AA-</w:t>
            </w:r>
          </w:p>
        </w:tc>
        <w:tc>
          <w:tcPr>
            <w:tcW w:w="17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0.020</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bidi w:val="0"/>
              <w:spacing w:before="0" w:after="283"/>
              <w:jc w:val="right"/>
              <w:rPr/>
            </w:pPr>
            <w:r>
              <w:rPr/>
              <w:t>0.480</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7" w:type="dxa"/>
            <w:tcBorders/>
            <w:shd w:fill="CCEEFF" w:val="clear"/>
            <w:vAlign w:val="bottom"/>
          </w:tcPr>
          <w:p>
            <w:pPr>
              <w:pStyle w:val="TableContents"/>
              <w:bidi w:val="0"/>
              <w:spacing w:before="0" w:after="283"/>
              <w:jc w:val="right"/>
              <w:rPr/>
            </w:pPr>
            <w:r>
              <w:rPr/>
              <w:t>0.000</w:t>
            </w:r>
          </w:p>
        </w:tc>
        <w:tc>
          <w:tcPr>
            <w:tcW w:w="281" w:type="dxa"/>
            <w:tcBorders/>
            <w:shd w:fill="CCEEFF" w:val="clear"/>
            <w:vAlign w:val="bottom"/>
          </w:tcPr>
          <w:p>
            <w:pPr>
              <w:pStyle w:val="TableContents"/>
              <w:bidi w:val="0"/>
              <w:spacing w:before="0" w:after="283"/>
              <w:jc w:val="left"/>
              <w:rPr/>
            </w:pPr>
            <w:r>
              <w:rPr/>
              <w:t>% </w:t>
            </w:r>
          </w:p>
        </w:tc>
      </w:tr>
      <w:tr>
        <w:trPr/>
        <w:tc>
          <w:tcPr>
            <w:tcW w:w="1022" w:type="dxa"/>
            <w:tcBorders/>
          </w:tcPr>
          <w:p>
            <w:pPr>
              <w:pStyle w:val="TableContents"/>
              <w:bidi w:val="0"/>
              <w:spacing w:before="0" w:after="0"/>
              <w:jc w:val="left"/>
              <w:rPr>
                <w:rFonts w:ascii="Times New Roman" w:hAnsi="Times New Roman"/>
                <w:sz w:val="20"/>
              </w:rPr>
            </w:pPr>
            <w:r>
              <w:rPr>
                <w:rFonts w:ascii="Times New Roman" w:hAnsi="Times New Roman"/>
                <w:sz w:val="20"/>
              </w:rPr>
              <w:t>II</w:t>
            </w:r>
          </w:p>
        </w:tc>
        <w:tc>
          <w:tcPr>
            <w:tcW w:w="179" w:type="dxa"/>
            <w:tcBorders/>
            <w:vAlign w:val="bottom"/>
          </w:tcPr>
          <w:p>
            <w:pPr>
              <w:pStyle w:val="TableContents"/>
              <w:bidi w:val="0"/>
              <w:spacing w:before="0" w:after="283"/>
              <w:jc w:val="left"/>
              <w:rPr/>
            </w:pPr>
            <w:r>
              <w:rPr/>
              <w:t>  </w:t>
            </w:r>
          </w:p>
        </w:tc>
        <w:tc>
          <w:tcPr>
            <w:tcW w:w="2574" w:type="dxa"/>
            <w:tcBorders/>
            <w:vAlign w:val="bottom"/>
          </w:tcPr>
          <w:p>
            <w:pPr>
              <w:pStyle w:val="TableContents"/>
              <w:bidi w:val="0"/>
              <w:spacing w:before="0" w:after="283"/>
              <w:jc w:val="center"/>
              <w:rPr/>
            </w:pPr>
            <w:r>
              <w:rPr/>
              <w:t>A+/A1/A+</w:t>
            </w:r>
          </w:p>
        </w:tc>
        <w:tc>
          <w:tcPr>
            <w:tcW w:w="17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0.030</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2" w:type="dxa"/>
            <w:tcBorders/>
            <w:vAlign w:val="bottom"/>
          </w:tcPr>
          <w:p>
            <w:pPr>
              <w:pStyle w:val="TableContents"/>
              <w:bidi w:val="0"/>
              <w:spacing w:before="0" w:after="283"/>
              <w:jc w:val="right"/>
              <w:rPr/>
            </w:pPr>
            <w:r>
              <w:rPr/>
              <w:t>0.595</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7" w:type="dxa"/>
            <w:tcBorders/>
            <w:vAlign w:val="bottom"/>
          </w:tcPr>
          <w:p>
            <w:pPr>
              <w:pStyle w:val="TableContents"/>
              <w:bidi w:val="0"/>
              <w:spacing w:before="0" w:after="283"/>
              <w:jc w:val="right"/>
              <w:rPr/>
            </w:pPr>
            <w:r>
              <w:rPr/>
              <w:t>0.000</w:t>
            </w:r>
          </w:p>
        </w:tc>
        <w:tc>
          <w:tcPr>
            <w:tcW w:w="281" w:type="dxa"/>
            <w:tcBorders/>
            <w:vAlign w:val="bottom"/>
          </w:tcPr>
          <w:p>
            <w:pPr>
              <w:pStyle w:val="TableContents"/>
              <w:bidi w:val="0"/>
              <w:spacing w:before="0" w:after="283"/>
              <w:jc w:val="left"/>
              <w:rPr/>
            </w:pPr>
            <w:r>
              <w:rPr/>
              <w:t>% </w:t>
            </w:r>
          </w:p>
        </w:tc>
      </w:tr>
      <w:tr>
        <w:trPr/>
        <w:tc>
          <w:tcPr>
            <w:tcW w:w="10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III</w:t>
            </w:r>
          </w:p>
        </w:tc>
        <w:tc>
          <w:tcPr>
            <w:tcW w:w="179" w:type="dxa"/>
            <w:tcBorders/>
            <w:shd w:fill="CCEEFF" w:val="clear"/>
            <w:vAlign w:val="bottom"/>
          </w:tcPr>
          <w:p>
            <w:pPr>
              <w:pStyle w:val="TableContents"/>
              <w:bidi w:val="0"/>
              <w:spacing w:before="0" w:after="283"/>
              <w:jc w:val="left"/>
              <w:rPr/>
            </w:pPr>
            <w:r>
              <w:rPr/>
              <w:t>  </w:t>
            </w:r>
          </w:p>
        </w:tc>
        <w:tc>
          <w:tcPr>
            <w:tcW w:w="2574" w:type="dxa"/>
            <w:tcBorders/>
            <w:shd w:fill="CCEEFF" w:val="clear"/>
            <w:vAlign w:val="bottom"/>
          </w:tcPr>
          <w:p>
            <w:pPr>
              <w:pStyle w:val="TableContents"/>
              <w:bidi w:val="0"/>
              <w:spacing w:before="0" w:after="283"/>
              <w:jc w:val="center"/>
              <w:rPr/>
            </w:pPr>
            <w:r>
              <w:rPr/>
              <w:t>A/A2/A</w:t>
            </w:r>
          </w:p>
        </w:tc>
        <w:tc>
          <w:tcPr>
            <w:tcW w:w="17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0.040</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bidi w:val="0"/>
              <w:spacing w:before="0" w:after="283"/>
              <w:jc w:val="right"/>
              <w:rPr/>
            </w:pPr>
            <w:r>
              <w:rPr/>
              <w:t>0.710</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7" w:type="dxa"/>
            <w:tcBorders/>
            <w:shd w:fill="CCEEFF" w:val="clear"/>
            <w:vAlign w:val="bottom"/>
          </w:tcPr>
          <w:p>
            <w:pPr>
              <w:pStyle w:val="TableContents"/>
              <w:bidi w:val="0"/>
              <w:spacing w:before="0" w:after="283"/>
              <w:jc w:val="right"/>
              <w:rPr/>
            </w:pPr>
            <w:r>
              <w:rPr/>
              <w:t>0.000</w:t>
            </w:r>
          </w:p>
        </w:tc>
        <w:tc>
          <w:tcPr>
            <w:tcW w:w="281" w:type="dxa"/>
            <w:tcBorders/>
            <w:shd w:fill="CCEEFF" w:val="clear"/>
            <w:vAlign w:val="bottom"/>
          </w:tcPr>
          <w:p>
            <w:pPr>
              <w:pStyle w:val="TableContents"/>
              <w:bidi w:val="0"/>
              <w:spacing w:before="0" w:after="283"/>
              <w:jc w:val="left"/>
              <w:rPr/>
            </w:pPr>
            <w:r>
              <w:rPr/>
              <w:t>% </w:t>
            </w:r>
          </w:p>
        </w:tc>
      </w:tr>
      <w:tr>
        <w:trPr/>
        <w:tc>
          <w:tcPr>
            <w:tcW w:w="1022" w:type="dxa"/>
            <w:tcBorders/>
          </w:tcPr>
          <w:p>
            <w:pPr>
              <w:pStyle w:val="TableContents"/>
              <w:bidi w:val="0"/>
              <w:spacing w:before="0" w:after="0"/>
              <w:jc w:val="left"/>
              <w:rPr>
                <w:rFonts w:ascii="Times New Roman" w:hAnsi="Times New Roman"/>
                <w:sz w:val="20"/>
              </w:rPr>
            </w:pPr>
            <w:r>
              <w:rPr>
                <w:rFonts w:ascii="Times New Roman" w:hAnsi="Times New Roman"/>
                <w:sz w:val="20"/>
              </w:rPr>
              <w:t>IV</w:t>
            </w:r>
          </w:p>
        </w:tc>
        <w:tc>
          <w:tcPr>
            <w:tcW w:w="179" w:type="dxa"/>
            <w:tcBorders/>
            <w:vAlign w:val="bottom"/>
          </w:tcPr>
          <w:p>
            <w:pPr>
              <w:pStyle w:val="TableContents"/>
              <w:bidi w:val="0"/>
              <w:spacing w:before="0" w:after="283"/>
              <w:jc w:val="left"/>
              <w:rPr/>
            </w:pPr>
            <w:r>
              <w:rPr/>
              <w:t>  </w:t>
            </w:r>
          </w:p>
        </w:tc>
        <w:tc>
          <w:tcPr>
            <w:tcW w:w="2574" w:type="dxa"/>
            <w:tcBorders/>
            <w:vAlign w:val="bottom"/>
          </w:tcPr>
          <w:p>
            <w:pPr>
              <w:pStyle w:val="TableContents"/>
              <w:bidi w:val="0"/>
              <w:spacing w:before="0" w:after="283"/>
              <w:jc w:val="center"/>
              <w:rPr/>
            </w:pPr>
            <w:r>
              <w:rPr/>
              <w:t>A-/A3/A-</w:t>
            </w:r>
          </w:p>
        </w:tc>
        <w:tc>
          <w:tcPr>
            <w:tcW w:w="17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0.050</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2" w:type="dxa"/>
            <w:tcBorders/>
            <w:vAlign w:val="bottom"/>
          </w:tcPr>
          <w:p>
            <w:pPr>
              <w:pStyle w:val="TableContents"/>
              <w:bidi w:val="0"/>
              <w:spacing w:before="0" w:after="283"/>
              <w:jc w:val="right"/>
              <w:rPr/>
            </w:pPr>
            <w:r>
              <w:rPr/>
              <w:t>0.825</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17" w:type="dxa"/>
            <w:tcBorders/>
            <w:vAlign w:val="bottom"/>
          </w:tcPr>
          <w:p>
            <w:pPr>
              <w:pStyle w:val="TableContents"/>
              <w:bidi w:val="0"/>
              <w:spacing w:before="0" w:after="283"/>
              <w:jc w:val="right"/>
              <w:rPr/>
            </w:pPr>
            <w:r>
              <w:rPr/>
              <w:t>0.000</w:t>
            </w:r>
          </w:p>
        </w:tc>
        <w:tc>
          <w:tcPr>
            <w:tcW w:w="281" w:type="dxa"/>
            <w:tcBorders/>
            <w:vAlign w:val="bottom"/>
          </w:tcPr>
          <w:p>
            <w:pPr>
              <w:pStyle w:val="TableContents"/>
              <w:bidi w:val="0"/>
              <w:spacing w:before="0" w:after="283"/>
              <w:jc w:val="left"/>
              <w:rPr/>
            </w:pPr>
            <w:r>
              <w:rPr/>
              <w:t>% </w:t>
            </w:r>
          </w:p>
        </w:tc>
      </w:tr>
      <w:tr>
        <w:trPr/>
        <w:tc>
          <w:tcPr>
            <w:tcW w:w="10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w:t>
            </w:r>
          </w:p>
        </w:tc>
        <w:tc>
          <w:tcPr>
            <w:tcW w:w="179" w:type="dxa"/>
            <w:tcBorders/>
            <w:shd w:fill="CCEEFF" w:val="clear"/>
            <w:vAlign w:val="bottom"/>
          </w:tcPr>
          <w:p>
            <w:pPr>
              <w:pStyle w:val="TableContents"/>
              <w:bidi w:val="0"/>
              <w:spacing w:before="0" w:after="283"/>
              <w:jc w:val="left"/>
              <w:rPr/>
            </w:pPr>
            <w:r>
              <w:rPr/>
              <w:t>  </w:t>
            </w:r>
          </w:p>
        </w:tc>
        <w:tc>
          <w:tcPr>
            <w:tcW w:w="2574" w:type="dxa"/>
            <w:tcBorders/>
            <w:shd w:fill="CCEEFF" w:val="clear"/>
            <w:vAlign w:val="bottom"/>
          </w:tcPr>
          <w:p>
            <w:pPr>
              <w:pStyle w:val="TableContents"/>
              <w:bidi w:val="0"/>
              <w:spacing w:before="0" w:after="283"/>
              <w:jc w:val="center"/>
              <w:rPr/>
            </w:pPr>
            <w:r>
              <w:rPr/>
              <w:t>≤</w:t>
            </w:r>
            <w:r>
              <w:rPr/>
              <w:t>BBB+/Baa1/BBB+</w:t>
            </w:r>
          </w:p>
        </w:tc>
        <w:tc>
          <w:tcPr>
            <w:tcW w:w="17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0.075</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bidi w:val="0"/>
              <w:spacing w:before="0" w:after="283"/>
              <w:jc w:val="right"/>
              <w:rPr/>
            </w:pPr>
            <w:r>
              <w:rPr/>
              <w:t>0.925</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17" w:type="dxa"/>
            <w:tcBorders/>
            <w:shd w:fill="CCEEFF" w:val="clear"/>
            <w:vAlign w:val="bottom"/>
          </w:tcPr>
          <w:p>
            <w:pPr>
              <w:pStyle w:val="TableContents"/>
              <w:bidi w:val="0"/>
              <w:spacing w:before="0" w:after="283"/>
              <w:jc w:val="right"/>
              <w:rPr/>
            </w:pPr>
            <w:r>
              <w:rPr/>
              <w:t>0.000</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Each change in the Applicable Rate resulting from a publicly announced change in the Debt Rating shall be effective</w:t>
      </w:r>
      <w:r>
        <w:rPr>
          <w:rFonts w:ascii="Times New Roman" w:hAnsi="Times New Roman"/>
          <w:b/>
          <w:sz w:val="20"/>
        </w:rPr>
        <w:t xml:space="preserve">, </w:t>
      </w:r>
      <w:r>
        <w:rPr>
          <w:rFonts w:ascii="Times New Roman" w:hAnsi="Times New Roman"/>
          <w:sz w:val="20"/>
        </w:rPr>
        <w:t xml:space="preserve">in the case of an upgrade, during the period commencing on the date of delivery by the Company to the Administrative Agent of notice thereof pursuant to </w:t>
      </w:r>
      <w:r>
        <w:rPr>
          <w:rFonts w:ascii="Times New Roman" w:hAnsi="Times New Roman"/>
          <w:sz w:val="20"/>
          <w:u w:val="single"/>
        </w:rPr>
        <w:t>Section 6.03(b)</w:t>
      </w:r>
      <w:r>
        <w:rPr>
          <w:rFonts w:ascii="Times New Roman" w:hAnsi="Times New Roman"/>
          <w:sz w:val="20"/>
        </w:rPr>
        <w:t xml:space="preserve"> and ending on the date immediately preceding the effective date of the next such change and, in the case of a downgrade</w:t>
      </w:r>
      <w:r>
        <w:rPr>
          <w:rFonts w:ascii="Times New Roman" w:hAnsi="Times New Roman"/>
          <w:b/>
          <w:sz w:val="20"/>
        </w:rPr>
        <w:t xml:space="preserve">, </w:t>
      </w:r>
      <w:r>
        <w:rPr>
          <w:rFonts w:ascii="Times New Roman" w:hAnsi="Times New Roman"/>
          <w:sz w:val="20"/>
        </w:rPr>
        <w:t xml:space="preserve">during the period commencing on the date of the public announcement thereof and ending on the date immediately preceding the effective date of the next such change. If at any time the respective Debt Ratings issued by the three rating agencies are not at the same Pricing Level (with the Debt Rating for Pricing Level 1 being the highest and the Debt Rating for Pricing Level 5 being the lowest), and (i) if only one of the rating agencies shall have in effect a Debt Rating, then the Pricing Level that is one level lower than the level of the Debt Rating shall apply; (ii) if only two rating agencies shall have in effect a Debt Rating, and such Debt Ratings differ by one level, then the Pricing Level for the higher of the two Debt Ratings shall apply; (iii) if only two rating agencies shall have in effect a Debt Rating, and there is a split in Debt Ratings of such rating agencies of more than one level, then the Pricing Level that is one level lower than the higher of the two Debt Ratings shall apply; (iv) if three rating agencies shall have in effect a Debt Rating, and 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3"/>
        <w:gridCol w:w="3186"/>
        <w:gridCol w:w="123"/>
        <w:gridCol w:w="3317"/>
      </w:tblGrid>
      <w:tr>
        <w:trPr/>
        <w:tc>
          <w:tcPr>
            <w:tcW w:w="34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center"/>
              <w:rPr/>
            </w:pPr>
            <w:r>
              <w:rPr/>
              <w:t>3</w:t>
            </w:r>
          </w:p>
        </w:tc>
        <w:tc>
          <w:tcPr>
            <w:tcW w:w="123" w:type="dxa"/>
            <w:tcBorders/>
            <w:vAlign w:val="bottom"/>
          </w:tcPr>
          <w:p>
            <w:pPr>
              <w:pStyle w:val="TableContents"/>
              <w:bidi w:val="0"/>
              <w:spacing w:before="0" w:after="283"/>
              <w:jc w:val="left"/>
              <w:rPr/>
            </w:pPr>
            <w:r>
              <w:rPr/>
              <w:t>  </w:t>
            </w:r>
          </w:p>
        </w:tc>
        <w:tc>
          <w:tcPr>
            <w:tcW w:w="3317"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two or three of the Debt Ratings are the same, then the Pricing Level shall be determined by reference to such Debt Ratings; and (v) if three rating agencies shall have in effect a Debt Rating and each Debt Rating is in a different Pricing Level, the Pricing Level that is the middle of the three ratings shall apply. If the Borrower does not have any Debt Rating, Pricing Level 5 shall apply. </w:t>
      </w:r>
    </w:p>
    <w:p>
      <w:pPr>
        <w:pStyle w:val="TextBody"/>
        <w:bidi w:val="0"/>
        <w:spacing w:before="240" w:after="0"/>
        <w:jc w:val="left"/>
        <w:rPr/>
      </w:pPr>
      <w:r>
        <w:rPr/>
        <w:t>“</w:t>
      </w:r>
      <w:r>
        <w:rPr>
          <w:rFonts w:ascii="Times New Roman" w:hAnsi="Times New Roman"/>
          <w:b/>
          <w:sz w:val="20"/>
          <w:u w:val="single"/>
        </w:rPr>
        <w:t>Applicable Time</w:t>
      </w:r>
      <w:r>
        <w:rPr>
          <w:rFonts w:ascii="Times New Roman" w:hAnsi="Times New Roman"/>
          <w:sz w:val="20"/>
        </w:rPr>
        <w:t xml:space="preserve">” means, with respect to any Committed Borrowings and payments in any Alternative Currency, the local time in the place of settlement for such Alternative Currency as may be determined by the Administrative Agent to be necessary for timely settlement on the relevant date in accordance with normal banking procedures in the place of payment. </w:t>
      </w:r>
    </w:p>
    <w:p>
      <w:pPr>
        <w:pStyle w:val="TextBody"/>
        <w:bidi w:val="0"/>
        <w:spacing w:before="240" w:after="0"/>
        <w:jc w:val="left"/>
        <w:rPr/>
      </w:pPr>
      <w:r>
        <w:rPr/>
        <w:t>“</w:t>
      </w:r>
      <w:r>
        <w:rPr>
          <w:rFonts w:ascii="Times New Roman" w:hAnsi="Times New Roman"/>
          <w:b/>
          <w:sz w:val="20"/>
          <w:u w:val="single"/>
        </w:rPr>
        <w:t>Applicant Borrower</w:t>
      </w:r>
      <w:r>
        <w:rPr>
          <w:rFonts w:ascii="Times New Roman" w:hAnsi="Times New Roman"/>
          <w:sz w:val="20"/>
        </w:rPr>
        <w:t xml:space="preserve">” has the meaning specified in </w:t>
      </w:r>
      <w:r>
        <w:rPr>
          <w:rFonts w:ascii="Times New Roman" w:hAnsi="Times New Roman"/>
          <w:sz w:val="20"/>
          <w:u w:val="single"/>
        </w:rPr>
        <w:t>Section 2.18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Approved Fund</w:t>
      </w:r>
      <w:r>
        <w:rPr>
          <w:rFonts w:ascii="Times New Roman" w:hAnsi="Times New Roman"/>
          <w:sz w:val="20"/>
        </w:rPr>
        <w:t xml:space="preserve">” means any Fund that is administered or managed by (a) a Lender, (b) an Affiliate of a Lender or (c) an entity or an Affiliate of an entity that administers or manages a Lender. </w:t>
      </w:r>
    </w:p>
    <w:p>
      <w:pPr>
        <w:pStyle w:val="TextBody"/>
        <w:bidi w:val="0"/>
        <w:spacing w:before="240" w:after="0"/>
        <w:jc w:val="left"/>
        <w:rPr/>
      </w:pPr>
      <w:r>
        <w:rPr/>
        <w:t>“</w:t>
      </w:r>
      <w:r>
        <w:rPr>
          <w:rFonts w:ascii="Times New Roman" w:hAnsi="Times New Roman"/>
          <w:b/>
          <w:sz w:val="20"/>
          <w:u w:val="single"/>
        </w:rPr>
        <w:t>Arrangers</w:t>
      </w:r>
      <w:r>
        <w:rPr>
          <w:rFonts w:ascii="Times New Roman" w:hAnsi="Times New Roman"/>
          <w:sz w:val="20"/>
        </w:rPr>
        <w:t xml:space="preserve">” means the Persons named as joint lead arrangers and joint bookrunners on the cover page of this Agreement, acting in such capacities. </w:t>
      </w:r>
    </w:p>
    <w:p>
      <w:pPr>
        <w:pStyle w:val="TextBody"/>
        <w:bidi w:val="0"/>
        <w:spacing w:before="240" w:after="0"/>
        <w:jc w:val="left"/>
        <w:rPr/>
      </w:pPr>
      <w:r>
        <w:rPr/>
        <w:t>“</w:t>
      </w:r>
      <w:r>
        <w:rPr>
          <w:rFonts w:ascii="Times New Roman" w:hAnsi="Times New Roman"/>
          <w:b/>
          <w:sz w:val="20"/>
          <w:u w:val="single"/>
        </w:rPr>
        <w:t>Assignment and Assumption</w:t>
      </w:r>
      <w:r>
        <w:rPr>
          <w:rFonts w:ascii="Times New Roman" w:hAnsi="Times New Roman"/>
          <w:sz w:val="20"/>
        </w:rPr>
        <w:t xml:space="preserve">” means an assignment and assumption entered into by a Lender and an Eligible Assignee (with the consent of any party whose consent is required by </w:t>
      </w:r>
      <w:r>
        <w:rPr>
          <w:rFonts w:ascii="Times New Roman" w:hAnsi="Times New Roman"/>
          <w:sz w:val="20"/>
          <w:u w:val="single"/>
        </w:rPr>
        <w:t>Section 10.06(b)</w:t>
      </w:r>
      <w:r>
        <w:rPr>
          <w:rFonts w:ascii="Times New Roman" w:hAnsi="Times New Roman"/>
          <w:sz w:val="20"/>
        </w:rPr>
        <w:t xml:space="preserve">), and accepted by the Administrative Agent, in substantially the form of </w:t>
      </w:r>
      <w:r>
        <w:rPr>
          <w:rFonts w:ascii="Times New Roman" w:hAnsi="Times New Roman"/>
          <w:sz w:val="20"/>
          <w:u w:val="single"/>
        </w:rPr>
        <w:t>Exhibit 10.06</w:t>
      </w:r>
      <w:r>
        <w:rPr>
          <w:rFonts w:ascii="Times New Roman" w:hAnsi="Times New Roman"/>
          <w:sz w:val="20"/>
        </w:rPr>
        <w:t xml:space="preserve"> or any other form (including electronic documentation generated by MarkitClear or other electronic platform) approved by the Administrative Agent and reasonably acceptable to the Company. </w:t>
      </w:r>
    </w:p>
    <w:p>
      <w:pPr>
        <w:pStyle w:val="TextBody"/>
        <w:bidi w:val="0"/>
        <w:spacing w:before="240" w:after="0"/>
        <w:jc w:val="left"/>
        <w:rPr/>
      </w:pPr>
      <w:r>
        <w:rPr/>
        <w:t>“</w:t>
      </w:r>
      <w:r>
        <w:rPr>
          <w:rFonts w:ascii="Times New Roman" w:hAnsi="Times New Roman"/>
          <w:b/>
          <w:sz w:val="20"/>
          <w:u w:val="single"/>
        </w:rPr>
        <w:t>Attributable Indebtedness</w:t>
      </w:r>
      <w:r>
        <w:rPr>
          <w:rFonts w:ascii="Times New Roman" w:hAnsi="Times New Roman"/>
          <w:sz w:val="20"/>
        </w:rPr>
        <w:t xml:space="preserve">”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w:t>
      </w:r>
    </w:p>
    <w:p>
      <w:pPr>
        <w:pStyle w:val="TextBody"/>
        <w:bidi w:val="0"/>
        <w:spacing w:before="240" w:after="0"/>
        <w:jc w:val="left"/>
        <w:rPr/>
      </w:pPr>
      <w:r>
        <w:rPr/>
        <w:t>“</w:t>
      </w:r>
      <w:r>
        <w:rPr>
          <w:rFonts w:ascii="Times New Roman" w:hAnsi="Times New Roman"/>
          <w:b/>
          <w:sz w:val="20"/>
          <w:u w:val="single"/>
        </w:rPr>
        <w:t>Audited Financial Statements</w:t>
      </w:r>
      <w:r>
        <w:rPr>
          <w:rFonts w:ascii="Times New Roman" w:hAnsi="Times New Roman"/>
          <w:sz w:val="20"/>
        </w:rPr>
        <w:t xml:space="preserve">” means the audited consolidated balance sheet of the Company and its Subsidiaries for the fiscal year ended November 1, 2025, and the related consolidated statements of income or operations, shareholders’ equity and cash flows for such fiscal year of the Company and its Subsidiaries, including the notes thereto. </w:t>
      </w:r>
    </w:p>
    <w:p>
      <w:pPr>
        <w:pStyle w:val="TextBody"/>
        <w:bidi w:val="0"/>
        <w:spacing w:before="240" w:after="0"/>
        <w:jc w:val="left"/>
        <w:rPr/>
      </w:pPr>
      <w:r>
        <w:rPr/>
        <w:t>“</w:t>
      </w:r>
      <w:r>
        <w:rPr>
          <w:rFonts w:ascii="Times New Roman" w:hAnsi="Times New Roman"/>
          <w:b/>
          <w:sz w:val="20"/>
          <w:u w:val="single"/>
        </w:rPr>
        <w:t>Availability Period</w:t>
      </w:r>
      <w:r>
        <w:rPr>
          <w:rFonts w:ascii="Times New Roman" w:hAnsi="Times New Roman"/>
          <w:sz w:val="20"/>
        </w:rPr>
        <w:t xml:space="preserve">” means the period from and including the Closing Date to the earliest of (a) the Maturity Date, (b) the date of termination of the Aggregate Commitments pursuant to </w:t>
      </w:r>
      <w:r>
        <w:rPr>
          <w:rFonts w:ascii="Times New Roman" w:hAnsi="Times New Roman"/>
          <w:sz w:val="20"/>
          <w:u w:val="single"/>
        </w:rPr>
        <w:t>Section 2.06</w:t>
      </w:r>
      <w:r>
        <w:rPr>
          <w:rFonts w:ascii="Times New Roman" w:hAnsi="Times New Roman"/>
          <w:sz w:val="20"/>
        </w:rPr>
        <w:t xml:space="preserve">, and (c) the date of termination of the commitment of each Lender to make Loans pursuant to </w:t>
      </w:r>
      <w:r>
        <w:rPr>
          <w:rFonts w:ascii="Times New Roman" w:hAnsi="Times New Roman"/>
          <w:sz w:val="20"/>
          <w:u w:val="single"/>
        </w:rPr>
        <w:t>Section 8.02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b/>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3"/>
        <w:gridCol w:w="3186"/>
        <w:gridCol w:w="123"/>
        <w:gridCol w:w="3317"/>
      </w:tblGrid>
      <w:tr>
        <w:trPr/>
        <w:tc>
          <w:tcPr>
            <w:tcW w:w="34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center"/>
              <w:rPr/>
            </w:pPr>
            <w:r>
              <w:rPr/>
              <w:t>4</w:t>
            </w:r>
          </w:p>
        </w:tc>
        <w:tc>
          <w:tcPr>
            <w:tcW w:w="123" w:type="dxa"/>
            <w:tcBorders/>
            <w:vAlign w:val="bottom"/>
          </w:tcPr>
          <w:p>
            <w:pPr>
              <w:pStyle w:val="TableContents"/>
              <w:bidi w:val="0"/>
              <w:spacing w:before="0" w:after="283"/>
              <w:jc w:val="left"/>
              <w:rPr/>
            </w:pPr>
            <w:r>
              <w:rPr/>
              <w:t>  </w:t>
            </w:r>
          </w:p>
        </w:tc>
        <w:tc>
          <w:tcPr>
            <w:tcW w:w="3317"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u w:val="single"/>
        </w:rPr>
        <w:t>Bank of America</w:t>
      </w:r>
      <w:r>
        <w:rPr>
          <w:rFonts w:ascii="Times New Roman" w:hAnsi="Times New Roman"/>
          <w:sz w:val="20"/>
        </w:rPr>
        <w:t xml:space="preserve">” means Bank of America, N.A. and its successors. </w:t>
      </w:r>
    </w:p>
    <w:p>
      <w:pPr>
        <w:pStyle w:val="TextBody"/>
        <w:bidi w:val="0"/>
        <w:spacing w:before="240" w:after="0"/>
        <w:jc w:val="left"/>
        <w:rPr/>
      </w:pPr>
      <w:r>
        <w:rPr/>
        <w:t>“</w:t>
      </w:r>
      <w:r>
        <w:rPr>
          <w:rFonts w:ascii="Times New Roman" w:hAnsi="Times New Roman"/>
          <w:b/>
          <w:sz w:val="20"/>
          <w:u w:val="single"/>
        </w:rPr>
        <w:t>Base Rate</w:t>
      </w:r>
      <w:r>
        <w:rPr>
          <w:rFonts w:ascii="Times New Roman" w:hAnsi="Times New Roman"/>
          <w:sz w:val="20"/>
        </w:rPr>
        <w:t xml:space="preserve">” means for any day a fluctuating rate of interest per annum equal to the highest of (a) the Federal Funds Rate plus 1/2 of 1%, (b) the rate of interest in effect for such day as publicly announced from time to time by Bank of America as its “prime rate”, (c) Term SOFR (or any successor rate) plus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the “prime rate” announced by Bank of America shall take effect at the opening of business on the day specified in the public announcement of such change. If the Base Rate is being used as an alternate rate of interest pursuant to Section 3.03 hereof, then the Base Rate shall be the greater of clauses (a), (b) and (d) above and shall be determined without reference to clause (c) above. </w:t>
      </w:r>
    </w:p>
    <w:p>
      <w:pPr>
        <w:pStyle w:val="TextBody"/>
        <w:bidi w:val="0"/>
        <w:spacing w:before="240" w:after="0"/>
        <w:jc w:val="left"/>
        <w:rPr/>
      </w:pPr>
      <w:r>
        <w:rPr/>
        <w:t>“</w:t>
      </w:r>
      <w:r>
        <w:rPr>
          <w:rFonts w:ascii="Times New Roman" w:hAnsi="Times New Roman"/>
          <w:b/>
          <w:sz w:val="20"/>
          <w:u w:val="single"/>
        </w:rPr>
        <w:t>Base Rate Committed Loan</w:t>
      </w:r>
      <w:r>
        <w:rPr>
          <w:rFonts w:ascii="Times New Roman" w:hAnsi="Times New Roman"/>
          <w:sz w:val="20"/>
        </w:rPr>
        <w:t xml:space="preserve">” means a Committed Loan that is a Base Rate Loan. </w:t>
      </w:r>
    </w:p>
    <w:p>
      <w:pPr>
        <w:pStyle w:val="TextBody"/>
        <w:bidi w:val="0"/>
        <w:spacing w:before="240" w:after="0"/>
        <w:jc w:val="left"/>
        <w:rPr/>
      </w:pPr>
      <w:r>
        <w:rPr/>
        <w:t>“</w:t>
      </w:r>
      <w:r>
        <w:rPr>
          <w:rFonts w:ascii="Times New Roman" w:hAnsi="Times New Roman"/>
          <w:b/>
          <w:sz w:val="20"/>
          <w:u w:val="single"/>
        </w:rPr>
        <w:t>Base Rate Loan</w:t>
      </w:r>
      <w:r>
        <w:rPr>
          <w:rFonts w:ascii="Times New Roman" w:hAnsi="Times New Roman"/>
          <w:sz w:val="20"/>
        </w:rPr>
        <w:t xml:space="preserve">” means a Loan that bears interest based on the Base Rate. </w:t>
      </w:r>
    </w:p>
    <w:p>
      <w:pPr>
        <w:pStyle w:val="TextBody"/>
        <w:bidi w:val="0"/>
        <w:spacing w:before="240" w:after="0"/>
        <w:jc w:val="left"/>
        <w:rPr/>
      </w:pPr>
      <w:r>
        <w:rPr/>
        <w:t>“</w:t>
      </w:r>
      <w:r>
        <w:rPr>
          <w:rFonts w:ascii="Times New Roman" w:hAnsi="Times New Roman"/>
          <w:b/>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b/>
          <w:sz w:val="20"/>
          <w:u w:val="single"/>
        </w:rPr>
        <w:t>Benefit Plan</w:t>
      </w:r>
      <w:r>
        <w:rPr>
          <w:rFonts w:ascii="Times New Roman" w:hAnsi="Times New Roman"/>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b/>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b/>
          <w:sz w:val="20"/>
          <w:u w:val="single"/>
        </w:rPr>
        <w:t>BofA Securities</w:t>
      </w:r>
      <w:r>
        <w:rPr>
          <w:rFonts w:ascii="Times New Roman" w:hAnsi="Times New Roman"/>
          <w:sz w:val="20"/>
        </w:rPr>
        <w:t xml:space="preserve">” means BofA Securities, Inc., in its capacity as a joint lead arranger and bookrunner. </w:t>
      </w:r>
    </w:p>
    <w:p>
      <w:pPr>
        <w:pStyle w:val="TextBody"/>
        <w:bidi w:val="0"/>
        <w:spacing w:before="240" w:after="0"/>
        <w:jc w:val="left"/>
        <w:rPr/>
      </w:pPr>
      <w:r>
        <w:rPr/>
        <w:t>“</w:t>
      </w:r>
      <w:r>
        <w:rPr>
          <w:rFonts w:ascii="Times New Roman" w:hAnsi="Times New Roman"/>
          <w:b/>
          <w:sz w:val="20"/>
          <w:u w:val="single"/>
        </w:rPr>
        <w:t>Borrower</w:t>
      </w:r>
      <w:r>
        <w:rPr>
          <w:rFonts w:ascii="Times New Roman" w:hAnsi="Times New Roman"/>
          <w:sz w:val="20"/>
        </w:rPr>
        <w:t>” and “</w:t>
      </w:r>
      <w:r>
        <w:rPr>
          <w:rFonts w:ascii="Times New Roman" w:hAnsi="Times New Roman"/>
          <w:b/>
          <w:sz w:val="20"/>
          <w:u w:val="single"/>
        </w:rPr>
        <w:t>Borrowers</w:t>
      </w:r>
      <w:r>
        <w:rPr>
          <w:rFonts w:ascii="Times New Roman" w:hAnsi="Times New Roman"/>
          <w:sz w:val="20"/>
        </w:rPr>
        <w:t xml:space="preserve">” each has the meaning specified in the introductory paragraph hereto. </w:t>
      </w:r>
    </w:p>
    <w:p>
      <w:pPr>
        <w:pStyle w:val="TextBody"/>
        <w:bidi w:val="0"/>
        <w:spacing w:before="240" w:after="0"/>
        <w:jc w:val="left"/>
        <w:rPr/>
      </w:pPr>
      <w:r>
        <w:rPr/>
        <w:t>“</w:t>
      </w:r>
      <w:r>
        <w:rPr>
          <w:rFonts w:ascii="Times New Roman" w:hAnsi="Times New Roman"/>
          <w:b/>
          <w:sz w:val="20"/>
          <w:u w:val="single"/>
        </w:rPr>
        <w:t>Borrower Materials</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Business Day</w:t>
      </w:r>
      <w:r>
        <w:rPr>
          <w:rFonts w:ascii="Times New Roman" w:hAnsi="Times New Roman"/>
          <w:sz w:val="20"/>
        </w:rPr>
        <w:t xml:space="preserve">” means any day other than a Saturday, Sunday or other day on which commercial banks are authorized to close under the Laws of, or are in fact closed in, the state where the Administrative Agent’s Office is located and: </w:t>
      </w:r>
    </w:p>
    <w:p>
      <w:pPr>
        <w:pStyle w:val="TextBody"/>
        <w:bidi w:val="0"/>
        <w:spacing w:before="120" w:after="0"/>
        <w:jc w:val="left"/>
        <w:rPr>
          <w:rFonts w:ascii="Times New Roman" w:hAnsi="Times New Roman"/>
          <w:sz w:val="20"/>
        </w:rPr>
      </w:pPr>
      <w:r>
        <w:rPr>
          <w:rFonts w:ascii="Times New Roman" w:hAnsi="Times New Roman"/>
          <w:sz w:val="20"/>
        </w:rPr>
        <w:t xml:space="preserve">(a) 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TARGET Day; </w:t>
      </w:r>
    </w:p>
    <w:p>
      <w:pPr>
        <w:pStyle w:val="TextBody"/>
        <w:bidi w:val="0"/>
        <w:spacing w:before="120" w:after="0"/>
        <w:jc w:val="left"/>
        <w:rPr>
          <w:rFonts w:ascii="Times New Roman" w:hAnsi="Times New Roman"/>
          <w:sz w:val="20"/>
        </w:rPr>
      </w:pPr>
      <w:r>
        <w:rPr>
          <w:rFonts w:ascii="Times New Roman" w:hAnsi="Times New Roman"/>
          <w:sz w:val="20"/>
        </w:rPr>
        <w:t xml:space="preserve">(b) if such day relates to any interest rate settings as to an Alternative Currency Daily Rate Loan denominated in Sterling, means a day other than a day banks are closed for general business in London because such day is a Saturday, Sunday or a legal holiday under the laws of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(c) if such day relates to any interest rate settings as to any Alternative Currency Loan denominated in a currency other than Euro or Sterling, means any such day on which dealings in deposits in the relevant currency are conducted by and between banks in the applicable offshore interbank market for such currency;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3"/>
        <w:gridCol w:w="3186"/>
        <w:gridCol w:w="123"/>
        <w:gridCol w:w="3317"/>
      </w:tblGrid>
      <w:tr>
        <w:trPr/>
        <w:tc>
          <w:tcPr>
            <w:tcW w:w="34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center"/>
              <w:rPr/>
            </w:pPr>
            <w:r>
              <w:rPr/>
              <w:t>5</w:t>
            </w:r>
          </w:p>
        </w:tc>
        <w:tc>
          <w:tcPr>
            <w:tcW w:w="123" w:type="dxa"/>
            <w:tcBorders/>
            <w:vAlign w:val="bottom"/>
          </w:tcPr>
          <w:p>
            <w:pPr>
              <w:pStyle w:val="TableContents"/>
              <w:bidi w:val="0"/>
              <w:spacing w:before="0" w:after="283"/>
              <w:jc w:val="left"/>
              <w:rPr/>
            </w:pPr>
            <w:r>
              <w:rPr/>
              <w:t>  </w:t>
            </w:r>
          </w:p>
        </w:tc>
        <w:tc>
          <w:tcPr>
            <w:tcW w:w="3317"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 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 </w:t>
      </w:r>
    </w:p>
    <w:p>
      <w:pPr>
        <w:pStyle w:val="TextBody"/>
        <w:bidi w:val="0"/>
        <w:spacing w:before="240" w:after="0"/>
        <w:jc w:val="left"/>
        <w:rPr/>
      </w:pPr>
      <w:r>
        <w:rPr/>
        <w:t>“</w:t>
      </w:r>
      <w:r>
        <w:rPr>
          <w:rFonts w:ascii="Times New Roman" w:hAnsi="Times New Roman"/>
          <w:b/>
          <w:sz w:val="20"/>
          <w:u w:val="single"/>
        </w:rPr>
        <w:t>Change in Law</w:t>
      </w:r>
      <w:r>
        <w:rPr>
          <w:rFonts w:ascii="Times New Roman" w:hAnsi="Times New Roman"/>
          <w:sz w:val="20"/>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sz w:val="20"/>
          <w:u w:val="single"/>
        </w:rPr>
        <w:t>provided</w:t>
      </w:r>
      <w:r>
        <w:rPr>
          <w:rFonts w:ascii="Times New Roman" w:hAnsi="Times New Roman"/>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hAnsi="Times New Roman"/>
          <w:sz w:val="20"/>
          <w:u w:val="single"/>
        </w:rPr>
        <w:t>Change in Law</w:t>
      </w:r>
      <w:r>
        <w:rPr>
          <w:rFonts w:ascii="Times New Roman" w:hAnsi="Times New Roman"/>
          <w:sz w:val="20"/>
        </w:rPr>
        <w:t xml:space="preserve">”, regardless of the date enacted, adopted or issued. </w:t>
      </w:r>
    </w:p>
    <w:p>
      <w:pPr>
        <w:pStyle w:val="TextBody"/>
        <w:bidi w:val="0"/>
        <w:spacing w:before="240" w:after="0"/>
        <w:jc w:val="left"/>
        <w:rPr/>
      </w:pPr>
      <w:r>
        <w:rPr/>
        <w:t>“</w:t>
      </w:r>
      <w:r>
        <w:rPr>
          <w:rFonts w:ascii="Times New Roman" w:hAnsi="Times New Roman"/>
          <w:b/>
          <w:sz w:val="20"/>
          <w:u w:val="single"/>
        </w:rPr>
        <w:t>Change of Control</w:t>
      </w:r>
      <w:r>
        <w:rPr>
          <w:rFonts w:ascii="Times New Roman" w:hAnsi="Times New Roman"/>
          <w:sz w:val="20"/>
        </w:rPr>
        <w:t xml:space="preserve">” means an event or series of events by which: </w:t>
      </w:r>
    </w:p>
    <w:p>
      <w:pPr>
        <w:pStyle w:val="TextBody"/>
        <w:bidi w:val="0"/>
        <w:spacing w:before="120" w:after="0"/>
        <w:jc w:val="left"/>
        <w:rPr>
          <w:rFonts w:ascii="Times New Roman" w:hAnsi="Times New Roman"/>
          <w:sz w:val="20"/>
        </w:rPr>
      </w:pPr>
      <w:r>
        <w:rPr>
          <w:rFonts w:ascii="Times New Roman" w:hAnsi="Times New Roman"/>
          <w:sz w:val="20"/>
        </w:rPr>
        <w:t>(a)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hAnsi="Times New Roman"/>
          <w:sz w:val="20"/>
          <w:u w:val="single"/>
        </w:rPr>
        <w:t>option right</w:t>
      </w:r>
      <w:r>
        <w:rPr>
          <w:rFonts w:ascii="Times New Roman" w:hAnsi="Times New Roman"/>
          <w:sz w:val="20"/>
        </w:rPr>
        <w:t xml:space="preserve">”), directly or indirectly, of 40% or more of the Equity Interests of the Company entitled to vote for members of the board of directors or equivalent governing body of the Company on a fully-diluted basis (and taking into account all such Equity Interests that such person or group has the right to acquire pursuant to any option right); </w:t>
      </w:r>
    </w:p>
    <w:p>
      <w:pPr>
        <w:pStyle w:val="TextBody"/>
        <w:bidi w:val="0"/>
        <w:spacing w:before="120" w:after="0"/>
        <w:jc w:val="left"/>
        <w:rPr>
          <w:rFonts w:ascii="Times New Roman" w:hAnsi="Times New Roman"/>
          <w:sz w:val="20"/>
        </w:rPr>
      </w:pPr>
      <w:r>
        <w:rPr>
          <w:rFonts w:ascii="Times New Roman" w:hAnsi="Times New Roman"/>
          <w:sz w:val="20"/>
        </w:rPr>
        <w:t xml:space="preserve">(b) [reserved]; or </w:t>
      </w:r>
    </w:p>
    <w:p>
      <w:pPr>
        <w:pStyle w:val="TextBody"/>
        <w:bidi w:val="0"/>
        <w:spacing w:before="120" w:after="0"/>
        <w:jc w:val="left"/>
        <w:rPr>
          <w:rFonts w:ascii="Times New Roman" w:hAnsi="Times New Roman"/>
          <w:sz w:val="20"/>
        </w:rPr>
      </w:pPr>
      <w:r>
        <w:rPr>
          <w:rFonts w:ascii="Times New Roman" w:hAnsi="Times New Roman"/>
          <w:sz w:val="20"/>
        </w:rPr>
        <w:t xml:space="preserve">(c) the Company shall for any reason cease (at any time during which any Subsidiary is a Designated Borrower) to Control any Designated Borrower. </w:t>
      </w:r>
    </w:p>
    <w:p>
      <w:pPr>
        <w:pStyle w:val="TextBody"/>
        <w:bidi w:val="0"/>
        <w:spacing w:before="240" w:after="0"/>
        <w:jc w:val="left"/>
        <w:rPr/>
      </w:pPr>
      <w:r>
        <w:rPr/>
        <w:t>“</w:t>
      </w:r>
      <w:r>
        <w:rPr>
          <w:rFonts w:ascii="Times New Roman" w:hAnsi="Times New Roman"/>
          <w:b/>
          <w:sz w:val="20"/>
          <w:u w:val="single"/>
        </w:rPr>
        <w:t>Closing Date</w:t>
      </w:r>
      <w:r>
        <w:rPr>
          <w:rFonts w:ascii="Times New Roman" w:hAnsi="Times New Roman"/>
          <w:sz w:val="20"/>
        </w:rPr>
        <w:t xml:space="preserve">” means July 2, 2026. </w:t>
      </w:r>
    </w:p>
    <w:p>
      <w:pPr>
        <w:pStyle w:val="TextBody"/>
        <w:bidi w:val="0"/>
        <w:spacing w:before="240" w:after="0"/>
        <w:jc w:val="left"/>
        <w:rPr/>
      </w:pPr>
      <w:r>
        <w:rPr/>
        <w:t>“</w:t>
      </w:r>
      <w:r>
        <w:rPr>
          <w:rFonts w:ascii="Times New Roman" w:hAnsi="Times New Roman"/>
          <w:b/>
          <w:sz w:val="20"/>
          <w:u w:val="single"/>
        </w:rPr>
        <w:t>CME</w:t>
      </w:r>
      <w:r>
        <w:rPr>
          <w:rFonts w:ascii="Times New Roman" w:hAnsi="Times New Roman"/>
          <w:sz w:val="20"/>
        </w:rPr>
        <w:t xml:space="preserve">” means CME Group Benchmark Administration Limited. </w:t>
      </w:r>
    </w:p>
    <w:p>
      <w:pPr>
        <w:pStyle w:val="TextBody"/>
        <w:bidi w:val="0"/>
        <w:spacing w:before="240" w:after="0"/>
        <w:jc w:val="left"/>
        <w:rPr/>
      </w:pPr>
      <w:r>
        <w:rPr/>
        <w:t>“</w:t>
      </w:r>
      <w:r>
        <w:rPr>
          <w:rFonts w:ascii="Times New Roman" w:hAnsi="Times New Roman"/>
          <w:b/>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u w:val="single"/>
        </w:rPr>
        <w:t>Commitment</w:t>
      </w:r>
      <w:r>
        <w:rPr>
          <w:rFonts w:ascii="Times New Roman" w:hAnsi="Times New Roman"/>
          <w:sz w:val="20"/>
        </w:rPr>
        <w:t xml:space="preserve">” means, as to each Lender, its obligation to make Committed Loans to the Borrowers pursuant to </w:t>
      </w:r>
      <w:r>
        <w:rPr>
          <w:rFonts w:ascii="Times New Roman" w:hAnsi="Times New Roman"/>
          <w:sz w:val="20"/>
          <w:u w:val="single"/>
        </w:rPr>
        <w:t>Section 2.01</w:t>
      </w:r>
      <w:r>
        <w:rPr>
          <w:rFonts w:ascii="Times New Roman" w:hAnsi="Times New Roman"/>
          <w:sz w:val="20"/>
        </w:rPr>
        <w:t xml:space="preserve">, in an aggregate principal amount at any one time outstanding not to exceed the amount set forth opposite such Lender’s name on </w:t>
      </w:r>
      <w:r>
        <w:rPr>
          <w:rFonts w:ascii="Times New Roman" w:hAnsi="Times New Roman"/>
          <w:sz w:val="20"/>
          <w:u w:val="single"/>
        </w:rPr>
        <w:t>Schedule 2.01</w:t>
      </w:r>
      <w:r>
        <w:rPr>
          <w:rFonts w:ascii="Times New Roman" w:hAnsi="Times New Roman"/>
          <w:sz w:val="20"/>
        </w:rPr>
        <w:t xml:space="preserve"> or in the Assignment and Assumption pursuant to which such Lender becomes a party hereto, as applicable, as such amount may be adjusted from time to time in accordance with this Agreement. The aggregate amount of the Commitments on the Closing Date is THREE BILLION DOLLARS ($3,000,000,000).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3"/>
        <w:gridCol w:w="3186"/>
        <w:gridCol w:w="123"/>
        <w:gridCol w:w="3317"/>
      </w:tblGrid>
      <w:tr>
        <w:trPr/>
        <w:tc>
          <w:tcPr>
            <w:tcW w:w="34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center"/>
              <w:rPr/>
            </w:pPr>
            <w:r>
              <w:rPr/>
              <w:t>6</w:t>
            </w:r>
          </w:p>
        </w:tc>
        <w:tc>
          <w:tcPr>
            <w:tcW w:w="123" w:type="dxa"/>
            <w:tcBorders/>
            <w:vAlign w:val="bottom"/>
          </w:tcPr>
          <w:p>
            <w:pPr>
              <w:pStyle w:val="TableContents"/>
              <w:bidi w:val="0"/>
              <w:spacing w:before="0" w:after="283"/>
              <w:jc w:val="left"/>
              <w:rPr/>
            </w:pPr>
            <w:r>
              <w:rPr/>
              <w:t>  </w:t>
            </w:r>
          </w:p>
        </w:tc>
        <w:tc>
          <w:tcPr>
            <w:tcW w:w="3317"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u w:val="single"/>
        </w:rPr>
        <w:t>Committed Borrowing</w:t>
      </w:r>
      <w:r>
        <w:rPr>
          <w:rFonts w:ascii="Times New Roman" w:hAnsi="Times New Roman"/>
          <w:sz w:val="20"/>
        </w:rPr>
        <w:t xml:space="preserve">” means a borrowing consisting of simultaneous Committed Loans of the same Type and to the same Borrower and, in the case of Term SOFR Loans and Alternative Currency Term Rate Loans, having the same Interest Period made by each of the Lenders pursuant to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Committed Loan</w:t>
      </w:r>
      <w:r>
        <w:rPr>
          <w:rFonts w:ascii="Times New Roman" w:hAnsi="Times New Roman"/>
          <w:sz w:val="20"/>
        </w:rPr>
        <w:t xml:space="preserve">” has the meaning specified in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Committed Loan Notice</w:t>
      </w:r>
      <w:r>
        <w:rPr>
          <w:rFonts w:ascii="Times New Roman" w:hAnsi="Times New Roman"/>
          <w:sz w:val="20"/>
        </w:rPr>
        <w:t xml:space="preserve">” means a notice of (a) a Committed Borrowing, (b) a conversion of Committed Loans from one Type to the other, or (c) a continuation of Term SOFR Loans and Alternative Currency Term Rate Loans, pursuant to </w:t>
      </w:r>
      <w:r>
        <w:rPr>
          <w:rFonts w:ascii="Times New Roman" w:hAnsi="Times New Roman"/>
          <w:sz w:val="20"/>
          <w:u w:val="single"/>
        </w:rPr>
        <w:t>Section 2.02(a)</w:t>
      </w:r>
      <w:r>
        <w:rPr>
          <w:rFonts w:ascii="Times New Roman" w:hAnsi="Times New Roman"/>
          <w:sz w:val="20"/>
        </w:rPr>
        <w:t xml:space="preserve">, which shall be substantially in the form of </w:t>
      </w:r>
      <w:r>
        <w:rPr>
          <w:rFonts w:ascii="Times New Roman" w:hAnsi="Times New Roman"/>
          <w:sz w:val="20"/>
          <w:u w:val="single"/>
        </w:rPr>
        <w:t>Exhibit 2.02</w:t>
      </w:r>
      <w:r>
        <w:rPr>
          <w:rFonts w:ascii="Times New Roman" w:hAnsi="Times New Roman"/>
          <w:sz w:val="20"/>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 </w:t>
      </w:r>
    </w:p>
    <w:p>
      <w:pPr>
        <w:pStyle w:val="TextBody"/>
        <w:bidi w:val="0"/>
        <w:spacing w:before="240" w:after="0"/>
        <w:jc w:val="left"/>
        <w:rPr/>
      </w:pPr>
      <w:r>
        <w:rPr/>
        <w:t>“</w:t>
      </w:r>
      <w:r>
        <w:rPr>
          <w:rFonts w:ascii="Times New Roman" w:hAnsi="Times New Roman"/>
          <w:b/>
          <w:sz w:val="20"/>
          <w:u w:val="single"/>
        </w:rPr>
        <w:t>Company</w:t>
      </w:r>
      <w:r>
        <w:rPr>
          <w:rFonts w:ascii="Times New Roman" w:hAnsi="Times New Roman"/>
          <w:sz w:val="20"/>
        </w:rPr>
        <w:t xml:space="preserve">” has the meaning specified in the introductory paragraph hereto. </w:t>
      </w:r>
    </w:p>
    <w:p>
      <w:pPr>
        <w:pStyle w:val="TextBody"/>
        <w:bidi w:val="0"/>
        <w:spacing w:before="240" w:after="0"/>
        <w:jc w:val="left"/>
        <w:rPr/>
      </w:pPr>
      <w:r>
        <w:rPr/>
        <w:t>“</w:t>
      </w:r>
      <w:r>
        <w:rPr>
          <w:rFonts w:ascii="Times New Roman" w:hAnsi="Times New Roman"/>
          <w:b/>
          <w:sz w:val="20"/>
          <w:u w:val="single"/>
        </w:rPr>
        <w:t>Company Guaranty</w:t>
      </w:r>
      <w:r>
        <w:rPr>
          <w:rFonts w:ascii="Times New Roman" w:hAnsi="Times New Roman"/>
          <w:sz w:val="20"/>
        </w:rPr>
        <w:t xml:space="preserve">” means any Company Guaranty made by the Company in favor of the Administrative Agent and the Lenders, substantially in the form of </w:t>
      </w:r>
      <w:r>
        <w:rPr>
          <w:rFonts w:ascii="Times New Roman" w:hAnsi="Times New Roman"/>
          <w:sz w:val="20"/>
          <w:u w:val="single"/>
        </w:rPr>
        <w:t>EXHIBIT 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Compliance Certificate</w:t>
      </w:r>
      <w:r>
        <w:rPr>
          <w:rFonts w:ascii="Times New Roman" w:hAnsi="Times New Roman"/>
          <w:sz w:val="20"/>
        </w:rPr>
        <w:t xml:space="preserve">” means a certificate substantially in the form of </w:t>
      </w:r>
      <w:r>
        <w:rPr>
          <w:rFonts w:ascii="Times New Roman" w:hAnsi="Times New Roman"/>
          <w:sz w:val="20"/>
          <w:u w:val="single"/>
        </w:rPr>
        <w:t>Exhibit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Conforming Changes</w:t>
      </w:r>
      <w:r>
        <w:rPr>
          <w:rFonts w:ascii="Times New Roman" w:hAnsi="Times New Roman"/>
          <w:sz w:val="20"/>
        </w:rPr>
        <w:t xml:space="preserve">”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 </w:t>
      </w:r>
    </w:p>
    <w:p>
      <w:pPr>
        <w:pStyle w:val="TextBody"/>
        <w:bidi w:val="0"/>
        <w:spacing w:before="240" w:after="0"/>
        <w:jc w:val="left"/>
        <w:rPr/>
      </w:pPr>
      <w:r>
        <w:rPr/>
        <w:t>“</w:t>
      </w:r>
      <w:r>
        <w:rPr>
          <w:rFonts w:ascii="Times New Roman" w:hAnsi="Times New Roman"/>
          <w:b/>
          <w:sz w:val="20"/>
          <w:u w:val="single"/>
        </w:rPr>
        <w:t>Consolidated EBITDA</w:t>
      </w:r>
      <w:r>
        <w:rPr>
          <w:rFonts w:ascii="Times New Roman" w:hAnsi="Times New Roman"/>
          <w:sz w:val="20"/>
        </w:rPr>
        <w:t xml:space="preserve">” means, for any period, for the Company and its Subsidiaries on a consolidated basis, an amount equal to Consolidated Net Income for such period </w:t>
      </w:r>
      <w:r>
        <w:rPr>
          <w:rFonts w:ascii="Times New Roman" w:hAnsi="Times New Roman"/>
          <w:sz w:val="20"/>
          <w:u w:val="single"/>
        </w:rPr>
        <w:t>plus</w:t>
      </w:r>
      <w:r>
        <w:rPr>
          <w:rFonts w:ascii="Times New Roman" w:hAnsi="Times New Roman"/>
          <w:sz w:val="20"/>
        </w:rPr>
        <w:t xml:space="preserve"> (a) the following to the extent deducted in calculating such Consolidated Net Income and without duplication: (i) Consolidated Interest Charges for such period, (ii) the provision for federal, state, local and foreign income Taxes payable by the Company and its Subsidiaries for such period, (iii) depreciation and amortization expense for such period, (iv) non-cash stock-based compensation expense for such period, (v) certain non-recurring expenses of the Company and its Subsidiaries relating to pension liabilities, in an aggregate amount not to exceed $300,000,000, (vi) non-recurring expenses (whether or not separately identified on the profit and loss statement) of the Company and its Subsidiaries which do not represent a cash item in such period or any future period, (vii) non-recurring cash expenses (whether or not separately identified on the profit and loss statement) of the Company and its Subsidiaries to the extent such cash expenses are not paid in such period but will be paid in a future period (it being understood that such nonrecurring cash expenses will reduce Consolidated EBITDA for the period in which paid), (viii) fees and expenses incurred in connection with the execution and delivery of this Agreement and the related transactions and (ix) fees and expenses incurred in connection with any Qualified Acquisition, </w:t>
      </w:r>
      <w:r>
        <w:rPr>
          <w:rFonts w:ascii="Times New Roman" w:hAnsi="Times New Roman"/>
          <w:sz w:val="20"/>
          <w:u w:val="single"/>
        </w:rPr>
        <w:t>minus</w:t>
      </w:r>
      <w:r>
        <w:rPr>
          <w:rFonts w:ascii="Times New Roman" w:hAnsi="Times New Roman"/>
          <w:sz w:val="20"/>
        </w:rPr>
        <w:t xml:space="preserve"> (b) to the extent included in calculating such Consolidated Net Income, all non-recurring non-cash items increasing Consolidated Net Income for such period, all as determined in accordance with GAAP.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3"/>
        <w:gridCol w:w="3186"/>
        <w:gridCol w:w="123"/>
        <w:gridCol w:w="3317"/>
      </w:tblGrid>
      <w:tr>
        <w:trPr/>
        <w:tc>
          <w:tcPr>
            <w:tcW w:w="34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center"/>
              <w:rPr/>
            </w:pPr>
            <w:r>
              <w:rPr/>
              <w:t>7</w:t>
            </w:r>
          </w:p>
        </w:tc>
        <w:tc>
          <w:tcPr>
            <w:tcW w:w="123" w:type="dxa"/>
            <w:tcBorders/>
            <w:vAlign w:val="bottom"/>
          </w:tcPr>
          <w:p>
            <w:pPr>
              <w:pStyle w:val="TableContents"/>
              <w:bidi w:val="0"/>
              <w:spacing w:before="0" w:after="283"/>
              <w:jc w:val="left"/>
              <w:rPr/>
            </w:pPr>
            <w:r>
              <w:rPr/>
              <w:t>  </w:t>
            </w:r>
          </w:p>
        </w:tc>
        <w:tc>
          <w:tcPr>
            <w:tcW w:w="3317"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u w:val="single"/>
        </w:rPr>
        <w:t>Consolidated EBITDA Adjustments</w:t>
      </w:r>
      <w:r>
        <w:rPr>
          <w:rFonts w:ascii="Times New Roman" w:hAnsi="Times New Roman"/>
          <w:sz w:val="20"/>
        </w:rPr>
        <w:t xml:space="preserve">” means, (a) in connection with any Person acquired by the Company or any of its Subsidiaries or any other assets acquired by the Company or any of its Subsidiaries during the applicable four fiscal quarter measurement period for purposes of </w:t>
      </w:r>
      <w:r>
        <w:rPr>
          <w:rFonts w:ascii="Times New Roman" w:hAnsi="Times New Roman"/>
          <w:sz w:val="20"/>
          <w:u w:val="single"/>
        </w:rPr>
        <w:t>Section 7.07</w:t>
      </w:r>
      <w:r>
        <w:rPr>
          <w:rFonts w:ascii="Times New Roman" w:hAnsi="Times New Roman"/>
          <w:sz w:val="20"/>
        </w:rPr>
        <w:t xml:space="preserve">, in each case where there exist historical financial statements with respect thereto or the Company provides internally prepared separate financial statements to the Administrative Agent with respect to such Person or assets (such statements to be reasonably acceptable to the Administrative Agent), Consolidated EBITDA shall be calculated, without duplication, on a pro forma basis as if such Person or assets had been acquired on the first day of such four fiscal quarter period, (b) in connection with any Person disposed of by the Company or any of its Subsidiaries or any other assets disposed of by the Company or any of its Subsidiaries during the applicable four fiscal quarter measurement period for purposes of </w:t>
      </w:r>
      <w:r>
        <w:rPr>
          <w:rFonts w:ascii="Times New Roman" w:hAnsi="Times New Roman"/>
          <w:sz w:val="20"/>
          <w:u w:val="single"/>
        </w:rPr>
        <w:t>Section 7.07</w:t>
      </w:r>
      <w:r>
        <w:rPr>
          <w:rFonts w:ascii="Times New Roman" w:hAnsi="Times New Roman"/>
          <w:sz w:val="20"/>
        </w:rPr>
        <w:t xml:space="preserve">, in each case to the extent there exist historical financial statements with respect to such Person or assets or the Company provides (or, upon the request of the Administrative Agent, can reasonably provide) internally prepared separate financial statements to the Administrative Agent with respect to such Person or assets (such statements to be reasonably acceptable to the Administrative Agent), Consolidated EBITDA shall be calculated, without duplication, on a pro forma basis as if such Person or assets had been disposed of on the first day of such four fiscal quarter period and (c) any pro forma calculation of Consolidated EBITDA pursuant to the preceding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may include, without duplication, operating expense reductions, other operating improvements, synergies or operational changes or restructurings reasonably expected to result from the applicable acquisition or disposition, in each case in the 12-month period following the consummation of such acquisition or disposition, as determined in the reasonable good faith determination of the Company and set forth in the Compliance Certificate delivered with respect to each applicable period; </w:t>
      </w:r>
      <w:r>
        <w:rPr>
          <w:rFonts w:ascii="Times New Roman" w:hAnsi="Times New Roman"/>
          <w:sz w:val="20"/>
          <w:u w:val="single"/>
        </w:rPr>
        <w:t>provided</w:t>
      </w:r>
      <w:r>
        <w:rPr>
          <w:rFonts w:ascii="Times New Roman" w:hAnsi="Times New Roman"/>
          <w:sz w:val="20"/>
        </w:rPr>
        <w:t xml:space="preserve"> that any addbacks related to any applicable pro forma events shall not in the aggregate exceed 15% of Consolidated EBITDA (calculated before giving effect to such addbacks) in any 12-month period. </w:t>
      </w:r>
    </w:p>
    <w:p>
      <w:pPr>
        <w:pStyle w:val="TextBody"/>
        <w:bidi w:val="0"/>
        <w:spacing w:before="240" w:after="0"/>
        <w:jc w:val="left"/>
        <w:rPr/>
      </w:pPr>
      <w:r>
        <w:rPr/>
        <w:t>“</w:t>
      </w:r>
      <w:r>
        <w:rPr>
          <w:rFonts w:ascii="Times New Roman" w:hAnsi="Times New Roman"/>
          <w:b/>
          <w:sz w:val="20"/>
          <w:u w:val="single"/>
        </w:rPr>
        <w:t>Consolidated Interest Charges</w:t>
      </w:r>
      <w:r>
        <w:rPr>
          <w:rFonts w:ascii="Times New Roman" w:hAnsi="Times New Roman"/>
          <w:sz w:val="20"/>
        </w:rPr>
        <w:t xml:space="preserve">” means, for any period, for the Company and its Subsidiaries on a consolidated basis, the sum of (a)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and (b) the portion of rent expense of the Company and its Subsidiaries with respect to such period under capital leases that is treated as interest in accordance with GAAP. </w:t>
      </w:r>
    </w:p>
    <w:p>
      <w:pPr>
        <w:pStyle w:val="TextBody"/>
        <w:bidi w:val="0"/>
        <w:spacing w:before="240" w:after="0"/>
        <w:jc w:val="left"/>
        <w:rPr/>
      </w:pPr>
      <w:r>
        <w:rPr/>
        <w:t>“</w:t>
      </w:r>
      <w:r>
        <w:rPr>
          <w:rFonts w:ascii="Times New Roman" w:hAnsi="Times New Roman"/>
          <w:b/>
          <w:sz w:val="20"/>
          <w:u w:val="single"/>
        </w:rPr>
        <w:t>Consolidated Net Income</w:t>
      </w:r>
      <w:r>
        <w:rPr>
          <w:rFonts w:ascii="Times New Roman" w:hAnsi="Times New Roman"/>
          <w:sz w:val="20"/>
        </w:rPr>
        <w:t xml:space="preserve">” means, for any period, for the Company and its Subsidiaries on a consolidated basis, the net income of the Company and its Subsidiaries (excluding extraordinary gains and extraordinary losses) for that period, in each case as determined in accordance with GAAP. </w:t>
      </w:r>
    </w:p>
    <w:p>
      <w:pPr>
        <w:pStyle w:val="TextBody"/>
        <w:bidi w:val="0"/>
        <w:spacing w:before="240" w:after="0"/>
        <w:jc w:val="left"/>
        <w:rPr/>
      </w:pPr>
      <w:r>
        <w:rPr/>
        <w:t>“</w:t>
      </w:r>
      <w:r>
        <w:rPr>
          <w:rFonts w:ascii="Times New Roman" w:hAnsi="Times New Roman"/>
          <w:b/>
          <w:sz w:val="20"/>
          <w:u w:val="single"/>
        </w:rPr>
        <w:t>Consolidated Tangible Assets</w:t>
      </w:r>
      <w:r>
        <w:rPr>
          <w:rFonts w:ascii="Times New Roman" w:hAnsi="Times New Roman"/>
          <w:sz w:val="20"/>
        </w:rPr>
        <w:t xml:space="preserve">” means, at any time, the consolidated tangible assets of the Company and its Subsidiaries, as determined in accordance with GAAP. </w:t>
      </w:r>
    </w:p>
    <w:p>
      <w:pPr>
        <w:pStyle w:val="TextBody"/>
        <w:bidi w:val="0"/>
        <w:spacing w:before="240" w:after="0"/>
        <w:jc w:val="left"/>
        <w:rPr/>
      </w:pPr>
      <w:r>
        <w:rPr/>
        <w:t>“</w:t>
      </w:r>
      <w:r>
        <w:rPr>
          <w:rFonts w:ascii="Times New Roman" w:hAnsi="Times New Roman"/>
          <w:b/>
          <w:sz w:val="20"/>
          <w:u w:val="single"/>
        </w:rPr>
        <w:t>Contractual Obligation</w:t>
      </w:r>
      <w:r>
        <w:rPr>
          <w:rFonts w:ascii="Times New Roman" w:hAnsi="Times New Roman"/>
          <w:sz w:val="20"/>
        </w:rPr>
        <w:t xml:space="preserve">” means, as to any Person, any provision of any security issued by such Person or of any agreement, instrument or other undertaking to which such Person is a party or by which it or any of its property is bound. </w:t>
      </w:r>
    </w:p>
    <w:p>
      <w:pPr>
        <w:pStyle w:val="TextBody"/>
        <w:bidi w:val="0"/>
        <w:spacing w:before="240" w:after="0"/>
        <w:jc w:val="left"/>
        <w:rPr/>
      </w:pPr>
      <w:r>
        <w:rPr/>
        <w:t>“</w:t>
      </w:r>
      <w:r>
        <w:rPr>
          <w:rFonts w:ascii="Times New Roman" w:hAnsi="Times New Roman"/>
          <w:b/>
          <w:sz w:val="20"/>
          <w:u w:val="single"/>
        </w:rPr>
        <w:t>Control</w:t>
      </w:r>
      <w:r>
        <w:rPr>
          <w:rFonts w:ascii="Times New Roman" w:hAnsi="Times New Roman"/>
          <w:sz w:val="20"/>
        </w:rPr>
        <w:t xml:space="preserve">” means the possession, directly or indirectly, of the power to direct or cause the direction of the management or policies of a Person, whether through the ability to exercise voting power, by contract or otherwise. “Controlling” and “Controlled” have meanings correlative thereto.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3"/>
        <w:gridCol w:w="3186"/>
        <w:gridCol w:w="123"/>
        <w:gridCol w:w="3317"/>
      </w:tblGrid>
      <w:tr>
        <w:trPr/>
        <w:tc>
          <w:tcPr>
            <w:tcW w:w="34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center"/>
              <w:rPr/>
            </w:pPr>
            <w:r>
              <w:rPr/>
              <w:t>8</w:t>
            </w:r>
          </w:p>
        </w:tc>
        <w:tc>
          <w:tcPr>
            <w:tcW w:w="123" w:type="dxa"/>
            <w:tcBorders/>
            <w:vAlign w:val="bottom"/>
          </w:tcPr>
          <w:p>
            <w:pPr>
              <w:pStyle w:val="TableContents"/>
              <w:bidi w:val="0"/>
              <w:spacing w:before="0" w:after="283"/>
              <w:jc w:val="left"/>
              <w:rPr/>
            </w:pPr>
            <w:r>
              <w:rPr/>
              <w:t>  </w:t>
            </w:r>
          </w:p>
        </w:tc>
        <w:tc>
          <w:tcPr>
            <w:tcW w:w="3317"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u w:val="single"/>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240" w:after="0"/>
        <w:jc w:val="left"/>
        <w:rPr/>
      </w:pPr>
      <w:r>
        <w:rPr/>
        <w:t>“</w:t>
      </w:r>
      <w:r>
        <w:rPr>
          <w:rFonts w:ascii="Times New Roman" w:hAnsi="Times New Roman"/>
          <w:b/>
          <w:sz w:val="20"/>
          <w:u w:val="single"/>
        </w:rPr>
        <w:t>Daily Simple SOFR</w:t>
      </w:r>
      <w:r>
        <w:rPr>
          <w:rFonts w:ascii="Times New Roman" w:hAnsi="Times New Roman"/>
          <w:sz w:val="20"/>
        </w:rPr>
        <w:t xml:space="preserve">” with respect to any applicable determination date means the SOFR published on such date on the Federal Reserve Bank of New York’s website (or any successor source). </w:t>
      </w:r>
    </w:p>
    <w:p>
      <w:pPr>
        <w:pStyle w:val="TextBody"/>
        <w:bidi w:val="0"/>
        <w:spacing w:before="240" w:after="0"/>
        <w:jc w:val="left"/>
        <w:rPr/>
      </w:pPr>
      <w:r>
        <w:rPr/>
        <w:t>“</w:t>
      </w:r>
      <w:r>
        <w:rPr>
          <w:rFonts w:ascii="Times New Roman" w:hAnsi="Times New Roman"/>
          <w:b/>
          <w:sz w:val="20"/>
          <w:u w:val="single"/>
        </w:rPr>
        <w:t>Debt Rating</w:t>
      </w:r>
      <w:r>
        <w:rPr>
          <w:rFonts w:ascii="Times New Roman" w:hAnsi="Times New Roman"/>
          <w:sz w:val="20"/>
        </w:rPr>
        <w:t>” means, as of any date of determination, the rating as determined by Fitch, S&amp;P and Moody’s (collectively, the “</w:t>
      </w:r>
      <w:r>
        <w:rPr>
          <w:rFonts w:ascii="Times New Roman" w:hAnsi="Times New Roman"/>
          <w:sz w:val="20"/>
          <w:u w:val="single"/>
        </w:rPr>
        <w:t>Debt Ratings</w:t>
      </w:r>
      <w:r>
        <w:rPr>
          <w:rFonts w:ascii="Times New Roman" w:hAnsi="Times New Roman"/>
          <w:sz w:val="20"/>
        </w:rPr>
        <w:t xml:space="preserve">”) of the Company’s non-credit-enhanced, senior unsecured long- term debt. </w:t>
      </w:r>
    </w:p>
    <w:p>
      <w:pPr>
        <w:pStyle w:val="TextBody"/>
        <w:bidi w:val="0"/>
        <w:spacing w:before="240" w:after="0"/>
        <w:jc w:val="left"/>
        <w:rPr/>
      </w:pPr>
      <w:r>
        <w:rPr/>
        <w:t>“</w:t>
      </w:r>
      <w:r>
        <w:rPr>
          <w:rFonts w:ascii="Times New Roman" w:hAnsi="Times New Roman"/>
          <w:b/>
          <w:sz w:val="20"/>
          <w:u w:val="single"/>
        </w:rPr>
        <w:t>Debtor Relief Laws</w:t>
      </w:r>
      <w:r>
        <w:rPr>
          <w:rFonts w:ascii="Times New Roman" w:hAnsi="Times New Roman"/>
          <w:sz w:val="20"/>
        </w:rPr>
        <w:t xml:space="preserve">”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w:t>
      </w:r>
    </w:p>
    <w:p>
      <w:pPr>
        <w:pStyle w:val="TextBody"/>
        <w:bidi w:val="0"/>
        <w:spacing w:before="240" w:after="0"/>
        <w:jc w:val="left"/>
        <w:rPr/>
      </w:pPr>
      <w:r>
        <w:rPr/>
        <w:t>“</w:t>
      </w:r>
      <w:r>
        <w:rPr>
          <w:rFonts w:ascii="Times New Roman" w:hAnsi="Times New Roman"/>
          <w:b/>
          <w:sz w:val="20"/>
          <w:u w:val="single"/>
        </w:rPr>
        <w:t>Default</w:t>
      </w:r>
      <w:r>
        <w:rPr>
          <w:rFonts w:ascii="Times New Roman" w:hAnsi="Times New Roman"/>
          <w:sz w:val="20"/>
        </w:rPr>
        <w:t xml:space="preserve">” means any event or condition that constitutes an Event of Default or that, with the giving of any notice, the passage of time, or both, would be an Event of Default. </w:t>
      </w:r>
    </w:p>
    <w:p>
      <w:pPr>
        <w:pStyle w:val="TextBody"/>
        <w:bidi w:val="0"/>
        <w:spacing w:before="240" w:after="0"/>
        <w:jc w:val="left"/>
        <w:rPr/>
      </w:pPr>
      <w:r>
        <w:rPr/>
        <w:t>“</w:t>
      </w:r>
      <w:r>
        <w:rPr>
          <w:rFonts w:ascii="Times New Roman" w:hAnsi="Times New Roman"/>
          <w:b/>
          <w:sz w:val="20"/>
          <w:u w:val="single"/>
        </w:rPr>
        <w:t>Default Rate</w:t>
      </w:r>
      <w:r>
        <w:rPr>
          <w:rFonts w:ascii="Times New Roman" w:hAnsi="Times New Roman"/>
          <w:sz w:val="20"/>
        </w:rPr>
        <w:t xml:space="preserve">” means an interest rate equal to (i) the Base Rate plus (ii) the Applicable Rate, if any, applicable to Base Rate Loans </w:t>
      </w:r>
      <w:r>
        <w:rPr>
          <w:rFonts w:ascii="Times New Roman" w:hAnsi="Times New Roman"/>
          <w:sz w:val="20"/>
          <w:u w:val="single"/>
        </w:rPr>
        <w:t>plus</w:t>
      </w:r>
      <w:r>
        <w:rPr>
          <w:rFonts w:ascii="Times New Roman" w:hAnsi="Times New Roman"/>
          <w:sz w:val="20"/>
        </w:rPr>
        <w:t xml:space="preserve"> (iii) 2% per annum;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a Term SOFR Loan and/or an Alternative Currency Loan, the Default Rate shall be an interest rate equal to the interest rate (including any Applicable Rate) otherwise applicable to such Loan plus 2% per annum, in each case to the fullest extent permitted by applicable Laws. </w:t>
      </w:r>
    </w:p>
    <w:p>
      <w:pPr>
        <w:pStyle w:val="TextBody"/>
        <w:bidi w:val="0"/>
        <w:spacing w:before="240" w:after="0"/>
        <w:jc w:val="left"/>
        <w:rPr/>
      </w:pPr>
      <w:r>
        <w:rPr/>
        <w:t>“</w:t>
      </w:r>
      <w:r>
        <w:rPr>
          <w:rFonts w:ascii="Times New Roman" w:hAnsi="Times New Roman"/>
          <w:b/>
          <w:sz w:val="20"/>
          <w:u w:val="single"/>
        </w:rPr>
        <w:t xml:space="preserve">Default Right” </w:t>
      </w:r>
      <w:r>
        <w:rPr>
          <w:rFonts w:ascii="Times New Roman" w:hAnsi="Times New Roman"/>
          <w:sz w:val="20"/>
        </w:rPr>
        <w:t xml:space="preserve">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b/>
          <w:sz w:val="20"/>
          <w:u w:val="single"/>
        </w:rPr>
        <w:t>Defaulting Lender</w:t>
      </w:r>
      <w:r>
        <w:rPr>
          <w:rFonts w:ascii="Times New Roman" w:hAnsi="Times New Roman"/>
          <w:sz w:val="20"/>
        </w:rPr>
        <w:t xml:space="preserve">” means, subject to </w:t>
      </w:r>
      <w:r>
        <w:rPr>
          <w:rFonts w:ascii="Times New Roman" w:hAnsi="Times New Roman"/>
          <w:sz w:val="20"/>
          <w:u w:val="single"/>
        </w:rPr>
        <w:t>Section 2.17(b)</w:t>
      </w:r>
      <w:r>
        <w:rPr>
          <w:rFonts w:ascii="Times New Roman" w:hAnsi="Times New Roman"/>
          <w:sz w:val="20"/>
        </w:rPr>
        <w:t>, any Lender that (a) has failed to (i) fund all or any portion of its Committed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Lender any other amount required to be paid by it hereunder within two Business Days of the date when due, (b) has notified the Company or the Administrative Agent in writing that it does not intend to comply with its funding obligations hereunder, or has made a public statement to that effect (unless such writing or public statement relates to such Lender’s obligation to fund a Committed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w:t>
      </w:r>
      <w:r>
        <w:rPr>
          <w:rFonts w:ascii="Times New Roman" w:hAnsi="Times New Roman"/>
          <w:sz w:val="20"/>
          <w:u w:val="single"/>
        </w:rPr>
        <w:t>clause (c)</w:t>
      </w:r>
      <w:r>
        <w:rPr>
          <w:rFonts w:ascii="Times New Roman" w:hAnsi="Times New Roman"/>
          <w:sz w:val="20"/>
        </w:rPr>
        <w:t xml:space="preserve"> upon receipt of such written confirmation by the Administrative Agent and the Company), or (d) has, or has a direct or indirect parent company that has, (i) become the subject of a proceeding under any Debtor Relief Law or any Bail-In Action,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6"/>
        <w:gridCol w:w="123"/>
        <w:gridCol w:w="3186"/>
        <w:gridCol w:w="123"/>
        <w:gridCol w:w="3317"/>
      </w:tblGrid>
      <w:tr>
        <w:trPr/>
        <w:tc>
          <w:tcPr>
            <w:tcW w:w="34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345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center"/>
              <w:rPr/>
            </w:pPr>
            <w:r>
              <w:rPr/>
              <w:t>9</w:t>
            </w:r>
          </w:p>
        </w:tc>
        <w:tc>
          <w:tcPr>
            <w:tcW w:w="123" w:type="dxa"/>
            <w:tcBorders/>
            <w:vAlign w:val="bottom"/>
          </w:tcPr>
          <w:p>
            <w:pPr>
              <w:pStyle w:val="TableContents"/>
              <w:bidi w:val="0"/>
              <w:spacing w:before="0" w:after="283"/>
              <w:jc w:val="left"/>
              <w:rPr/>
            </w:pPr>
            <w:r>
              <w:rPr/>
              <w:t>  </w:t>
            </w:r>
          </w:p>
        </w:tc>
        <w:tc>
          <w:tcPr>
            <w:tcW w:w="3317"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Interests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and of the effective date of such status, shall be conclusive and binding absent manifest error, and such Lender shall be deemed to be a Defaulting Lender (subject to </w:t>
      </w:r>
      <w:r>
        <w:rPr>
          <w:rFonts w:ascii="Times New Roman" w:hAnsi="Times New Roman"/>
          <w:sz w:val="20"/>
          <w:u w:val="single"/>
        </w:rPr>
        <w:t>Section 2.17(b)</w:t>
      </w:r>
      <w:r>
        <w:rPr>
          <w:rFonts w:ascii="Times New Roman" w:hAnsi="Times New Roman"/>
          <w:sz w:val="20"/>
        </w:rPr>
        <w:t xml:space="preserve">) as of the date established therefor by the Administrative Agent in a written notice of such determination, which shall be delivered by the Administrative Agent to the Company and each Lender promptly following such determination. </w:t>
      </w:r>
    </w:p>
    <w:p>
      <w:pPr>
        <w:pStyle w:val="TextBody"/>
        <w:bidi w:val="0"/>
        <w:spacing w:before="240" w:after="0"/>
        <w:jc w:val="left"/>
        <w:rPr/>
      </w:pPr>
      <w:r>
        <w:rPr/>
        <w:t>“</w:t>
      </w:r>
      <w:r>
        <w:rPr>
          <w:rFonts w:ascii="Times New Roman" w:hAnsi="Times New Roman"/>
          <w:b/>
          <w:sz w:val="20"/>
          <w:u w:val="single"/>
        </w:rPr>
        <w:t>Designated Borrower</w:t>
      </w:r>
      <w:r>
        <w:rPr>
          <w:rFonts w:ascii="Times New Roman" w:hAnsi="Times New Roman"/>
          <w:sz w:val="20"/>
        </w:rPr>
        <w:t xml:space="preserve">” has the meaning specified in the introductory paragraph hereto. </w:t>
      </w:r>
    </w:p>
    <w:p>
      <w:pPr>
        <w:pStyle w:val="TextBody"/>
        <w:bidi w:val="0"/>
        <w:spacing w:before="240" w:after="0"/>
        <w:jc w:val="left"/>
        <w:rPr/>
      </w:pPr>
      <w:r>
        <w:rPr/>
        <w:t>“</w:t>
      </w:r>
      <w:r>
        <w:rPr>
          <w:rFonts w:ascii="Times New Roman" w:hAnsi="Times New Roman"/>
          <w:b/>
          <w:sz w:val="20"/>
          <w:u w:val="single"/>
        </w:rPr>
        <w:t>Designated Borrower Notice</w:t>
      </w:r>
      <w:r>
        <w:rPr>
          <w:rFonts w:ascii="Times New Roman" w:hAnsi="Times New Roman"/>
          <w:sz w:val="20"/>
        </w:rPr>
        <w:t xml:space="preserve">” means the notice substantially in the form of </w:t>
      </w:r>
      <w:r>
        <w:rPr>
          <w:rFonts w:ascii="Times New Roman" w:hAnsi="Times New Roman"/>
          <w:sz w:val="20"/>
          <w:u w:val="single"/>
        </w:rPr>
        <w:t>EXHIBIT 2.18(b)</w:t>
      </w:r>
      <w:r>
        <w:rPr>
          <w:rFonts w:ascii="Times New Roman" w:hAnsi="Times New Roman"/>
          <w:sz w:val="20"/>
        </w:rPr>
        <w:t xml:space="preserve"> attached hereto. </w:t>
      </w:r>
    </w:p>
    <w:p>
      <w:pPr>
        <w:pStyle w:val="TextBody"/>
        <w:bidi w:val="0"/>
        <w:spacing w:before="240" w:after="0"/>
        <w:jc w:val="left"/>
        <w:rPr/>
      </w:pPr>
      <w:r>
        <w:rPr/>
        <w:t>“</w:t>
      </w:r>
      <w:r>
        <w:rPr>
          <w:rFonts w:ascii="Times New Roman" w:hAnsi="Times New Roman"/>
          <w:b/>
          <w:sz w:val="20"/>
          <w:u w:val="single"/>
        </w:rPr>
        <w:t>Designated Borrower Request and Assumption Agreement</w:t>
      </w:r>
      <w:r>
        <w:rPr>
          <w:rFonts w:ascii="Times New Roman" w:hAnsi="Times New Roman"/>
          <w:sz w:val="20"/>
        </w:rPr>
        <w:t xml:space="preserve">” means the notice substantially in the form of </w:t>
      </w:r>
      <w:r>
        <w:rPr>
          <w:rFonts w:ascii="Times New Roman" w:hAnsi="Times New Roman"/>
          <w:sz w:val="20"/>
          <w:u w:val="single"/>
        </w:rPr>
        <w:t>EXHIBIT 2.18(a)</w:t>
      </w:r>
      <w:r>
        <w:rPr>
          <w:rFonts w:ascii="Times New Roman" w:hAnsi="Times New Roman"/>
          <w:sz w:val="20"/>
        </w:rPr>
        <w:t xml:space="preserve"> attached hereto. </w:t>
      </w:r>
    </w:p>
    <w:p>
      <w:pPr>
        <w:pStyle w:val="TextBody"/>
        <w:bidi w:val="0"/>
        <w:spacing w:before="240" w:after="0"/>
        <w:jc w:val="left"/>
        <w:rPr/>
      </w:pPr>
      <w:r>
        <w:rPr/>
        <w:t>“</w:t>
      </w:r>
      <w:r>
        <w:rPr>
          <w:rFonts w:ascii="Times New Roman" w:hAnsi="Times New Roman"/>
          <w:b/>
          <w:sz w:val="20"/>
          <w:u w:val="single"/>
        </w:rPr>
        <w:t>Designated Jurisdiction</w:t>
      </w:r>
      <w:r>
        <w:rPr>
          <w:rFonts w:ascii="Times New Roman" w:hAnsi="Times New Roman"/>
          <w:sz w:val="20"/>
        </w:rPr>
        <w:t xml:space="preserve">” means any country or territory to the extent that such country or territory is the subject of any comprehensive Sanction, including the Crimea and non-government controlled areas of Ukraine, Cuba, Iran and North Korea. </w:t>
      </w:r>
    </w:p>
    <w:p>
      <w:pPr>
        <w:pStyle w:val="TextBody"/>
        <w:bidi w:val="0"/>
        <w:spacing w:before="240" w:after="0"/>
        <w:jc w:val="left"/>
        <w:rPr/>
      </w:pPr>
      <w:r>
        <w:rPr/>
        <w:t>“</w:t>
      </w:r>
      <w:r>
        <w:rPr>
          <w:rFonts w:ascii="Times New Roman" w:hAnsi="Times New Roman"/>
          <w:b/>
          <w:sz w:val="20"/>
          <w:u w:val="single"/>
        </w:rPr>
        <w:t>Disposition</w:t>
      </w:r>
      <w:r>
        <w:rPr>
          <w:rFonts w:ascii="Times New Roman" w:hAnsi="Times New Roman"/>
          <w:sz w:val="20"/>
        </w:rPr>
        <w:t>” or “</w:t>
      </w:r>
      <w:r>
        <w:rPr>
          <w:rFonts w:ascii="Times New Roman" w:hAnsi="Times New Roman"/>
          <w:sz w:val="20"/>
          <w:u w:val="single"/>
        </w:rPr>
        <w:t>Dispose</w:t>
      </w:r>
      <w:r>
        <w:rPr>
          <w:rFonts w:ascii="Times New Roman" w:hAnsi="Times New Roman"/>
          <w:sz w:val="20"/>
        </w:rPr>
        <w:t xml:space="preserve">” means the sale, transfer, license, lease or other disposition (including any sale and leaseback transaction) of property of any Person, including any sale, assignment, transfer or other disposal, with or without recourse, of any notes or accounts receivable or any rights and claims associated therewith. </w:t>
      </w:r>
    </w:p>
    <w:p>
      <w:pPr>
        <w:pStyle w:val="TextBody"/>
        <w:bidi w:val="0"/>
        <w:spacing w:before="240" w:after="0"/>
        <w:jc w:val="left"/>
        <w:rPr/>
      </w:pPr>
      <w:r>
        <w:rPr/>
        <w:t>“</w:t>
      </w:r>
      <w:r>
        <w:rPr>
          <w:rFonts w:ascii="Times New Roman" w:hAnsi="Times New Roman"/>
          <w:b/>
          <w:sz w:val="20"/>
          <w:u w:val="single"/>
        </w:rPr>
        <w:t>Dollar</w:t>
      </w:r>
      <w:r>
        <w:rPr>
          <w:rFonts w:ascii="Times New Roman" w:hAnsi="Times New Roman"/>
          <w:sz w:val="20"/>
        </w:rPr>
        <w:t>” and “</w:t>
      </w:r>
      <w:r>
        <w:rPr>
          <w:rFonts w:ascii="Times New Roman" w:hAnsi="Times New Roman"/>
          <w:b/>
          <w:sz w:val="20"/>
          <w:u w:val="single"/>
        </w:rPr>
        <w:t>$</w:t>
      </w:r>
      <w:r>
        <w:rPr>
          <w:rFonts w:ascii="Times New Roman" w:hAnsi="Times New Roman"/>
          <w:sz w:val="20"/>
        </w:rPr>
        <w:t xml:space="preserve">” mean lawful money of the United States. </w:t>
      </w:r>
    </w:p>
    <w:p>
      <w:pPr>
        <w:pStyle w:val="TextBody"/>
        <w:bidi w:val="0"/>
        <w:spacing w:before="240" w:after="0"/>
        <w:jc w:val="left"/>
        <w:rPr/>
      </w:pPr>
      <w:r>
        <w:rPr/>
        <w:t>“</w:t>
      </w:r>
      <w:r>
        <w:rPr>
          <w:rFonts w:ascii="Times New Roman" w:hAnsi="Times New Roman"/>
          <w:b/>
          <w:sz w:val="20"/>
          <w:u w:val="single"/>
        </w:rPr>
        <w:t>Dollar Equivalent</w:t>
      </w:r>
      <w:r>
        <w:rPr>
          <w:rFonts w:ascii="Times New Roman" w:hAnsi="Times New Roman"/>
          <w:sz w:val="20"/>
        </w:rPr>
        <w:t xml:space="preserve">” means, at any time, (a) with respect to any amount denominated in Dollars, such amount, and (b) with respect to any amount denominated in any Alternative Currency, the equivalent amount thereof in Dollars as determined by the Administrative Agent at such time on the basis of the Spot Rate (determined in respect of the most recent Revaluation Date) for the purchase of Dollars with such Alternative Currency. </w:t>
      </w:r>
    </w:p>
    <w:p>
      <w:pPr>
        <w:pStyle w:val="TextBody"/>
        <w:bidi w:val="0"/>
        <w:spacing w:before="240" w:after="0"/>
        <w:jc w:val="left"/>
        <w:rPr/>
      </w:pPr>
      <w:r>
        <w:rPr/>
        <w:t>“</w:t>
      </w:r>
      <w:r>
        <w:rPr>
          <w:rFonts w:ascii="Times New Roman" w:hAnsi="Times New Roman"/>
          <w:b/>
          <w:sz w:val="20"/>
          <w:u w:val="single"/>
        </w:rPr>
        <w:t>Domestic Subsidiary</w:t>
      </w:r>
      <w:r>
        <w:rPr>
          <w:rFonts w:ascii="Times New Roman" w:hAnsi="Times New Roman"/>
          <w:sz w:val="20"/>
        </w:rPr>
        <w:t xml:space="preserve">” means any Subsidiary that is organized under the laws of any state of the United States or the District of Columbia. </w:t>
      </w:r>
    </w:p>
    <w:p>
      <w:pPr>
        <w:pStyle w:val="TextBody"/>
        <w:bidi w:val="0"/>
        <w:spacing w:before="240" w:after="0"/>
        <w:jc w:val="left"/>
        <w:rPr/>
      </w:pPr>
      <w:r>
        <w:rPr/>
        <w:t>“</w:t>
      </w:r>
      <w:r>
        <w:rPr>
          <w:rFonts w:ascii="Times New Roman" w:hAnsi="Times New Roman"/>
          <w:b/>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definition and is subject to consolidated supervision with its parent. </w:t>
      </w:r>
    </w:p>
    <w:p>
      <w:pPr>
        <w:pStyle w:val="TextBody"/>
        <w:bidi w:val="0"/>
        <w:spacing w:before="240" w:after="0"/>
        <w:jc w:val="left"/>
        <w:rPr/>
      </w:pPr>
      <w:r>
        <w:rPr/>
        <w:t>“</w:t>
      </w:r>
      <w:r>
        <w:rPr>
          <w:rFonts w:ascii="Times New Roman" w:hAnsi="Times New Roman"/>
          <w:b/>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10</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b/>
          <w:sz w:val="20"/>
          <w:u w:val="single"/>
        </w:rPr>
        <w:t>Eligible Assignee</w:t>
      </w:r>
      <w:r>
        <w:rPr>
          <w:rFonts w:ascii="Times New Roman" w:hAnsi="Times New Roman"/>
          <w:sz w:val="20"/>
        </w:rPr>
        <w:t xml:space="preserve">” means any Person that meets the requirements to be an assignee under </w:t>
      </w:r>
      <w:r>
        <w:rPr>
          <w:rFonts w:ascii="Times New Roman" w:hAnsi="Times New Roman"/>
          <w:sz w:val="20"/>
          <w:u w:val="single"/>
        </w:rPr>
        <w:t>Section 10.06(b)(iii)</w:t>
      </w:r>
      <w:r>
        <w:rPr>
          <w:rFonts w:ascii="Times New Roman" w:hAnsi="Times New Roman"/>
          <w:sz w:val="20"/>
        </w:rPr>
        <w:t xml:space="preserve"> and (</w:t>
      </w:r>
      <w:r>
        <w:rPr>
          <w:rFonts w:ascii="Times New Roman" w:hAnsi="Times New Roman"/>
          <w:sz w:val="20"/>
          <w:u w:val="single"/>
        </w:rPr>
        <w:t>v)</w:t>
      </w:r>
      <w:r>
        <w:rPr>
          <w:rFonts w:ascii="Times New Roman" w:hAnsi="Times New Roman"/>
          <w:sz w:val="20"/>
        </w:rPr>
        <w:t xml:space="preserve"> (subject to such consents, if any, as may be required under </w:t>
      </w:r>
      <w:r>
        <w:rPr>
          <w:rFonts w:ascii="Times New Roman" w:hAnsi="Times New Roman"/>
          <w:sz w:val="20"/>
          <w:u w:val="single"/>
        </w:rPr>
        <w:t>Section 10.06(b)(iii)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Eligible Currency</w:t>
      </w:r>
      <w:r>
        <w:rPr>
          <w:rFonts w:ascii="Times New Roman" w:hAnsi="Times New Roman"/>
          <w:sz w:val="20"/>
        </w:rPr>
        <w:t>” means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Lenders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 Required Lenders (in the case of any Loans to be denominated in an Alternative Currency), (a) such currency no longer being readily available, freely transferable and convertible into Dollars, (b) a Dollar Equivalent is no longer readily calculable with respect to such currency, (c) with regard to Alternative Currencies other than Euro and Sterling, providing such currency is impracticable for the Required Lenders or (d) with regard to Alternative Currencies other than Euro and Sterling, such currency is no longer a currency in which the Required Lenders are willing to make such Committed Borrowings (each of (a), (b), (c), and (d) a “</w:t>
      </w:r>
      <w:r>
        <w:rPr>
          <w:rFonts w:ascii="Times New Roman" w:hAnsi="Times New Roman"/>
          <w:sz w:val="20"/>
          <w:u w:val="single"/>
        </w:rPr>
        <w:t>Disqualifying Event</w:t>
      </w:r>
      <w:r>
        <w:rPr>
          <w:rFonts w:ascii="Times New Roman" w:hAnsi="Times New Roman"/>
          <w:sz w:val="20"/>
        </w:rPr>
        <w:t xml:space="preserve">”), then the Administrative Agent shall promptly notify the Lenders and the Company, and such country’s currency shall no longer be an Alternative Currency until such time as the Disqualifying Event(s) no longer exist. Within, five (5) Business Days after receipt of such notice from the Administrative Agent, the Borrowers shall repay all Loans in such currency to which the Disqualifying Event applies. </w:t>
      </w:r>
    </w:p>
    <w:p>
      <w:pPr>
        <w:pStyle w:val="TextBody"/>
        <w:bidi w:val="0"/>
        <w:spacing w:before="240" w:after="0"/>
        <w:jc w:val="left"/>
        <w:rPr/>
      </w:pPr>
      <w:r>
        <w:rPr/>
        <w:t>“</w:t>
      </w:r>
      <w:r>
        <w:rPr>
          <w:rFonts w:ascii="Times New Roman" w:hAnsi="Times New Roman"/>
          <w:b/>
          <w:sz w:val="20"/>
          <w:u w:val="single"/>
        </w:rPr>
        <w:t>Environmental Laws</w:t>
      </w:r>
      <w:r>
        <w:rPr>
          <w:rFonts w:ascii="Times New Roman" w:hAnsi="Times New Roman"/>
          <w:sz w:val="20"/>
        </w:rPr>
        <w:t xml:space="preserve">” means any and all applicable federal, state, local, foreign and other applicable statutes, laws, regulations, ordinances, rules, judgments, orders, decrees, permits, concessions, grants, franchises, governmental licenses, governmental agreements or governmental restrictions relating to pollution or the protection of the environment or the release of any materials into the environment, including those related to hazardous substances or wastes, air emissions and discharges to waste or public systems. </w:t>
      </w:r>
    </w:p>
    <w:p>
      <w:pPr>
        <w:pStyle w:val="TextBody"/>
        <w:bidi w:val="0"/>
        <w:spacing w:before="240" w:after="0"/>
        <w:jc w:val="left"/>
        <w:rPr/>
      </w:pPr>
      <w:r>
        <w:rPr/>
        <w:t>“</w:t>
      </w:r>
      <w:r>
        <w:rPr>
          <w:rFonts w:ascii="Times New Roman" w:hAnsi="Times New Roman"/>
          <w:b/>
          <w:sz w:val="20"/>
          <w:u w:val="single"/>
        </w:rPr>
        <w:t>Environmental Liability</w:t>
      </w:r>
      <w:r>
        <w:rPr>
          <w:rFonts w:ascii="Times New Roman" w:hAnsi="Times New Roman"/>
          <w:sz w:val="20"/>
        </w:rPr>
        <w:t xml:space="preserve">” means any liability, contingent or otherwise (including any liability for damages, costs of environmental remediation, fines, penalties or indemnities), of the Company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 </w:t>
      </w:r>
    </w:p>
    <w:p>
      <w:pPr>
        <w:pStyle w:val="TextBody"/>
        <w:bidi w:val="0"/>
        <w:spacing w:before="240" w:after="0"/>
        <w:jc w:val="left"/>
        <w:rPr/>
      </w:pPr>
      <w:r>
        <w:rPr/>
        <w:t>“</w:t>
      </w:r>
      <w:r>
        <w:rPr>
          <w:rFonts w:ascii="Times New Roman" w:hAnsi="Times New Roman"/>
          <w:b/>
          <w:sz w:val="20"/>
          <w:u w:val="single"/>
        </w:rPr>
        <w:t>Equity Interests</w:t>
      </w:r>
      <w:r>
        <w:rPr>
          <w:rFonts w:ascii="Times New Roman" w:hAnsi="Times New Roman"/>
          <w:sz w:val="20"/>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hAnsi="Times New Roman"/>
          <w:sz w:val="20"/>
          <w:u w:val="single"/>
        </w:rPr>
        <w:t>provided</w:t>
      </w:r>
      <w:r>
        <w:rPr>
          <w:rFonts w:ascii="Times New Roman" w:hAnsi="Times New Roman"/>
          <w:sz w:val="20"/>
        </w:rPr>
        <w:t xml:space="preserve"> that Indebtedness convertible or exchangeable into Equity Interests shall not be deemed to be Equity Interests unless and until such Indebtedness is so converted or exchanged. </w:t>
      </w:r>
    </w:p>
    <w:p>
      <w:pPr>
        <w:pStyle w:val="TextBody"/>
        <w:bidi w:val="0"/>
        <w:spacing w:before="240" w:after="0"/>
        <w:jc w:val="left"/>
        <w:rPr/>
      </w:pPr>
      <w:r>
        <w:rPr/>
        <w:t>“</w:t>
      </w:r>
      <w:r>
        <w:rPr>
          <w:rFonts w:ascii="Times New Roman" w:hAnsi="Times New Roman"/>
          <w:b/>
          <w:sz w:val="20"/>
          <w:u w:val="single"/>
        </w:rPr>
        <w:t>ERISA</w:t>
      </w:r>
      <w:r>
        <w:rPr>
          <w:rFonts w:ascii="Times New Roman" w:hAnsi="Times New Roman"/>
          <w:sz w:val="20"/>
        </w:rPr>
        <w:t xml:space="preserve">” means the Employee Retirement Income Security Act of 1974.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11</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u w:val="single"/>
        </w:rPr>
        <w:t>ERISA Affiliate</w:t>
      </w:r>
      <w:r>
        <w:rPr>
          <w:rFonts w:ascii="Times New Roman" w:hAnsi="Times New Roman"/>
          <w:sz w:val="20"/>
        </w:rPr>
        <w:t xml:space="preserve">” means any trade or business (whether or not incorporated) under common control or treated as a single employer with the Company within the meaning of Section 414(b) or (c) of the Code (and Sections 414(m) and (o) of the Code for purposes of provisions relating to Section 412 of the Code). </w:t>
      </w:r>
    </w:p>
    <w:p>
      <w:pPr>
        <w:pStyle w:val="TextBody"/>
        <w:bidi w:val="0"/>
        <w:spacing w:before="240" w:after="0"/>
        <w:jc w:val="left"/>
        <w:rPr/>
      </w:pPr>
      <w:r>
        <w:rPr/>
        <w:t>“</w:t>
      </w:r>
      <w:r>
        <w:rPr>
          <w:rFonts w:ascii="Times New Roman" w:hAnsi="Times New Roman"/>
          <w:b/>
          <w:sz w:val="20"/>
          <w:u w:val="single"/>
        </w:rPr>
        <w:t>ERISA Event</w:t>
      </w:r>
      <w:r>
        <w:rPr>
          <w:rFonts w:ascii="Times New Roman" w:hAnsi="Times New Roman"/>
          <w:sz w:val="20"/>
        </w:rPr>
        <w:t xml:space="preserve">” means (a) a Reportable Event with respect to a Pension Plan; (b) a withdrawal by the Company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insolvent; (d) the filing of a notice of intent to terminate, the treatment of a Pension Plan amendment as a termination under Section 4041 or 4041A of ERISA, or the institution by the PBGC of proceedings to terminate a Pension Plan; (e) any event or condition which constitutes grounds under Section 4042 of ERISA for the termination of, or the appointment of a trustee to administer, any Pension Plan; (f) the imposition of any liability under Title IV of ERISA, other than for PBGC premiums due but not delinquent under Section 4007 of ERISA, upon the Company or any ERISA Affiliate; or (g) the determination that any Pension Plan is considered an at-risk plan or a plan in endangered or critical status within the meaning of Sections 430, 431 and 432 of the Code or Sections 303, 304 and 305 of ERISA; </w:t>
      </w:r>
      <w:r>
        <w:rPr>
          <w:rFonts w:ascii="Times New Roman" w:hAnsi="Times New Roman"/>
          <w:sz w:val="20"/>
          <w:u w:val="single"/>
        </w:rPr>
        <w:t>provided</w:t>
      </w:r>
      <w:r>
        <w:rPr>
          <w:rFonts w:ascii="Times New Roman" w:hAnsi="Times New Roman"/>
          <w:sz w:val="20"/>
        </w:rPr>
        <w:t xml:space="preserve"> that with respect to a Pension Plan or Multiemployer Plan in which neither the Company nor any Subsidiary is a participating or contributing employer, clauses (a) through (g) above shall be to the knowledge of the Company. </w:t>
      </w:r>
    </w:p>
    <w:p>
      <w:pPr>
        <w:pStyle w:val="TextBody"/>
        <w:bidi w:val="0"/>
        <w:spacing w:before="240" w:after="0"/>
        <w:jc w:val="left"/>
        <w:rPr/>
      </w:pPr>
      <w:r>
        <w:rPr/>
        <w:t>“</w:t>
      </w:r>
      <w:r>
        <w:rPr>
          <w:rFonts w:ascii="Times New Roman" w:hAnsi="Times New Roman"/>
          <w:b/>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b/>
          <w:sz w:val="20"/>
          <w:u w:val="single"/>
        </w:rPr>
        <w:t>Euro</w:t>
      </w:r>
      <w:r>
        <w:rPr>
          <w:rFonts w:ascii="Times New Roman" w:hAnsi="Times New Roman"/>
          <w:sz w:val="20"/>
        </w:rPr>
        <w:t>” and “</w:t>
      </w:r>
      <w:r>
        <w:rPr>
          <w:rFonts w:ascii="Times New Roman" w:hAnsi="Times New Roman"/>
          <w:b/>
          <w:sz w:val="20"/>
          <w:u w:val="single"/>
        </w:rPr>
        <w:t></w:t>
      </w:r>
      <w:r>
        <w:rPr>
          <w:rFonts w:ascii="Times New Roman" w:hAnsi="Times New Roman"/>
          <w:sz w:val="20"/>
        </w:rPr>
        <w:t xml:space="preserve">” mean the single currency of the Participating Member States. </w:t>
      </w:r>
    </w:p>
    <w:p>
      <w:pPr>
        <w:pStyle w:val="TextBody"/>
        <w:bidi w:val="0"/>
        <w:spacing w:before="240" w:after="0"/>
        <w:jc w:val="left"/>
        <w:rPr/>
      </w:pPr>
      <w:r>
        <w:rPr/>
        <w:t>“</w:t>
      </w:r>
      <w:r>
        <w:rPr>
          <w:rFonts w:ascii="Times New Roman" w:hAnsi="Times New Roman"/>
          <w:b/>
          <w:sz w:val="20"/>
          <w:u w:val="single"/>
        </w:rPr>
        <w:t>Event of Default</w:t>
      </w:r>
      <w:r>
        <w:rPr>
          <w:rFonts w:ascii="Times New Roman" w:hAnsi="Times New Roman"/>
          <w:sz w:val="20"/>
        </w:rPr>
        <w:t xml:space="preserve">” has the meaning specified in </w:t>
      </w:r>
      <w:r>
        <w:rPr>
          <w:rFonts w:ascii="Times New Roman" w:hAnsi="Times New Roman"/>
          <w:sz w:val="20"/>
          <w:u w:val="single"/>
        </w:rPr>
        <w:t>Section 8.01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Excluded Taxes</w:t>
      </w:r>
      <w:r>
        <w:rPr>
          <w:rFonts w:ascii="Times New Roman" w:hAnsi="Times New Roman"/>
          <w:sz w:val="20"/>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 w:hAnsi="Times New Roman"/>
          <w:sz w:val="20"/>
          <w:u w:val="single"/>
        </w:rPr>
        <w:t>Section 10.13</w:t>
      </w:r>
      <w:r>
        <w:rPr>
          <w:rFonts w:ascii="Times New Roman" w:hAnsi="Times New Roman"/>
          <w:sz w:val="20"/>
        </w:rPr>
        <w:t xml:space="preserve">) or (ii) such Lender changes its Lending Office, except in each case to the extent that pursuant to </w:t>
      </w:r>
      <w:r>
        <w:rPr>
          <w:rFonts w:ascii="Times New Roman" w:hAnsi="Times New Roman"/>
          <w:sz w:val="20"/>
          <w:u w:val="single"/>
        </w:rPr>
        <w:t>Section 3.01</w:t>
      </w:r>
      <w:r>
        <w:rPr>
          <w:rFonts w:ascii="Times New Roman" w:hAnsi="Times New Roman"/>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sz w:val="20"/>
          <w:u w:val="single"/>
        </w:rPr>
        <w:t>Section 3.01(e)</w:t>
      </w:r>
      <w:r>
        <w:rPr>
          <w:rFonts w:ascii="Times New Roman" w:hAnsi="Times New Roman"/>
          <w:sz w:val="20"/>
        </w:rPr>
        <w:t xml:space="preserve">, (d) any U.S. federal withholding Taxes imposed under FATCA, and (e) any withholding Tax imposed by Ireland where such Tax would not be imposed if on the date on which the payment falls due (i) Lender is not, or has ceased to be, a Qualifying Lender other than as a result of a change after the date it became a Lender under this Agreement in (or in the interpretation, administration, or application of) any law, or any Irish double tax agreement or (ii) the Lender is a Treaty Lender and a Borrower is able to demonstrate that the payment could have been made to the Lender without such withholding or deduction, had that Lender complied with its obligations under </w:t>
      </w:r>
      <w:r>
        <w:rPr>
          <w:rFonts w:ascii="Times New Roman" w:hAnsi="Times New Roman"/>
          <w:sz w:val="20"/>
          <w:u w:val="single"/>
        </w:rPr>
        <w:t>Section 3.01(e)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Existing Maturity Date</w:t>
      </w:r>
      <w:r>
        <w:rPr>
          <w:rFonts w:ascii="Times New Roman" w:hAnsi="Times New Roman"/>
          <w:sz w:val="20"/>
        </w:rPr>
        <w:t xml:space="preserve">” has the meaning specified in </w:t>
      </w:r>
      <w:r>
        <w:rPr>
          <w:rFonts w:ascii="Times New Roman" w:hAnsi="Times New Roman"/>
          <w:sz w:val="20"/>
          <w:u w:val="single"/>
        </w:rPr>
        <w:t>Section 2.14(a)</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12</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u w:val="single"/>
        </w:rPr>
        <w:t>Extending Lender</w:t>
      </w:r>
      <w:r>
        <w:rPr>
          <w:rFonts w:ascii="Times New Roman" w:hAnsi="Times New Roman"/>
          <w:sz w:val="20"/>
        </w:rPr>
        <w:t xml:space="preserve">” has the meaning specified in </w:t>
      </w:r>
      <w:r>
        <w:rPr>
          <w:rFonts w:ascii="Times New Roman" w:hAnsi="Times New Roman"/>
          <w:sz w:val="20"/>
          <w:u w:val="single"/>
        </w:rPr>
        <w:t>Section 2.14(e)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Extended Maturity Date</w:t>
      </w:r>
      <w:r>
        <w:rPr>
          <w:rFonts w:ascii="Times New Roman" w:hAnsi="Times New Roman"/>
          <w:sz w:val="20"/>
        </w:rPr>
        <w:t xml:space="preserve">” has the meaning specified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Facility Fee</w:t>
      </w:r>
      <w:r>
        <w:rPr>
          <w:rFonts w:ascii="Times New Roman" w:hAnsi="Times New Roman"/>
          <w:sz w:val="20"/>
        </w:rPr>
        <w:t xml:space="preserve">” has the meaning specified in </w:t>
      </w:r>
      <w:r>
        <w:rPr>
          <w:rFonts w:ascii="Times New Roman" w:hAnsi="Times New Roman"/>
          <w:sz w:val="20"/>
          <w:u w:val="single"/>
        </w:rPr>
        <w:t>Section 2.09(a)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FATCA</w:t>
      </w:r>
      <w:r>
        <w:rPr>
          <w:rFonts w:ascii="Times New Roman" w:hAnsi="Times New Roman"/>
          <w:sz w:val="20"/>
        </w:rPr>
        <w:t xml:space="preserve">” means Sections 1471 through 1474 of the Code, as of the Closing Date (or any amended or successor version that is substantively comparable and not materially more onerous to comply with), any current or future regulations or official interpretations thereof and any agreements entered into pursuant to Section 1471 (b) (1) of the Code. </w:t>
      </w:r>
    </w:p>
    <w:p>
      <w:pPr>
        <w:pStyle w:val="TextBody"/>
        <w:bidi w:val="0"/>
        <w:spacing w:before="240" w:after="0"/>
        <w:jc w:val="left"/>
        <w:rPr/>
      </w:pPr>
      <w:r>
        <w:rPr/>
        <w:t>“</w:t>
      </w:r>
      <w:r>
        <w:rPr>
          <w:rFonts w:ascii="Times New Roman" w:hAnsi="Times New Roman"/>
          <w:b/>
          <w:sz w:val="20"/>
          <w:u w:val="single"/>
        </w:rPr>
        <w:t>Federal Funds Rate</w:t>
      </w:r>
      <w:r>
        <w:rPr>
          <w:rFonts w:ascii="Times New Roman" w:hAnsi="Times New Roman"/>
          <w:sz w:val="20"/>
        </w:rPr>
        <w:t xml:space="preserve">” means, for any day, the rate per annum equal to the weighted average of the rates on overnight federal funds transactions with members of the Federal Reserve System on such day, as published by the Federal Reserve Bank of New York on the Business Day next succeeding such day; </w:t>
      </w:r>
      <w:r>
        <w:rPr>
          <w:rFonts w:ascii="Times New Roman" w:hAnsi="Times New Roman"/>
          <w:sz w:val="20"/>
          <w:u w:val="single"/>
        </w:rPr>
        <w:t>provided</w:t>
      </w:r>
      <w:r>
        <w:rPr>
          <w:rFonts w:ascii="Times New Roman" w:hAnsi="Times New Roman"/>
          <w:sz w:val="20"/>
        </w:rPr>
        <w:t xml:space="preserve"> that (a) if such day is not a Business Day, the Federal Funds Rate for such day shall be such rate on such transactions on the next preceding Business Day as so published on the next succeeding Business Day,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and (c) if such rate shall be less than zero, such rate shall be deemed to be zero for all purposes of this Agreement. </w:t>
      </w:r>
    </w:p>
    <w:p>
      <w:pPr>
        <w:pStyle w:val="TextBody"/>
        <w:bidi w:val="0"/>
        <w:spacing w:before="240" w:after="0"/>
        <w:jc w:val="left"/>
        <w:rPr/>
      </w:pPr>
      <w:r>
        <w:rPr/>
        <w:t>“</w:t>
      </w:r>
      <w:r>
        <w:rPr>
          <w:rFonts w:ascii="Times New Roman" w:hAnsi="Times New Roman"/>
          <w:b/>
          <w:sz w:val="20"/>
          <w:u w:val="single"/>
        </w:rPr>
        <w:t>Fitch</w:t>
      </w:r>
      <w:r>
        <w:rPr>
          <w:rFonts w:ascii="Times New Roman" w:hAnsi="Times New Roman"/>
          <w:sz w:val="20"/>
        </w:rPr>
        <w:t xml:space="preserve">” means Fitch Rating, Inc. and any successor thereto. </w:t>
      </w:r>
    </w:p>
    <w:p>
      <w:pPr>
        <w:pStyle w:val="TextBody"/>
        <w:bidi w:val="0"/>
        <w:spacing w:before="240" w:after="0"/>
        <w:jc w:val="left"/>
        <w:rPr/>
      </w:pPr>
      <w:r>
        <w:rPr/>
        <w:t>“</w:t>
      </w:r>
      <w:r>
        <w:rPr>
          <w:rFonts w:ascii="Times New Roman" w:hAnsi="Times New Roman"/>
          <w:b/>
          <w:sz w:val="20"/>
          <w:u w:val="single"/>
        </w:rPr>
        <w:t>Foreign Borrower</w:t>
      </w:r>
      <w:r>
        <w:rPr>
          <w:rFonts w:ascii="Times New Roman" w:hAnsi="Times New Roman"/>
          <w:sz w:val="20"/>
        </w:rPr>
        <w:t xml:space="preserve">” means any Borrower that is organized under the laws of a jurisdiction other than the Unites States, a state thereof or the District of Columbia. </w:t>
      </w:r>
    </w:p>
    <w:p>
      <w:pPr>
        <w:pStyle w:val="TextBody"/>
        <w:bidi w:val="0"/>
        <w:spacing w:before="240" w:after="0"/>
        <w:jc w:val="left"/>
        <w:rPr/>
      </w:pPr>
      <w:r>
        <w:rPr/>
        <w:t>“</w:t>
      </w:r>
      <w:r>
        <w:rPr>
          <w:rFonts w:ascii="Times New Roman" w:hAnsi="Times New Roman"/>
          <w:b/>
          <w:sz w:val="20"/>
          <w:u w:val="single"/>
        </w:rPr>
        <w:t>Foreign Lender</w:t>
      </w:r>
      <w:r>
        <w:rPr>
          <w:rFonts w:ascii="Times New Roman" w:hAnsi="Times New Roman"/>
          <w:sz w:val="20"/>
        </w:rPr>
        <w:t xml:space="preserve">”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 </w:t>
      </w:r>
    </w:p>
    <w:p>
      <w:pPr>
        <w:pStyle w:val="TextBody"/>
        <w:bidi w:val="0"/>
        <w:spacing w:before="240" w:after="0"/>
        <w:jc w:val="left"/>
        <w:rPr/>
      </w:pPr>
      <w:r>
        <w:rPr/>
        <w:t>“</w:t>
      </w:r>
      <w:r>
        <w:rPr>
          <w:rFonts w:ascii="Times New Roman" w:hAnsi="Times New Roman"/>
          <w:b/>
          <w:sz w:val="20"/>
          <w:u w:val="single"/>
        </w:rPr>
        <w:t>Foreign Subsidiary</w:t>
      </w:r>
      <w:r>
        <w:rPr>
          <w:rFonts w:ascii="Times New Roman" w:hAnsi="Times New Roman"/>
          <w:sz w:val="20"/>
        </w:rPr>
        <w:t xml:space="preserve">” means any Subsidiary that is organized under the laws of a jurisdiction other than the United States, a state thereof or the District of Columbia. </w:t>
      </w:r>
    </w:p>
    <w:p>
      <w:pPr>
        <w:pStyle w:val="TextBody"/>
        <w:bidi w:val="0"/>
        <w:spacing w:before="240" w:after="0"/>
        <w:jc w:val="left"/>
        <w:rPr/>
      </w:pPr>
      <w:r>
        <w:rPr/>
        <w:t>“</w:t>
      </w:r>
      <w:r>
        <w:rPr>
          <w:rFonts w:ascii="Times New Roman" w:hAnsi="Times New Roman"/>
          <w:b/>
          <w:sz w:val="20"/>
          <w:u w:val="single"/>
        </w:rPr>
        <w:t>FRB</w:t>
      </w:r>
      <w:r>
        <w:rPr>
          <w:rFonts w:ascii="Times New Roman" w:hAnsi="Times New Roman"/>
          <w:sz w:val="20"/>
        </w:rPr>
        <w:t xml:space="preserve">” means the Board of Governors of the Federal Reserve System of the United States. </w:t>
      </w:r>
    </w:p>
    <w:p>
      <w:pPr>
        <w:pStyle w:val="TextBody"/>
        <w:bidi w:val="0"/>
        <w:spacing w:before="240" w:after="0"/>
        <w:jc w:val="left"/>
        <w:rPr/>
      </w:pPr>
      <w:r>
        <w:rPr/>
        <w:t>“</w:t>
      </w:r>
      <w:r>
        <w:rPr>
          <w:rFonts w:ascii="Times New Roman" w:hAnsi="Times New Roman"/>
          <w:b/>
          <w:sz w:val="20"/>
          <w:u w:val="single"/>
        </w:rPr>
        <w:t>Fund</w:t>
      </w:r>
      <w:r>
        <w:rPr>
          <w:rFonts w:ascii="Times New Roman" w:hAnsi="Times New Roman"/>
          <w:sz w:val="20"/>
        </w:rPr>
        <w:t xml:space="preserve">” means any Person (other than a natural Person) that is (or will be) engaged in making, purchasing, holding or otherwise investing in commercial loans and similar extensions of credit in the ordinary course of its activities. </w:t>
      </w:r>
    </w:p>
    <w:p>
      <w:pPr>
        <w:pStyle w:val="TextBody"/>
        <w:bidi w:val="0"/>
        <w:spacing w:before="240" w:after="0"/>
        <w:jc w:val="left"/>
        <w:rPr/>
      </w:pPr>
      <w:r>
        <w:rPr/>
        <w:t>“</w:t>
      </w:r>
      <w:r>
        <w:rPr>
          <w:rFonts w:ascii="Times New Roman" w:hAnsi="Times New Roman"/>
          <w:b/>
          <w:sz w:val="20"/>
          <w:u w:val="single"/>
        </w:rPr>
        <w:t>GAAP</w:t>
      </w:r>
      <w:r>
        <w:rPr>
          <w:rFonts w:ascii="Times New Roman" w:hAnsi="Times New Roman"/>
          <w:sz w:val="20"/>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except as otherwise provided in </w:t>
      </w:r>
      <w:r>
        <w:rPr>
          <w:rFonts w:ascii="Times New Roman" w:hAnsi="Times New Roman"/>
          <w:sz w:val="20"/>
          <w:u w:val="single"/>
        </w:rPr>
        <w:t>Section 1.03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Governmental Authority</w:t>
      </w:r>
      <w:r>
        <w:rPr>
          <w:rFonts w:ascii="Times New Roman" w:hAnsi="Times New Roman"/>
          <w:sz w:val="20"/>
        </w:rPr>
        <w:t xml:space="preserve">” means the government of the United States or any other nation, or of any political subdivision thereof, whether state or local, and any agency, authority, instrumentality,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13</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regulatory body, court, central bank or other entity exercising executive, legislative, judicial, taxing, regulatory or administrative powers or functions of or pertaining to government (including any supra- national bodies such as the European Union or the European Central Bank). </w:t>
      </w:r>
    </w:p>
    <w:p>
      <w:pPr>
        <w:pStyle w:val="TextBody"/>
        <w:bidi w:val="0"/>
        <w:spacing w:before="240" w:after="0"/>
        <w:jc w:val="left"/>
        <w:rPr/>
      </w:pPr>
      <w:r>
        <w:rPr/>
        <w:t>“</w:t>
      </w:r>
      <w:r>
        <w:rPr>
          <w:rFonts w:ascii="Times New Roman" w:hAnsi="Times New Roman"/>
          <w:b/>
          <w:sz w:val="20"/>
          <w:u w:val="single"/>
        </w:rPr>
        <w:t>Guarantee</w:t>
      </w:r>
      <w:r>
        <w:rPr>
          <w:rFonts w:ascii="Times New Roman" w:hAnsi="Times New Roman"/>
          <w:sz w:val="20"/>
        </w:rPr>
        <w:t>” means, as to any Person, (a) any obligation, contingent or otherwise, of such Person guaranteeing any Indebtedness or other monetary obligation payable by another Person (the “primary obligor”)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hAnsi="Times New Roman"/>
          <w:sz w:val="20"/>
          <w:u w:val="single"/>
        </w:rPr>
        <w:t>Guarantee</w:t>
      </w:r>
      <w:r>
        <w:rPr>
          <w:rFonts w:ascii="Times New Roman" w:hAnsi="Times New Roman"/>
          <w:sz w:val="20"/>
        </w:rPr>
        <w:t xml:space="preserve">” as a verb has a corresponding meaning. </w:t>
      </w:r>
    </w:p>
    <w:p>
      <w:pPr>
        <w:pStyle w:val="TextBody"/>
        <w:bidi w:val="0"/>
        <w:spacing w:before="240" w:after="0"/>
        <w:jc w:val="left"/>
        <w:rPr/>
      </w:pPr>
      <w:r>
        <w:rPr/>
        <w:t>“</w:t>
      </w:r>
      <w:r>
        <w:rPr>
          <w:rFonts w:ascii="Times New Roman" w:hAnsi="Times New Roman"/>
          <w:b/>
          <w:sz w:val="20"/>
          <w:u w:val="single"/>
        </w:rPr>
        <w:t>Hazardous Materials</w:t>
      </w:r>
      <w:r>
        <w:rPr>
          <w:rFonts w:ascii="Times New Roman" w:hAnsi="Times New Roman"/>
          <w:sz w:val="20"/>
        </w:rPr>
        <w:t xml:space="preserve">”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 </w:t>
      </w:r>
    </w:p>
    <w:p>
      <w:pPr>
        <w:pStyle w:val="TextBody"/>
        <w:bidi w:val="0"/>
        <w:spacing w:before="240" w:after="0"/>
        <w:jc w:val="left"/>
        <w:rPr/>
      </w:pPr>
      <w:r>
        <w:rPr/>
        <w:t>“</w:t>
      </w:r>
      <w:r>
        <w:rPr>
          <w:rFonts w:ascii="Times New Roman" w:hAnsi="Times New Roman"/>
          <w:b/>
          <w:sz w:val="20"/>
          <w:u w:val="single"/>
        </w:rPr>
        <w:t>Indebtedness</w:t>
      </w:r>
      <w:r>
        <w:rPr>
          <w:rFonts w:ascii="Times New Roman" w:hAnsi="Times New Roman"/>
          <w:sz w:val="20"/>
        </w:rPr>
        <w:t xml:space="preserve">” means, as to any Person at a particular time, without duplication, all of the following, whether or not included as indebtedness or liabilities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(a) all obligations of such Person for borrowed money and all obligations of such Person evidenced by bonds, debentures, notes, loan agreements or other similar instruments; </w:t>
      </w:r>
    </w:p>
    <w:p>
      <w:pPr>
        <w:pStyle w:val="TextBody"/>
        <w:bidi w:val="0"/>
        <w:spacing w:before="120" w:after="0"/>
        <w:jc w:val="left"/>
        <w:rPr>
          <w:rFonts w:ascii="Times New Roman" w:hAnsi="Times New Roman"/>
          <w:sz w:val="20"/>
        </w:rPr>
      </w:pPr>
      <w:r>
        <w:rPr>
          <w:rFonts w:ascii="Times New Roman" w:hAnsi="Times New Roman"/>
          <w:sz w:val="20"/>
        </w:rPr>
        <w:t xml:space="preserve">(b) all direct or contingent obligations of such Person arising in respect of letters of credit (including standby and commercial), bankers’ acceptances, bank guaranties, surety bonds and similar instruments; </w:t>
      </w:r>
    </w:p>
    <w:p>
      <w:pPr>
        <w:pStyle w:val="TextBody"/>
        <w:bidi w:val="0"/>
        <w:spacing w:before="120" w:after="0"/>
        <w:jc w:val="left"/>
        <w:rPr>
          <w:rFonts w:ascii="Times New Roman" w:hAnsi="Times New Roman"/>
          <w:sz w:val="20"/>
        </w:rPr>
      </w:pPr>
      <w:r>
        <w:rPr>
          <w:rFonts w:ascii="Times New Roman" w:hAnsi="Times New Roman"/>
          <w:sz w:val="20"/>
        </w:rPr>
        <w:t xml:space="preserve">(c) net obligations of such Person under any Swap Contract; </w:t>
      </w:r>
    </w:p>
    <w:p>
      <w:pPr>
        <w:pStyle w:val="TextBody"/>
        <w:bidi w:val="0"/>
        <w:spacing w:before="120" w:after="0"/>
        <w:jc w:val="left"/>
        <w:rPr>
          <w:rFonts w:ascii="Times New Roman" w:hAnsi="Times New Roman"/>
          <w:sz w:val="20"/>
        </w:rPr>
      </w:pPr>
      <w:r>
        <w:rPr>
          <w:rFonts w:ascii="Times New Roman" w:hAnsi="Times New Roman"/>
          <w:sz w:val="20"/>
        </w:rPr>
        <w:t xml:space="preserve">(d) all obligations of such Person to pay the deferred purchase price of property or services (other than (i) trade accounts payable in the ordinary course of business and (ii) earnouts or other earned deferred payment obligations measured in whole or in part by events or performance occurring after the purchase, to the extent such obligations are contingent); </w:t>
      </w:r>
    </w:p>
    <w:p>
      <w:pPr>
        <w:pStyle w:val="TextBody"/>
        <w:bidi w:val="0"/>
        <w:spacing w:before="120" w:after="0"/>
        <w:jc w:val="left"/>
        <w:rPr>
          <w:rFonts w:ascii="Times New Roman" w:hAnsi="Times New Roman"/>
          <w:sz w:val="20"/>
        </w:rPr>
      </w:pPr>
      <w:r>
        <w:rPr>
          <w:rFonts w:ascii="Times New Roman" w:hAnsi="Times New Roman"/>
          <w:sz w:val="20"/>
        </w:rPr>
        <w:t xml:space="preserve">(e)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14</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 capital leases and Synthetic Lease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(g) 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plus accrued and unpaid dividends; and </w:t>
      </w:r>
    </w:p>
    <w:p>
      <w:pPr>
        <w:pStyle w:val="TextBody"/>
        <w:bidi w:val="0"/>
        <w:spacing w:before="120" w:after="0"/>
        <w:jc w:val="left"/>
        <w:rPr>
          <w:rFonts w:ascii="Times New Roman" w:hAnsi="Times New Roman"/>
          <w:sz w:val="20"/>
        </w:rPr>
      </w:pPr>
      <w:r>
        <w:rPr>
          <w:rFonts w:ascii="Times New Roman" w:hAnsi="Times New Roman"/>
          <w:sz w:val="20"/>
        </w:rPr>
        <w:t xml:space="preserve">(h) all Guarantees of such Person in respect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hereof, the Indebtedness of any Person shall include the Indebtedness of any partnership or joint venture (other than a joint venture that is itself a corporation or limited liability company or similar limited liability entity organized under the laws of a jurisdiction other than the United States or a state thereof)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 </w:t>
      </w:r>
    </w:p>
    <w:p>
      <w:pPr>
        <w:pStyle w:val="TextBody"/>
        <w:bidi w:val="0"/>
        <w:spacing w:before="240" w:after="0"/>
        <w:jc w:val="left"/>
        <w:rPr/>
      </w:pPr>
      <w:r>
        <w:rPr/>
        <w:t>“</w:t>
      </w:r>
      <w:r>
        <w:rPr>
          <w:rFonts w:ascii="Times New Roman" w:hAnsi="Times New Roman"/>
          <w:b/>
          <w:sz w:val="20"/>
          <w:u w:val="single"/>
        </w:rPr>
        <w:t>Indemnified Taxes</w:t>
      </w:r>
      <w:r>
        <w:rPr>
          <w:rFonts w:ascii="Times New Roman" w:hAnsi="Times New Roman"/>
          <w:sz w:val="20"/>
        </w:rPr>
        <w:t xml:space="preserve">” means (a) Taxes, other than Excluded Taxes, imposed on or with respect to any payment made by or on account of any obligation of any Loan Party under any Loan Document and (b) to the extent not otherwise described in (a), Other Taxes. </w:t>
      </w:r>
    </w:p>
    <w:p>
      <w:pPr>
        <w:pStyle w:val="TextBody"/>
        <w:bidi w:val="0"/>
        <w:spacing w:before="240" w:after="0"/>
        <w:jc w:val="left"/>
        <w:rPr/>
      </w:pPr>
      <w:r>
        <w:rPr/>
        <w:t>“</w:t>
      </w:r>
      <w:r>
        <w:rPr>
          <w:rFonts w:ascii="Times New Roman" w:hAnsi="Times New Roman"/>
          <w:b/>
          <w:sz w:val="20"/>
          <w:u w:val="single"/>
        </w:rPr>
        <w:t>Indemnitee</w:t>
      </w:r>
      <w:r>
        <w:rPr>
          <w:rFonts w:ascii="Times New Roman" w:hAnsi="Times New Roman"/>
          <w:sz w:val="20"/>
        </w:rPr>
        <w:t xml:space="preserve">” has the meaning specified in </w:t>
      </w:r>
      <w:r>
        <w:rPr>
          <w:rFonts w:ascii="Times New Roman" w:hAnsi="Times New Roman"/>
          <w:sz w:val="20"/>
          <w:u w:val="single"/>
        </w:rPr>
        <w:t>Section 10.04(b)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Information</w:t>
      </w:r>
      <w:r>
        <w:rPr>
          <w:rFonts w:ascii="Times New Roman" w:hAnsi="Times New Roman"/>
          <w:sz w:val="20"/>
        </w:rPr>
        <w:t xml:space="preserve">” has the meaning specified in </w:t>
      </w:r>
      <w:r>
        <w:rPr>
          <w:rFonts w:ascii="Times New Roman" w:hAnsi="Times New Roman"/>
          <w:sz w:val="20"/>
          <w:u w:val="single"/>
        </w:rPr>
        <w:t>Section 10.07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Interest Payment Date</w:t>
      </w:r>
      <w:r>
        <w:rPr>
          <w:rFonts w:ascii="Times New Roman" w:hAnsi="Times New Roman"/>
          <w:sz w:val="20"/>
        </w:rPr>
        <w:t xml:space="preserve">” means, (a) as to any Loan other than a Base Rate Loan and any Alternative Currency Daily Rate Loan, the last day of each Interest Period applicable to such Loan and the Maturity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 xml:space="preserve">however, </w:t>
      </w:r>
      <w:r>
        <w:rPr>
          <w:rFonts w:ascii="Times New Roman" w:hAnsi="Times New Roman"/>
          <w:sz w:val="20"/>
        </w:rPr>
        <w:t xml:space="preserve">that if any Interest Period for a Term SOFR Loan exceeds three months, the respective dates that fall every three months after the beginning of such Interest Period shall also be Interest Payment Dates; (b) as to any Base Rate Loan, the last Business Day of each March, June, September and December and the Maturity Date; (c) as to any Alternative Currency Daily Rate Loan, the last Business Day of each month and the Maturity Date; and (d) as to any Alternative Currency Term Rate Loan, the last day of each Interest Period applicable to such Loan;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Interest Period for an Alternative Currency Term Rate Loan exceeds three months, the respective dates that fall every three months after the beginning of such Interest Period shall be Interest Payment Dates. </w:t>
      </w:r>
    </w:p>
    <w:p>
      <w:pPr>
        <w:pStyle w:val="TextBody"/>
        <w:bidi w:val="0"/>
        <w:spacing w:before="240" w:after="0"/>
        <w:jc w:val="left"/>
        <w:rPr/>
      </w:pPr>
      <w:r>
        <w:rPr/>
        <w:t>“</w:t>
      </w:r>
      <w:r>
        <w:rPr>
          <w:rFonts w:ascii="Times New Roman" w:hAnsi="Times New Roman"/>
          <w:b/>
          <w:sz w:val="20"/>
          <w:u w:val="single"/>
        </w:rPr>
        <w:t>Interest Period</w:t>
      </w:r>
      <w:r>
        <w:rPr>
          <w:rFonts w:ascii="Times New Roman" w:hAnsi="Times New Roman"/>
          <w:sz w:val="20"/>
        </w:rPr>
        <w:t xml:space="preserve">” means, as to each Term SOFR Loan and Alternative Currency Term Rate Loan, the period commencing on the date such Term SOFR Loan or Alternative Currency Term Rate Loan is disbursed or converted to or continued as a Term SOFR Loan or an Alternative Currency Term Rate Loan and ending on the date one, three or six months thereafter (in each case, subject to availability for the interest rate applicable to the relevant currency), as selected by the applicable Borrower in its Committed Loan Notice or such other period that is twelve months or less requested by the applicable Borrower and consented to by all the Lenders;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any Interest Period that would otherwise end on a day that is not a Business Day shall be extended to the next succeeding Business Day unless such Business Day falls in another calendar month, in which case such Interest Period shall end on the next preceding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15</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no Interest Period shall extend beyond the Maturity Date. </w:t>
      </w:r>
    </w:p>
    <w:p>
      <w:pPr>
        <w:pStyle w:val="TextBody"/>
        <w:bidi w:val="0"/>
        <w:spacing w:before="240" w:after="0"/>
        <w:jc w:val="left"/>
        <w:rPr/>
      </w:pPr>
      <w:r>
        <w:rPr/>
        <w:t>“</w:t>
      </w:r>
      <w:r>
        <w:rPr>
          <w:rFonts w:ascii="Times New Roman" w:hAnsi="Times New Roman"/>
          <w:b/>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b/>
          <w:sz w:val="20"/>
          <w:u w:val="single"/>
        </w:rPr>
        <w:t>Judgment Currency</w:t>
      </w:r>
      <w:r>
        <w:rPr>
          <w:rFonts w:ascii="Times New Roman" w:hAnsi="Times New Roman"/>
          <w:sz w:val="20"/>
        </w:rPr>
        <w:t xml:space="preserve">” has the meaning specified in </w:t>
      </w:r>
      <w:r>
        <w:rPr>
          <w:rFonts w:ascii="Times New Roman" w:hAnsi="Times New Roman"/>
          <w:sz w:val="20"/>
          <w:u w:val="single"/>
        </w:rPr>
        <w:t>Section 10.18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Laws</w:t>
      </w:r>
      <w:r>
        <w:rPr>
          <w:rFonts w:ascii="Times New Roman" w:hAnsi="Times New Roman"/>
          <w:sz w:val="20"/>
        </w:rPr>
        <w:t xml:space="preserve">”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(other than agreements consisting of contracts with Governmental Authorities entered into by a Person in the ordinary course of business), in each case whether or not having the force of law. </w:t>
      </w:r>
    </w:p>
    <w:p>
      <w:pPr>
        <w:pStyle w:val="TextBody"/>
        <w:bidi w:val="0"/>
        <w:spacing w:before="240" w:after="0"/>
        <w:jc w:val="left"/>
        <w:rPr/>
      </w:pPr>
      <w:r>
        <w:rPr/>
        <w:t>“</w:t>
      </w:r>
      <w:r>
        <w:rPr>
          <w:rFonts w:ascii="Times New Roman" w:hAnsi="Times New Roman"/>
          <w:b/>
          <w:sz w:val="20"/>
          <w:u w:val="single"/>
        </w:rPr>
        <w:t>Lender</w:t>
      </w:r>
      <w:r>
        <w:rPr>
          <w:rFonts w:ascii="Times New Roman" w:hAnsi="Times New Roman"/>
          <w:sz w:val="20"/>
        </w:rPr>
        <w:t xml:space="preserve">” means each of the Persons identified as a “Lender” on </w:t>
      </w:r>
      <w:r>
        <w:rPr>
          <w:rFonts w:ascii="Times New Roman" w:hAnsi="Times New Roman"/>
          <w:sz w:val="20"/>
          <w:u w:val="single"/>
        </w:rPr>
        <w:t>Schedule 2.01</w:t>
      </w:r>
      <w:r>
        <w:rPr>
          <w:rFonts w:ascii="Times New Roman" w:hAnsi="Times New Roman"/>
          <w:sz w:val="20"/>
        </w:rPr>
        <w:t xml:space="preserve"> and their successors and assigns. </w:t>
      </w:r>
    </w:p>
    <w:p>
      <w:pPr>
        <w:pStyle w:val="TextBody"/>
        <w:bidi w:val="0"/>
        <w:spacing w:before="240" w:after="0"/>
        <w:jc w:val="left"/>
        <w:rPr/>
      </w:pPr>
      <w:r>
        <w:rPr/>
        <w:t>“</w:t>
      </w:r>
      <w:r>
        <w:rPr>
          <w:rFonts w:ascii="Times New Roman" w:hAnsi="Times New Roman"/>
          <w:b/>
          <w:sz w:val="20"/>
          <w:u w:val="single"/>
        </w:rPr>
        <w:t>Lending Office</w:t>
      </w:r>
      <w:r>
        <w:rPr>
          <w:rFonts w:ascii="Times New Roman" w:hAnsi="Times New Roman"/>
          <w:sz w:val="20"/>
        </w:rPr>
        <w:t xml:space="preserve">” means, as to any Lender, the office or offices of such Lender described as such in such Lender’s Administrative Questionnaire, or such other office or offices as a Lender may from time to time notify the Company and the Administrative Agent. </w:t>
      </w:r>
    </w:p>
    <w:p>
      <w:pPr>
        <w:pStyle w:val="TextBody"/>
        <w:bidi w:val="0"/>
        <w:spacing w:before="240" w:after="0"/>
        <w:jc w:val="left"/>
        <w:rPr/>
      </w:pPr>
      <w:r>
        <w:rPr/>
        <w:t>“</w:t>
      </w:r>
      <w:r>
        <w:rPr>
          <w:rFonts w:ascii="Times New Roman" w:hAnsi="Times New Roman"/>
          <w:b/>
          <w:sz w:val="20"/>
          <w:u w:val="single"/>
        </w:rPr>
        <w:t>Lien</w:t>
      </w:r>
      <w:r>
        <w:rPr>
          <w:rFonts w:ascii="Times New Roman" w:hAnsi="Times New Roman"/>
          <w:sz w:val="20"/>
        </w:rPr>
        <w:t xml:space="preserve">” means any mortgage, pledge, hypothecation, assignment, deposit arrangement, encumbrance, lien (statutory or other), charge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w:t>
      </w:r>
    </w:p>
    <w:p>
      <w:pPr>
        <w:pStyle w:val="TextBody"/>
        <w:bidi w:val="0"/>
        <w:spacing w:before="240" w:after="0"/>
        <w:jc w:val="left"/>
        <w:rPr/>
      </w:pPr>
      <w:r>
        <w:rPr/>
        <w:t>“</w:t>
      </w:r>
      <w:r>
        <w:rPr>
          <w:rFonts w:ascii="Times New Roman" w:hAnsi="Times New Roman"/>
          <w:b/>
          <w:sz w:val="20"/>
          <w:u w:val="single"/>
        </w:rPr>
        <w:t>Loan</w:t>
      </w:r>
      <w:r>
        <w:rPr>
          <w:rFonts w:ascii="Times New Roman" w:hAnsi="Times New Roman"/>
          <w:sz w:val="20"/>
        </w:rPr>
        <w:t>” means an extension of credit by a Lender to a Borrower under Article</w:t>
      </w:r>
      <w:r>
        <w:rPr>
          <w:rFonts w:ascii="Times New Roman" w:hAnsi="Times New Roman"/>
          <w:sz w:val="20"/>
          <w:u w:val="single"/>
        </w:rPr>
        <w:t xml:space="preserve"> II</w:t>
      </w:r>
      <w:r>
        <w:rPr>
          <w:rFonts w:ascii="Times New Roman" w:hAnsi="Times New Roman"/>
          <w:sz w:val="20"/>
        </w:rPr>
        <w:t xml:space="preserve"> in the form of a Committed Loan. For the avoidance of doubt, the term “Loan” also includes any Term Loans as a result of the Company’s exercise of the Term-Out Election. </w:t>
      </w:r>
    </w:p>
    <w:p>
      <w:pPr>
        <w:pStyle w:val="TextBody"/>
        <w:bidi w:val="0"/>
        <w:spacing w:before="240" w:after="0"/>
        <w:jc w:val="left"/>
        <w:rPr/>
      </w:pPr>
      <w:r>
        <w:rPr/>
        <w:t>“</w:t>
      </w:r>
      <w:r>
        <w:rPr>
          <w:rFonts w:ascii="Times New Roman" w:hAnsi="Times New Roman"/>
          <w:b/>
          <w:sz w:val="20"/>
          <w:u w:val="single"/>
        </w:rPr>
        <w:t>Loan Documents</w:t>
      </w:r>
      <w:r>
        <w:rPr>
          <w:rFonts w:ascii="Times New Roman" w:hAnsi="Times New Roman"/>
          <w:sz w:val="20"/>
        </w:rPr>
        <w:t xml:space="preserve">” means this Agreement, the Company Guaranty, the Subsidiary Guaranty, each Note, each Designated Borrower Request and Assumption Agreement and the Agent Fee Letter. </w:t>
      </w:r>
    </w:p>
    <w:p>
      <w:pPr>
        <w:pStyle w:val="TextBody"/>
        <w:bidi w:val="0"/>
        <w:spacing w:before="240" w:after="0"/>
        <w:jc w:val="left"/>
        <w:rPr/>
      </w:pPr>
      <w:r>
        <w:rPr/>
        <w:t>“</w:t>
      </w:r>
      <w:r>
        <w:rPr>
          <w:rFonts w:ascii="Times New Roman" w:hAnsi="Times New Roman"/>
          <w:b/>
          <w:sz w:val="20"/>
          <w:u w:val="single"/>
        </w:rPr>
        <w:t>Loan Parties</w:t>
      </w:r>
      <w:r>
        <w:rPr>
          <w:rFonts w:ascii="Times New Roman" w:hAnsi="Times New Roman"/>
          <w:sz w:val="20"/>
        </w:rPr>
        <w:t xml:space="preserve">” means, collectively, the Company, each Designated Borrower and each Subsidiary Guarantor. </w:t>
      </w:r>
    </w:p>
    <w:p>
      <w:pPr>
        <w:pStyle w:val="TextBody"/>
        <w:bidi w:val="0"/>
        <w:spacing w:before="240" w:after="0"/>
        <w:jc w:val="left"/>
        <w:rPr/>
      </w:pPr>
      <w:r>
        <w:rPr/>
        <w:t>“</w:t>
      </w:r>
      <w:r>
        <w:rPr>
          <w:rFonts w:ascii="Times New Roman" w:hAnsi="Times New Roman"/>
          <w:b/>
          <w:sz w:val="20"/>
          <w:u w:val="single"/>
        </w:rPr>
        <w:t>Material Adverse Effect</w:t>
      </w:r>
      <w:r>
        <w:rPr>
          <w:rFonts w:ascii="Times New Roman" w:hAnsi="Times New Roman"/>
          <w:sz w:val="20"/>
        </w:rPr>
        <w:t xml:space="preserve">” means (a) a material adverse change in, or a material adverse effect upon, the operations, business, assets, properties, liabilities (actual or contingent) or financial condition of the Company and its Subsidiaries, taken as a whole; (b) a material impairment of the rights and remedies of the Administrative Agent or any Lender under this Agreement or the Loan Documents, taken as a whole, or the ability of any Borrower to perform its obligations under this Agreement or the Loan Documents, taken as a whole; or (c) a material adverse effect upon the legality, validity, binding effect or enforceability against any Loan Party of this Agreement or the Loan Documents, taken as a whole. </w:t>
      </w:r>
    </w:p>
    <w:p>
      <w:pPr>
        <w:pStyle w:val="TextBody"/>
        <w:bidi w:val="0"/>
        <w:spacing w:before="240" w:after="0"/>
        <w:jc w:val="left"/>
        <w:rPr/>
      </w:pPr>
      <w:r>
        <w:rPr/>
        <w:t>“</w:t>
      </w:r>
      <w:r>
        <w:rPr>
          <w:rFonts w:ascii="Times New Roman" w:hAnsi="Times New Roman"/>
          <w:b/>
          <w:sz w:val="20"/>
          <w:u w:val="single"/>
        </w:rPr>
        <w:t>Material Subsidiary</w:t>
      </w:r>
      <w:r>
        <w:rPr>
          <w:rFonts w:ascii="Times New Roman" w:hAnsi="Times New Roman"/>
          <w:sz w:val="20"/>
        </w:rPr>
        <w:t xml:space="preserve">” means each Subsidiary now existing or hereafter acquired or formed, and each successor thereto, together with its Subsidiaries on a consolidated basis, with respect to which any of the following criteria has been met: (a) the aggregate revenue generated by such Subsidiary and 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16</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Subsidiaries on a consolidated basis for the twelve month period ending as of the most recently completed fiscal quarter of the Company equals or exceeds 5% of the consolidated gross revenues of the Company and its Subsidiaries for such period, (b) the Consolidated EBITDA attributable to such Subsidiary and its Subsidiaries on a consolidated basis for the twelve month period ending as of the most recently completed fiscal quarter of the Company equals or exceeds 5% of Consolidated EBITDA for such period or (c) the aggregate book value of the assets of such Subsidiary and its Subsidiaries on a consolidated basis as of the last day of the most recently completed fiscal quarter of the Company equals or exceeds 5% of the book value of all of the assets of the Company and its Subsidiaries as of the last day of such period. </w:t>
      </w:r>
    </w:p>
    <w:p>
      <w:pPr>
        <w:pStyle w:val="TextBody"/>
        <w:bidi w:val="0"/>
        <w:spacing w:before="240" w:after="0"/>
        <w:jc w:val="left"/>
        <w:rPr/>
      </w:pPr>
      <w:r>
        <w:rPr/>
        <w:t>“</w:t>
      </w:r>
      <w:r>
        <w:rPr>
          <w:rFonts w:ascii="Times New Roman" w:hAnsi="Times New Roman"/>
          <w:b/>
          <w:sz w:val="20"/>
          <w:u w:val="single"/>
        </w:rPr>
        <w:t>Maturity Date</w:t>
      </w:r>
      <w:r>
        <w:rPr>
          <w:rFonts w:ascii="Times New Roman" w:hAnsi="Times New Roman"/>
          <w:sz w:val="20"/>
        </w:rPr>
        <w:t xml:space="preserve">” means the later of (a) July 1, 2027 and (b) if maturity is extended pursuant to </w:t>
      </w:r>
      <w:r>
        <w:rPr>
          <w:rFonts w:ascii="Times New Roman" w:hAnsi="Times New Roman"/>
          <w:sz w:val="20"/>
          <w:u w:val="single"/>
        </w:rPr>
        <w:t>Section 2.14</w:t>
      </w:r>
      <w:r>
        <w:rPr>
          <w:rFonts w:ascii="Times New Roman" w:hAnsi="Times New Roman"/>
          <w:sz w:val="20"/>
        </w:rPr>
        <w:t xml:space="preserve">, such extended maturity date as determined pursuant to such Section;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any Non-Extending Lender, its Maturity Date shall be the then applicable Existing Maturity Date; </w:t>
      </w:r>
      <w:r>
        <w:rPr>
          <w:rFonts w:ascii="Times New Roman" w:hAnsi="Times New Roman"/>
          <w:sz w:val="20"/>
          <w:u w:val="single"/>
        </w:rPr>
        <w:t>provided further</w:t>
      </w:r>
      <w:r>
        <w:rPr>
          <w:rFonts w:ascii="Times New Roman" w:hAnsi="Times New Roman"/>
          <w:sz w:val="20"/>
        </w:rPr>
        <w:t xml:space="preserve"> that, in each case, if such date is not a Business Day, the Maturity Date shall be the next preceding Business Day. </w:t>
      </w:r>
    </w:p>
    <w:p>
      <w:pPr>
        <w:pStyle w:val="TextBody"/>
        <w:bidi w:val="0"/>
        <w:spacing w:before="240" w:after="0"/>
        <w:jc w:val="left"/>
        <w:rPr/>
      </w:pPr>
      <w:r>
        <w:rPr/>
        <w:t>“</w:t>
      </w:r>
      <w:r>
        <w:rPr>
          <w:rFonts w:ascii="Times New Roman" w:hAnsi="Times New Roman"/>
          <w:b/>
          <w:sz w:val="20"/>
          <w:u w:val="single"/>
        </w:rPr>
        <w:t>Maximum Rate</w:t>
      </w:r>
      <w:r>
        <w:rPr>
          <w:rFonts w:ascii="Times New Roman" w:hAnsi="Times New Roman"/>
          <w:sz w:val="20"/>
        </w:rPr>
        <w:t xml:space="preserve">” has the meaning specified in </w:t>
      </w:r>
      <w:r>
        <w:rPr>
          <w:rFonts w:ascii="Times New Roman" w:hAnsi="Times New Roman"/>
          <w:sz w:val="20"/>
          <w:u w:val="single"/>
        </w:rPr>
        <w:t>Section 10.09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Moody’s</w:t>
      </w:r>
      <w:r>
        <w:rPr>
          <w:rFonts w:ascii="Times New Roman" w:hAnsi="Times New Roman"/>
          <w:sz w:val="20"/>
        </w:rPr>
        <w:t xml:space="preserve">” means Moody’s Investors Service, Inc. and any successor thereto. </w:t>
      </w:r>
    </w:p>
    <w:p>
      <w:pPr>
        <w:pStyle w:val="TextBody"/>
        <w:bidi w:val="0"/>
        <w:spacing w:before="240" w:after="0"/>
        <w:jc w:val="left"/>
        <w:rPr/>
      </w:pPr>
      <w:r>
        <w:rPr/>
        <w:t>“</w:t>
      </w:r>
      <w:r>
        <w:rPr>
          <w:rFonts w:ascii="Times New Roman" w:hAnsi="Times New Roman"/>
          <w:b/>
          <w:sz w:val="20"/>
          <w:u w:val="single"/>
        </w:rPr>
        <w:t>Multiemployer Plan</w:t>
      </w:r>
      <w:r>
        <w:rPr>
          <w:rFonts w:ascii="Times New Roman" w:hAnsi="Times New Roman"/>
          <w:sz w:val="20"/>
        </w:rPr>
        <w:t xml:space="preserve">” means any employee benefit plan described in Section 4001(a)(3) of ERISA, to which the Company or any ERISA Affiliate makes or is obligated to make contributions, or during the preceding five plan years, has made or been obligated to make contributions. </w:t>
      </w:r>
    </w:p>
    <w:p>
      <w:pPr>
        <w:pStyle w:val="TextBody"/>
        <w:bidi w:val="0"/>
        <w:spacing w:before="240" w:after="0"/>
        <w:jc w:val="left"/>
        <w:rPr/>
      </w:pPr>
      <w:r>
        <w:rPr/>
        <w:t>“</w:t>
      </w:r>
      <w:r>
        <w:rPr>
          <w:rFonts w:ascii="Times New Roman" w:hAnsi="Times New Roman"/>
          <w:b/>
          <w:sz w:val="20"/>
          <w:u w:val="single"/>
        </w:rPr>
        <w:t>Multiple Employer Plan</w:t>
      </w:r>
      <w:r>
        <w:rPr>
          <w:rFonts w:ascii="Times New Roman" w:hAnsi="Times New Roman"/>
          <w:sz w:val="20"/>
        </w:rPr>
        <w:t xml:space="preserve">” means a Pension Plan which has two or more contributing sponsors (including the Company or any ERISA Affiliate) at least two of whom are not under common control, as such a plan is described in Section 4064 of ERISA. </w:t>
      </w:r>
    </w:p>
    <w:p>
      <w:pPr>
        <w:pStyle w:val="TextBody"/>
        <w:bidi w:val="0"/>
        <w:spacing w:before="240" w:after="0"/>
        <w:jc w:val="left"/>
        <w:rPr/>
      </w:pPr>
      <w:r>
        <w:rPr/>
        <w:t>“</w:t>
      </w:r>
      <w:r>
        <w:rPr>
          <w:rFonts w:ascii="Times New Roman" w:hAnsi="Times New Roman"/>
          <w:b/>
          <w:sz w:val="20"/>
          <w:u w:val="single"/>
        </w:rPr>
        <w:t>Non-Consenting Lender</w:t>
      </w:r>
      <w:r>
        <w:rPr>
          <w:rFonts w:ascii="Times New Roman" w:hAnsi="Times New Roman"/>
          <w:sz w:val="20"/>
        </w:rPr>
        <w:t xml:space="preserve">” means any Lender that does not approve any consent, waiver or amendment that (a) requires the approval of all Lenders or all affected Lenders in accordance with the terms of </w:t>
      </w:r>
      <w:r>
        <w:rPr>
          <w:rFonts w:ascii="Times New Roman" w:hAnsi="Times New Roman"/>
          <w:sz w:val="20"/>
          <w:u w:val="single"/>
        </w:rPr>
        <w:t>Section 10.01</w:t>
      </w:r>
      <w:r>
        <w:rPr>
          <w:rFonts w:ascii="Times New Roman" w:hAnsi="Times New Roman"/>
          <w:sz w:val="20"/>
        </w:rPr>
        <w:t xml:space="preserve"> and (b) has been approved by the Required Lenders. </w:t>
      </w:r>
    </w:p>
    <w:p>
      <w:pPr>
        <w:pStyle w:val="TextBody"/>
        <w:bidi w:val="0"/>
        <w:spacing w:before="240" w:after="0"/>
        <w:jc w:val="left"/>
        <w:rPr/>
      </w:pPr>
      <w:r>
        <w:rPr/>
        <w:t>“</w:t>
      </w:r>
      <w:r>
        <w:rPr>
          <w:rFonts w:ascii="Times New Roman" w:hAnsi="Times New Roman"/>
          <w:b/>
          <w:sz w:val="20"/>
          <w:u w:val="single"/>
        </w:rPr>
        <w:t>Non-Defaulting Lender</w:t>
      </w:r>
      <w:r>
        <w:rPr>
          <w:rFonts w:ascii="Times New Roman" w:hAnsi="Times New Roman"/>
          <w:sz w:val="20"/>
        </w:rPr>
        <w:t xml:space="preserve">” means, at any time, each Lender that is not a Defaulting Lender at such time. </w:t>
      </w:r>
    </w:p>
    <w:p>
      <w:pPr>
        <w:pStyle w:val="TextBody"/>
        <w:bidi w:val="0"/>
        <w:spacing w:before="240" w:after="0"/>
        <w:jc w:val="left"/>
        <w:rPr/>
      </w:pPr>
      <w:r>
        <w:rPr/>
        <w:t>“</w:t>
      </w:r>
      <w:r>
        <w:rPr>
          <w:rFonts w:ascii="Times New Roman" w:hAnsi="Times New Roman"/>
          <w:b/>
          <w:sz w:val="20"/>
          <w:u w:val="single"/>
        </w:rPr>
        <w:t>Non-Extending Lender</w:t>
      </w:r>
      <w:r>
        <w:rPr>
          <w:rFonts w:ascii="Times New Roman" w:hAnsi="Times New Roman"/>
          <w:sz w:val="20"/>
        </w:rPr>
        <w:t xml:space="preserve">” has the meaning specified in </w:t>
      </w:r>
      <w:r>
        <w:rPr>
          <w:rFonts w:ascii="Times New Roman" w:hAnsi="Times New Roman"/>
          <w:sz w:val="20"/>
          <w:u w:val="single"/>
        </w:rPr>
        <w:t>Section 2.14(b)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Note</w:t>
      </w:r>
      <w:r>
        <w:rPr>
          <w:rFonts w:ascii="Times New Roman" w:hAnsi="Times New Roman"/>
          <w:sz w:val="20"/>
        </w:rPr>
        <w:t xml:space="preserve">” means a promissory note made by a Borrower in favor of a Lender evidencing Loans made by such Lender to such Borrower, substantially in the form of </w:t>
      </w:r>
      <w:r>
        <w:rPr>
          <w:rFonts w:ascii="Times New Roman" w:hAnsi="Times New Roman"/>
          <w:sz w:val="20"/>
          <w:u w:val="single"/>
        </w:rPr>
        <w:t>Exhibit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Notice Date</w:t>
      </w:r>
      <w:r>
        <w:rPr>
          <w:rFonts w:ascii="Times New Roman" w:hAnsi="Times New Roman"/>
          <w:sz w:val="20"/>
        </w:rPr>
        <w:t xml:space="preserve">” has the meaning specified in </w:t>
      </w:r>
      <w:r>
        <w:rPr>
          <w:rFonts w:ascii="Times New Roman" w:hAnsi="Times New Roman"/>
          <w:sz w:val="20"/>
          <w:u w:val="single"/>
        </w:rPr>
        <w:t>Section 2.14(b)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Obligations</w:t>
      </w:r>
      <w:r>
        <w:rPr>
          <w:rFonts w:ascii="Times New Roman" w:hAnsi="Times New Roman"/>
          <w:sz w:val="20"/>
        </w:rPr>
        <w:t xml:space="preserve">” means all advances to, and debts, liabilities, obligations, covenants and duties of, any Loan Party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p>
    <w:p>
      <w:pPr>
        <w:pStyle w:val="TextBody"/>
        <w:bidi w:val="0"/>
        <w:spacing w:before="240" w:after="0"/>
        <w:jc w:val="left"/>
        <w:rPr/>
      </w:pPr>
      <w:r>
        <w:rPr/>
        <w:t>“</w:t>
      </w:r>
      <w:r>
        <w:rPr>
          <w:rFonts w:ascii="Times New Roman" w:hAnsi="Times New Roman"/>
          <w:b/>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17</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u w:val="single"/>
        </w:rPr>
        <w:t>Organization Documents</w:t>
      </w:r>
      <w:r>
        <w:rPr>
          <w:rFonts w:ascii="Times New Roman" w:hAnsi="Times New Roman"/>
          <w:sz w:val="20"/>
        </w:rPr>
        <w:t xml:space="preserve">” means the certificate or articles of incorporation and the bylaws (or equivalent or comparable constitutive documents). </w:t>
      </w:r>
    </w:p>
    <w:p>
      <w:pPr>
        <w:pStyle w:val="TextBody"/>
        <w:bidi w:val="0"/>
        <w:spacing w:before="240" w:after="0"/>
        <w:jc w:val="left"/>
        <w:rPr/>
      </w:pPr>
      <w:r>
        <w:rPr/>
        <w:t>“</w:t>
      </w:r>
      <w:r>
        <w:rPr>
          <w:rFonts w:ascii="Times New Roman" w:hAnsi="Times New Roman"/>
          <w:b/>
          <w:sz w:val="20"/>
          <w:u w:val="single"/>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left"/>
        <w:rPr/>
      </w:pPr>
      <w:r>
        <w:rPr/>
        <w:t>“</w:t>
      </w:r>
      <w:r>
        <w:rPr>
          <w:rFonts w:ascii="Times New Roman" w:hAnsi="Times New Roman"/>
          <w:b/>
          <w:sz w:val="20"/>
          <w:u w:val="single"/>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sz w:val="20"/>
          <w:u w:val="single"/>
        </w:rPr>
        <w:t>Section 3.06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Outstanding Amount</w:t>
      </w:r>
      <w:r>
        <w:rPr>
          <w:rFonts w:ascii="Times New Roman" w:hAnsi="Times New Roman"/>
          <w:sz w:val="20"/>
        </w:rPr>
        <w:t xml:space="preserve">” means with respect to Committed Loans on any date, the Dollar Equivalent amount of the aggregate outstanding principal amount thereof after giving effect to any Committed Borrowings and prepayments or repayments of Committed Loans occurring on such date. </w:t>
      </w:r>
    </w:p>
    <w:p>
      <w:pPr>
        <w:pStyle w:val="TextBody"/>
        <w:bidi w:val="0"/>
        <w:spacing w:before="240" w:after="0"/>
        <w:jc w:val="left"/>
        <w:rPr/>
      </w:pPr>
      <w:r>
        <w:rPr/>
        <w:t>“</w:t>
      </w:r>
      <w:r>
        <w:rPr>
          <w:rFonts w:ascii="Times New Roman" w:hAnsi="Times New Roman"/>
          <w:b/>
          <w:sz w:val="20"/>
          <w:u w:val="single"/>
        </w:rPr>
        <w:t>Overnight Rate</w:t>
      </w:r>
      <w:r>
        <w:rPr>
          <w:rFonts w:ascii="Times New Roman" w:hAnsi="Times New Roman"/>
          <w:sz w:val="20"/>
        </w:rPr>
        <w:t xml:space="preserve">” means, for any day, (a) with respect to any amount denominated in Dollars, the greater of (i) the Federal Funds Rate and (ii) an overnight rate determined by the Administrative Agent in accordance with banking industry rules on interbank compensation, and (b) with respect to any amount denominated in an Alternative Currency, an overnight rate determined by the Administrative Agent in accordance with banking industry rules on interbank compensation. </w:t>
      </w:r>
    </w:p>
    <w:p>
      <w:pPr>
        <w:pStyle w:val="TextBody"/>
        <w:bidi w:val="0"/>
        <w:spacing w:before="240" w:after="0"/>
        <w:jc w:val="left"/>
        <w:rPr/>
      </w:pPr>
      <w:r>
        <w:rPr/>
        <w:t>“</w:t>
      </w:r>
      <w:r>
        <w:rPr>
          <w:rFonts w:ascii="Times New Roman" w:hAnsi="Times New Roman"/>
          <w:b/>
          <w:sz w:val="20"/>
          <w:u w:val="single"/>
        </w:rPr>
        <w:t>Participant</w:t>
      </w:r>
      <w:r>
        <w:rPr>
          <w:rFonts w:ascii="Times New Roman" w:hAnsi="Times New Roman"/>
          <w:sz w:val="20"/>
        </w:rPr>
        <w:t xml:space="preserve">” has the meaning specified in </w:t>
      </w:r>
      <w:r>
        <w:rPr>
          <w:rFonts w:ascii="Times New Roman" w:hAnsi="Times New Roman"/>
          <w:sz w:val="20"/>
          <w:u w:val="single"/>
        </w:rPr>
        <w:t>Section 10.06(d)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Participant Register</w:t>
      </w:r>
      <w:r>
        <w:rPr>
          <w:rFonts w:ascii="Times New Roman" w:hAnsi="Times New Roman"/>
          <w:sz w:val="20"/>
        </w:rPr>
        <w:t xml:space="preserve">” has the meaning specified in </w:t>
      </w:r>
      <w:r>
        <w:rPr>
          <w:rFonts w:ascii="Times New Roman" w:hAnsi="Times New Roman"/>
          <w:sz w:val="20"/>
          <w:u w:val="single"/>
        </w:rPr>
        <w:t>Section 10.06(d)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Participating Member State</w:t>
      </w:r>
      <w:r>
        <w:rPr>
          <w:rFonts w:ascii="Times New Roman" w:hAnsi="Times New Roman"/>
          <w:sz w:val="20"/>
        </w:rPr>
        <w:t xml:space="preserve">” means any member state of the European Union that adopts or has adopted the Euro as its lawful currency in accordance with legislation of the European Union relating to Economic and Monetary Union. </w:t>
      </w:r>
    </w:p>
    <w:p>
      <w:pPr>
        <w:pStyle w:val="TextBody"/>
        <w:bidi w:val="0"/>
        <w:spacing w:before="240" w:after="0"/>
        <w:jc w:val="left"/>
        <w:rPr/>
      </w:pPr>
      <w:r>
        <w:rPr/>
        <w:t>“</w:t>
      </w:r>
      <w:r>
        <w:rPr>
          <w:rFonts w:ascii="Times New Roman" w:hAnsi="Times New Roman"/>
          <w:b/>
          <w:sz w:val="20"/>
          <w:u w:val="single"/>
        </w:rPr>
        <w:t>PBGC</w:t>
      </w:r>
      <w:r>
        <w:rPr>
          <w:rFonts w:ascii="Times New Roman" w:hAnsi="Times New Roman"/>
          <w:sz w:val="20"/>
        </w:rPr>
        <w:t xml:space="preserve">” means the Pension Benefit Guaranty Corporation or any successor thereto. </w:t>
      </w:r>
    </w:p>
    <w:p>
      <w:pPr>
        <w:pStyle w:val="TextBody"/>
        <w:bidi w:val="0"/>
        <w:spacing w:before="240" w:after="0"/>
        <w:jc w:val="left"/>
        <w:rPr/>
      </w:pPr>
      <w:r>
        <w:rPr/>
        <w:t>“</w:t>
      </w:r>
      <w:r>
        <w:rPr>
          <w:rFonts w:ascii="Times New Roman" w:hAnsi="Times New Roman"/>
          <w:b/>
          <w:sz w:val="20"/>
          <w:u w:val="single"/>
        </w:rPr>
        <w:t>Pension Funding Rules</w:t>
      </w:r>
      <w:r>
        <w:rPr>
          <w:rFonts w:ascii="Times New Roman" w:hAnsi="Times New Roman"/>
          <w:sz w:val="20"/>
        </w:rPr>
        <w:t xml:space="preserve">” means the rules of the Code and ERISA regarding minimum required contributions (including any installment payment thereof) to Pension Plans and set forth in Sections 412, 430, 431, 432 and 436 of the Code and Sections 302, 303, 304 and 305 of ERISA. </w:t>
      </w:r>
    </w:p>
    <w:p>
      <w:pPr>
        <w:pStyle w:val="TextBody"/>
        <w:bidi w:val="0"/>
        <w:spacing w:before="240" w:after="0"/>
        <w:jc w:val="left"/>
        <w:rPr/>
      </w:pPr>
      <w:r>
        <w:rPr/>
        <w:t>“</w:t>
      </w:r>
      <w:r>
        <w:rPr>
          <w:rFonts w:ascii="Times New Roman" w:hAnsi="Times New Roman"/>
          <w:b/>
          <w:sz w:val="20"/>
          <w:u w:val="single"/>
        </w:rPr>
        <w:t>Pension Plan</w:t>
      </w:r>
      <w:r>
        <w:rPr>
          <w:rFonts w:ascii="Times New Roman" w:hAnsi="Times New Roman"/>
          <w:sz w:val="20"/>
        </w:rPr>
        <w:t xml:space="preserve">” means any employee pension benefit plan (including a Multiple Employer Plan or a Multiemployer Plan) that is maintained or is contributed to by the Company or any ERISA Affiliate or with respect to which the Company or any ERISA Affiliate has any liability and is either covered by Title IV of ERISA or is subject to minimum funding standards under Section 412 of the Code. </w:t>
      </w:r>
    </w:p>
    <w:p>
      <w:pPr>
        <w:pStyle w:val="TextBody"/>
        <w:bidi w:val="0"/>
        <w:spacing w:before="240" w:after="0"/>
        <w:jc w:val="left"/>
        <w:rPr/>
      </w:pPr>
      <w:r>
        <w:rPr/>
        <w:t>“</w:t>
      </w:r>
      <w:r>
        <w:rPr>
          <w:rFonts w:ascii="Times New Roman" w:hAnsi="Times New Roman"/>
          <w:b/>
          <w:sz w:val="20"/>
          <w:u w:val="single"/>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bidi w:val="0"/>
        <w:spacing w:before="240" w:after="0"/>
        <w:jc w:val="left"/>
        <w:rPr/>
      </w:pPr>
      <w:r>
        <w:rPr/>
        <w:t>“</w:t>
      </w:r>
      <w:r>
        <w:rPr>
          <w:rFonts w:ascii="Times New Roman" w:hAnsi="Times New Roman"/>
          <w:b/>
          <w:sz w:val="20"/>
          <w:u w:val="single"/>
        </w:rPr>
        <w:t>Plan</w:t>
      </w:r>
      <w:r>
        <w:rPr>
          <w:rFonts w:ascii="Times New Roman" w:hAnsi="Times New Roman"/>
          <w:sz w:val="20"/>
        </w:rPr>
        <w:t xml:space="preserve">”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18</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u w:val="single"/>
        </w:rPr>
        <w:t>Platform</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b/>
          <w:sz w:val="20"/>
          <w:u w:val="single"/>
        </w:rPr>
        <w:t>Public Lender</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pPr>
      <w:r>
        <w:rPr/>
        <w:t>“</w:t>
      </w:r>
      <w:r>
        <w:rPr>
          <w:rFonts w:ascii="Times New Roman" w:hAnsi="Times New Roman"/>
          <w:b/>
          <w:sz w:val="20"/>
          <w:u w:val="single"/>
        </w:rPr>
        <w:t>QFC Credit Support</w:t>
      </w:r>
      <w:r>
        <w:rPr>
          <w:rFonts w:ascii="Times New Roman" w:hAnsi="Times New Roman"/>
          <w:sz w:val="20"/>
        </w:rPr>
        <w:t xml:space="preserve">” has the meaning specified in </w:t>
      </w:r>
      <w:r>
        <w:rPr>
          <w:rFonts w:ascii="Times New Roman" w:hAnsi="Times New Roman"/>
          <w:sz w:val="20"/>
          <w:u w:val="single"/>
        </w:rPr>
        <w:t>Section 10.20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Qualified Acquisition</w:t>
      </w:r>
      <w:r>
        <w:rPr>
          <w:rFonts w:ascii="Times New Roman" w:hAnsi="Times New Roman"/>
          <w:sz w:val="20"/>
        </w:rPr>
        <w:t xml:space="preserve">” means any acquisition by the Company or any Subsidiary of Equity Interests of any Person that becomes a Subsidiary (or that is merged, consolidated or amalgamated with or into the Company or any Subsidiary), any acquisition of an ongoing business or any acquisition of all or substantially all the assets of (or all or substantially all the assets constituting a business unit, division, product line or line of business of), any Person, </w:t>
      </w:r>
      <w:r>
        <w:rPr>
          <w:rFonts w:ascii="Times New Roman" w:hAnsi="Times New Roman"/>
          <w:sz w:val="20"/>
          <w:u w:val="single"/>
        </w:rPr>
        <w:t>provided</w:t>
      </w:r>
      <w:r>
        <w:rPr>
          <w:rFonts w:ascii="Times New Roman" w:hAnsi="Times New Roman"/>
          <w:sz w:val="20"/>
        </w:rPr>
        <w:t xml:space="preserve"> that the aggregate consideration therefor (including as consideration, without duplication, the aggregate principal amount of Indebtedness assumed or incurred by the Company or any Subsidiary, and the aggregate principal amount of Indebtedness of such Person repaid, prepaid or redeemed by the Company or any Subsidiary, in each case, in connection therewith) is at least $500,000,000;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any such acquisition to qualify as a “Qualified Acquisition,” the Administrative Agent shall have received prior to, or concurrently with, the consummation of such acquisition, a certificate of a Responsible Officer of the Company describing such acquisition, certifying that such acquisition meets the criteria set forth in this definition and notifying the Administrative Agent that the Company has elected to treat such acquisition as a “Qualified Acquisition”. </w:t>
      </w:r>
    </w:p>
    <w:p>
      <w:pPr>
        <w:pStyle w:val="TextBody"/>
        <w:bidi w:val="0"/>
        <w:spacing w:before="240" w:after="0"/>
        <w:jc w:val="left"/>
        <w:rPr/>
      </w:pPr>
      <w:r>
        <w:rPr/>
        <w:t>“</w:t>
      </w:r>
      <w:r>
        <w:rPr>
          <w:rFonts w:ascii="Times New Roman" w:hAnsi="Times New Roman"/>
          <w:b/>
          <w:sz w:val="20"/>
          <w:u w:val="single"/>
        </w:rPr>
        <w:t>Qualifying Lender</w:t>
      </w:r>
      <w:r>
        <w:rPr>
          <w:rFonts w:ascii="Times New Roman" w:hAnsi="Times New Roman"/>
          <w:sz w:val="20"/>
        </w:rPr>
        <w:t xml:space="preserve">” means a Lender which is beneficially entitled to interest payable to that Lender in respect of an advance under this Agreement and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within the meaning of section 246 of the TCA which is carrying on a bona fide banking business in Ireland for the purposes of section 246(3)(a) of the TCA and whose Lending Office is located in Ireland;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body corporate: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by virtue of the law of a Relevant Territory is resident in the Relevant Territory for the purposes of tax and that jurisdiction imposes a tax that generally applies to interest receivable in that jurisdiction by companies from sources outside that jurisdiction;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a U.S. company which is incorporated in the United States and is taxed in the United States on its worldwide income;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a U.S. limited liability company where: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ultimate recipients of the interest would themselves be Qualifying Lenders under (i), (ii) or (iv) of this Section (b);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is conducted through the such U.S. limited liability company for market reasons and not for tax avoidance purposes; or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19</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receipt of interest in respect of an advance under this Agreement which: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exempted from the charge to Irish income tax pursuant to the terms of a double taxation treaty entered into between Ireland and another jurisdiction that is in force on the date the relevant interest is paid;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would be exempted from the charge to Irish income tax pursuant to the terms of a double taxation treaty entered into between Ireland and another jurisdiction signed on or before the date on which the relevant interest is paid but not in force on that date, assuming that treaty had the force of law on that 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in each case (i) to (iv) above, such body corporate does not provide its commitment through a branch or agency in Ireland;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body corporate which advances money in the ordinary course of a trade which includes the lending of money where the interest payable on monies so advanced is taken into account in computing the trading income of such body corporate and such body corporate has complied with the notification requirements under section 246(5)(a) of the TCA and whose Lending Office is located in Ireland;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qualifying company within the meaning of section 110 of the TCA and whose Lending Office is located in Ireland;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investment undertaking within the meaning of section 739B of the TCA and whose Lending Office is located in Ireland;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 approved scheme within the meaning of section 774 of the TCA and whose Lending Office is located in Ireland;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Treaty Lender. </w:t>
            </w:r>
          </w:p>
        </w:tc>
      </w:tr>
    </w:tbl>
    <w:p>
      <w:pPr>
        <w:pStyle w:val="TextBody"/>
        <w:bidi w:val="0"/>
        <w:spacing w:before="240" w:after="0"/>
        <w:jc w:val="left"/>
        <w:rPr/>
      </w:pPr>
      <w:r>
        <w:rPr/>
        <w:t>“</w:t>
      </w:r>
      <w:r>
        <w:rPr>
          <w:rFonts w:ascii="Times New Roman" w:hAnsi="Times New Roman"/>
          <w:b/>
          <w:sz w:val="20"/>
          <w:u w:val="single"/>
        </w:rPr>
        <w:t>Rate Determination Date</w:t>
      </w:r>
      <w:r>
        <w:rPr>
          <w:rFonts w:ascii="Times New Roman" w:hAnsi="Times New Roman"/>
          <w:sz w:val="20"/>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hAnsi="Times New Roman"/>
          <w:sz w:val="20"/>
          <w:u w:val="single"/>
        </w:rPr>
        <w:t>provided</w:t>
      </w:r>
      <w:r>
        <w:rPr>
          <w:rFonts w:ascii="Times New Roman" w:hAnsi="Times New Roman"/>
          <w:sz w:val="20"/>
        </w:rPr>
        <w:t xml:space="preserve"> that to the extent such market practice is not administratively feasible for the Administrative Agent, then “Rate Determination Date” means such other day as otherwise reasonably determined by the Administrative Agent). </w:t>
      </w:r>
    </w:p>
    <w:p>
      <w:pPr>
        <w:pStyle w:val="TextBody"/>
        <w:bidi w:val="0"/>
        <w:spacing w:before="240" w:after="0"/>
        <w:jc w:val="left"/>
        <w:rPr/>
      </w:pPr>
      <w:r>
        <w:rPr/>
        <w:t>“</w:t>
      </w:r>
      <w:r>
        <w:rPr>
          <w:rFonts w:ascii="Times New Roman" w:hAnsi="Times New Roman"/>
          <w:b/>
          <w:sz w:val="20"/>
          <w:u w:val="single"/>
        </w:rPr>
        <w:t>Recipient</w:t>
      </w:r>
      <w:r>
        <w:rPr>
          <w:rFonts w:ascii="Times New Roman" w:hAnsi="Times New Roman"/>
          <w:sz w:val="20"/>
        </w:rPr>
        <w:t xml:space="preserve">” means the Administrative Agent, any Lender or any other recipient of any payment to be made by or on account of any obligation of any Loan Party hereunder or under any other Loan Document. </w:t>
      </w:r>
    </w:p>
    <w:p>
      <w:pPr>
        <w:pStyle w:val="TextBody"/>
        <w:bidi w:val="0"/>
        <w:spacing w:before="240" w:after="0"/>
        <w:jc w:val="left"/>
        <w:rPr/>
      </w:pPr>
      <w:r>
        <w:rPr/>
        <w:t>“</w:t>
      </w:r>
      <w:r>
        <w:rPr>
          <w:rFonts w:ascii="Times New Roman" w:hAnsi="Times New Roman"/>
          <w:b/>
          <w:sz w:val="20"/>
          <w:u w:val="single"/>
        </w:rPr>
        <w:t>Register</w:t>
      </w:r>
      <w:r>
        <w:rPr>
          <w:rFonts w:ascii="Times New Roman" w:hAnsi="Times New Roman"/>
          <w:sz w:val="20"/>
        </w:rPr>
        <w:t xml:space="preserve">” has the meaning specified in </w:t>
      </w:r>
      <w:r>
        <w:rPr>
          <w:rFonts w:ascii="Times New Roman" w:hAnsi="Times New Roman"/>
          <w:sz w:val="20"/>
          <w:u w:val="single"/>
        </w:rPr>
        <w:t>Section 10.06(c)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Related Parties</w:t>
      </w:r>
      <w:r>
        <w:rPr>
          <w:rFonts w:ascii="Times New Roman" w:hAnsi="Times New Roman"/>
          <w:sz w:val="20"/>
        </w:rPr>
        <w:t xml:space="preserve">” means, with respect to any Person, such Person’s Affiliates and the partners, directors, officers, employees, agents, trustees, administrators, managers, advisors and representatives of such Person and of such Person’s Affiliates. </w:t>
      </w:r>
    </w:p>
    <w:p>
      <w:pPr>
        <w:pStyle w:val="TextBody"/>
        <w:bidi w:val="0"/>
        <w:spacing w:before="240" w:after="0"/>
        <w:jc w:val="left"/>
        <w:rPr/>
      </w:pPr>
      <w:r>
        <w:rPr/>
        <w:t>“</w:t>
      </w:r>
      <w:r>
        <w:rPr>
          <w:rFonts w:ascii="Times New Roman" w:hAnsi="Times New Roman"/>
          <w:b/>
          <w:sz w:val="20"/>
          <w:u w:val="single"/>
        </w:rPr>
        <w:t>Relevant Rate</w:t>
      </w:r>
      <w:r>
        <w:rPr>
          <w:rFonts w:ascii="Times New Roman" w:hAnsi="Times New Roman"/>
          <w:sz w:val="20"/>
        </w:rPr>
        <w:t xml:space="preserve">” means with respect to any Committed Borrowing denominated in (a) Dollars, Term SOFR, (b) Sterling, SONIA and (c) Euros, EURIBOR, as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20</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u w:val="single"/>
        </w:rPr>
        <w:t>Relevant Territory</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a member state of the European Communities (other than Ireland); or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not a member state of the European Communities, a jurisdiction with which Ireland has entered into a double taxation treaty that either has the force of law by virtue of section 826(1) of the TCA or which will have the force of law on completion of the procedures set out in section 826(1) of the TCA. </w:t>
      </w:r>
    </w:p>
    <w:p>
      <w:pPr>
        <w:pStyle w:val="TextBody"/>
        <w:bidi w:val="0"/>
        <w:spacing w:before="240" w:after="0"/>
        <w:jc w:val="left"/>
        <w:rPr/>
      </w:pPr>
      <w:r>
        <w:rPr/>
        <w:t>“</w:t>
      </w:r>
      <w:r>
        <w:rPr>
          <w:rFonts w:ascii="Times New Roman" w:hAnsi="Times New Roman"/>
          <w:b/>
          <w:sz w:val="20"/>
          <w:u w:val="single"/>
        </w:rPr>
        <w:t>Removal Effective Date</w:t>
      </w:r>
      <w:r>
        <w:rPr>
          <w:rFonts w:ascii="Times New Roman" w:hAnsi="Times New Roman"/>
          <w:sz w:val="20"/>
        </w:rPr>
        <w:t xml:space="preserve">” has the meaning specified in </w:t>
      </w:r>
      <w:r>
        <w:rPr>
          <w:rFonts w:ascii="Times New Roman" w:hAnsi="Times New Roman"/>
          <w:sz w:val="20"/>
          <w:u w:val="single"/>
        </w:rPr>
        <w:t>Section 9.06(b)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Reportable Event</w:t>
      </w:r>
      <w:r>
        <w:rPr>
          <w:rFonts w:ascii="Times New Roman" w:hAnsi="Times New Roman"/>
          <w:sz w:val="20"/>
        </w:rPr>
        <w:t xml:space="preserve">” means any of the events set forth in Section 4043(c) of ERISA, other than events for which the 30-day notice period has been waived. </w:t>
      </w:r>
    </w:p>
    <w:p>
      <w:pPr>
        <w:pStyle w:val="TextBody"/>
        <w:bidi w:val="0"/>
        <w:spacing w:before="240" w:after="0"/>
        <w:jc w:val="left"/>
        <w:rPr/>
      </w:pPr>
      <w:r>
        <w:rPr/>
        <w:t>“</w:t>
      </w:r>
      <w:r>
        <w:rPr>
          <w:rFonts w:ascii="Times New Roman" w:hAnsi="Times New Roman"/>
          <w:b/>
          <w:sz w:val="20"/>
          <w:u w:val="single"/>
        </w:rPr>
        <w:t>Required Lenders</w:t>
      </w:r>
      <w:r>
        <w:rPr>
          <w:rFonts w:ascii="Times New Roman" w:hAnsi="Times New Roman"/>
          <w:sz w:val="20"/>
        </w:rPr>
        <w:t xml:space="preserve">” means, at any time, Lenders having Total Credit Exposures representing more than 50% of the Total Credit Exposures of all Lenders. The Total Credit Exposure of any Defaulting Lender shall be disregarded in determining Required Lenders at any time. </w:t>
      </w:r>
    </w:p>
    <w:p>
      <w:pPr>
        <w:pStyle w:val="TextBody"/>
        <w:bidi w:val="0"/>
        <w:spacing w:before="240" w:after="0"/>
        <w:jc w:val="left"/>
        <w:rPr/>
      </w:pPr>
      <w:r>
        <w:rPr/>
        <w:t>“</w:t>
      </w:r>
      <w:r>
        <w:rPr>
          <w:rFonts w:ascii="Times New Roman" w:hAnsi="Times New Roman"/>
          <w:b/>
          <w:sz w:val="20"/>
          <w:u w:val="single"/>
        </w:rPr>
        <w:t>Rescindable Amount</w:t>
      </w:r>
      <w:r>
        <w:rPr>
          <w:rFonts w:ascii="Times New Roman" w:hAnsi="Times New Roman"/>
          <w:sz w:val="20"/>
        </w:rPr>
        <w:t xml:space="preserve">” has the meaning specified in </w:t>
      </w:r>
      <w:r>
        <w:rPr>
          <w:rFonts w:ascii="Times New Roman" w:hAnsi="Times New Roman"/>
          <w:sz w:val="20"/>
          <w:u w:val="single"/>
        </w:rPr>
        <w:t>Section 2.12(b)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Resignation Effective Date</w:t>
      </w:r>
      <w:r>
        <w:rPr>
          <w:rFonts w:ascii="Times New Roman" w:hAnsi="Times New Roman"/>
          <w:sz w:val="20"/>
        </w:rPr>
        <w:t xml:space="preserve">” has the meaning specified in </w:t>
      </w:r>
      <w:r>
        <w:rPr>
          <w:rFonts w:ascii="Times New Roman" w:hAnsi="Times New Roman"/>
          <w:sz w:val="20"/>
          <w:u w:val="single"/>
        </w:rPr>
        <w:t>Section 9.06(a)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b/>
          <w:sz w:val="20"/>
          <w:u w:val="single"/>
        </w:rPr>
        <w:t>Responsible Officer</w:t>
      </w:r>
      <w:r>
        <w:rPr>
          <w:rFonts w:ascii="Times New Roman" w:hAnsi="Times New Roman"/>
          <w:sz w:val="20"/>
        </w:rPr>
        <w:t xml:space="preserve">” means, with respect to any Loan Party, the chief executive officer, president, chief financial officer, treasurer, assistant treasurer, chief accounting officer or controller of the Company and any other officer of such Loan Party so designated by any of the foregoing officers in a written notice to the Administrative Agent, and, solely for purposes of notices given pursuant to </w:t>
      </w:r>
      <w:r>
        <w:rPr>
          <w:rFonts w:ascii="Times New Roman" w:hAnsi="Times New Roman"/>
          <w:sz w:val="20"/>
          <w:u w:val="single"/>
        </w:rPr>
        <w:t>Article II</w:t>
      </w:r>
      <w:r>
        <w:rPr>
          <w:rFonts w:ascii="Times New Roman" w:hAnsi="Times New Roman"/>
          <w:sz w:val="20"/>
        </w:rPr>
        <w:t xml:space="preserve">, any other officer or employee of any Borrower so designated by any of the foregoing officers in or pursuant to an agreement between such Borrower and the Administrative Agent. Without limiting the representations and warranties of the Loan Parties set forth in the Loan Documents,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 </w:t>
      </w:r>
    </w:p>
    <w:p>
      <w:pPr>
        <w:pStyle w:val="TextBody"/>
        <w:bidi w:val="0"/>
        <w:spacing w:before="240" w:after="0"/>
        <w:jc w:val="left"/>
        <w:rPr/>
      </w:pPr>
      <w:r>
        <w:rPr/>
        <w:t>“</w:t>
      </w:r>
      <w:r>
        <w:rPr>
          <w:rFonts w:ascii="Times New Roman" w:hAnsi="Times New Roman"/>
          <w:b/>
          <w:sz w:val="20"/>
          <w:u w:val="single"/>
        </w:rPr>
        <w:t>Revaluation Date</w:t>
      </w:r>
      <w:r>
        <w:rPr>
          <w:rFonts w:ascii="Times New Roman" w:hAnsi="Times New Roman"/>
          <w:sz w:val="20"/>
        </w:rPr>
        <w:t xml:space="preserve">” means with respect to any Loan, each of the following: (i) each date of a Committed Borrowing of an Alternative Currency Term Rate Loan, (ii) each date of a continuation of an Alternative Currency Term Rate Loan pursuant to </w:t>
      </w:r>
      <w:r>
        <w:rPr>
          <w:rFonts w:ascii="Times New Roman" w:hAnsi="Times New Roman"/>
          <w:sz w:val="20"/>
          <w:u w:val="single"/>
        </w:rPr>
        <w:t>Section 2.02</w:t>
      </w:r>
      <w:r>
        <w:rPr>
          <w:rFonts w:ascii="Times New Roman" w:hAnsi="Times New Roman"/>
          <w:sz w:val="20"/>
        </w:rPr>
        <w:t xml:space="preserve">, (iii) each date of a Committed Borrowing of an Alternative Currency Daily Rate Loan and (iv) such additional dates as the Administrative Agent shall determine or the Required Lenders shall require. </w:t>
      </w:r>
    </w:p>
    <w:p>
      <w:pPr>
        <w:pStyle w:val="TextBody"/>
        <w:bidi w:val="0"/>
        <w:spacing w:before="240" w:after="0"/>
        <w:jc w:val="left"/>
        <w:rPr/>
      </w:pPr>
      <w:r>
        <w:rPr/>
        <w:t>“</w:t>
      </w:r>
      <w:r>
        <w:rPr>
          <w:rFonts w:ascii="Times New Roman" w:hAnsi="Times New Roman"/>
          <w:b/>
          <w:sz w:val="20"/>
          <w:u w:val="single"/>
        </w:rPr>
        <w:t>Revolving Credit Exposure</w:t>
      </w:r>
      <w:r>
        <w:rPr>
          <w:rFonts w:ascii="Times New Roman" w:hAnsi="Times New Roman"/>
          <w:sz w:val="20"/>
        </w:rPr>
        <w:t xml:space="preserve">” means, as to any Lender at any time, the aggregate principal amount at such time of its outstanding Committed Loans. </w:t>
      </w:r>
    </w:p>
    <w:p>
      <w:pPr>
        <w:pStyle w:val="TextBody"/>
        <w:bidi w:val="0"/>
        <w:spacing w:before="240" w:after="0"/>
        <w:jc w:val="left"/>
        <w:rPr/>
      </w:pPr>
      <w:r>
        <w:rPr/>
        <w:t>“</w:t>
      </w:r>
      <w:r>
        <w:rPr>
          <w:rFonts w:ascii="Times New Roman" w:hAnsi="Times New Roman"/>
          <w:b/>
          <w:sz w:val="20"/>
          <w:u w:val="single"/>
        </w:rPr>
        <w:t>S&amp;P</w:t>
      </w:r>
      <w:r>
        <w:rPr>
          <w:rFonts w:ascii="Times New Roman" w:hAnsi="Times New Roman"/>
          <w:sz w:val="20"/>
        </w:rPr>
        <w:t xml:space="preserve">” means S&amp;P Global Ratings and any successor thereto. </w:t>
      </w:r>
    </w:p>
    <w:p>
      <w:pPr>
        <w:pStyle w:val="TextBody"/>
        <w:bidi w:val="0"/>
        <w:spacing w:before="240" w:after="0"/>
        <w:jc w:val="left"/>
        <w:rPr/>
      </w:pPr>
      <w:r>
        <w:rPr/>
        <w:t>“</w:t>
      </w:r>
      <w:r>
        <w:rPr>
          <w:rFonts w:ascii="Times New Roman" w:hAnsi="Times New Roman"/>
          <w:b/>
          <w:sz w:val="20"/>
          <w:u w:val="single"/>
        </w:rPr>
        <w:t>Same Day Funds</w:t>
      </w:r>
      <w:r>
        <w:rPr>
          <w:rFonts w:ascii="Times New Roman" w:hAnsi="Times New Roman"/>
          <w:sz w:val="20"/>
        </w:rPr>
        <w:t xml:space="preserve">” means (a) with respect to disbursements and payments in Dollars, immediately available funds, and (b) with respect to disbursements and payments in an Alternative Currency, same day or other funds as may be determined by the Administrative Agent to be customary in the place of disbursement or payment for the settlement of international banking transactions in the relevant Alternative Currency.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21</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u w:val="single"/>
        </w:rPr>
        <w:t>Sanctions</w:t>
      </w:r>
      <w:r>
        <w:rPr>
          <w:rFonts w:ascii="Times New Roman" w:hAnsi="Times New Roman"/>
          <w:sz w:val="20"/>
        </w:rPr>
        <w:t xml:space="preserve">” means any applicable international economic or financial sanctions, trade embargoes or similar restrictions administered or enforced by the United States government (including, without limitation, OFAC and the United States Department of State), the United Nations Security Council, the Hong Kong Monetary Authority, the European Union, His Majesty’s Treasury or other relevant sanctions authority. </w:t>
      </w:r>
    </w:p>
    <w:p>
      <w:pPr>
        <w:pStyle w:val="TextBody"/>
        <w:bidi w:val="0"/>
        <w:spacing w:before="240" w:after="0"/>
        <w:jc w:val="left"/>
        <w:rPr/>
      </w:pPr>
      <w:r>
        <w:rPr/>
        <w:t>“</w:t>
      </w:r>
      <w:r>
        <w:rPr>
          <w:rFonts w:ascii="Times New Roman" w:hAnsi="Times New Roman"/>
          <w:b/>
          <w:sz w:val="20"/>
          <w:u w:val="single"/>
        </w:rPr>
        <w:t>SEC</w:t>
      </w:r>
      <w:r>
        <w:rPr>
          <w:rFonts w:ascii="Times New Roman" w:hAnsi="Times New Roman"/>
          <w:sz w:val="20"/>
        </w:rPr>
        <w:t xml:space="preserve">” means the Securities and Exchange Commission, or any Governmental Authority succeeding to any of its principal functions. </w:t>
      </w:r>
    </w:p>
    <w:p>
      <w:pPr>
        <w:pStyle w:val="TextBody"/>
        <w:bidi w:val="0"/>
        <w:spacing w:before="240" w:after="0"/>
        <w:jc w:val="left"/>
        <w:rPr/>
      </w:pPr>
      <w:r>
        <w:rPr/>
        <w:t>“</w:t>
      </w:r>
      <w:r>
        <w:rPr>
          <w:rFonts w:ascii="Times New Roman" w:hAnsi="Times New Roman"/>
          <w:b/>
          <w:sz w:val="20"/>
          <w:u w:val="single"/>
        </w:rPr>
        <w:t>SOFR</w:t>
      </w:r>
      <w:r>
        <w:rPr>
          <w:rFonts w:ascii="Times New Roman" w:hAnsi="Times New Roman"/>
          <w:sz w:val="20"/>
        </w:rPr>
        <w:t xml:space="preserve">” means the Secured Overnight Financing Rate as administered by the SOFR Administrator. </w:t>
      </w:r>
    </w:p>
    <w:p>
      <w:pPr>
        <w:pStyle w:val="TextBody"/>
        <w:bidi w:val="0"/>
        <w:spacing w:before="240" w:after="0"/>
        <w:jc w:val="left"/>
        <w:rPr/>
      </w:pPr>
      <w:r>
        <w:rPr/>
        <w:t>“</w:t>
      </w:r>
      <w:r>
        <w:rPr>
          <w:rFonts w:ascii="Times New Roman" w:hAnsi="Times New Roman"/>
          <w:b/>
          <w:sz w:val="20"/>
          <w:u w:val="single"/>
        </w:rPr>
        <w:t>SOFR Administrator</w:t>
      </w:r>
      <w:r>
        <w:rPr>
          <w:rFonts w:ascii="Times New Roman" w:hAnsi="Times New Roman"/>
          <w:sz w:val="20"/>
        </w:rPr>
        <w:t xml:space="preserve">” means the Federal Reserve Bank of New York, as the administrator of SOFR, or any successor administrator of SOFR designated by the Federal Reserve Bank of New York or other Person acting as the SOFR Administrator at such time that is satisfactory to the Administrative Agent. </w:t>
      </w:r>
    </w:p>
    <w:p>
      <w:pPr>
        <w:pStyle w:val="TextBody"/>
        <w:bidi w:val="0"/>
        <w:spacing w:before="240" w:after="0"/>
        <w:jc w:val="left"/>
        <w:rPr/>
      </w:pPr>
      <w:r>
        <w:rPr/>
        <w:t>“</w:t>
      </w:r>
      <w:r>
        <w:rPr>
          <w:rFonts w:ascii="Times New Roman" w:hAnsi="Times New Roman"/>
          <w:b/>
          <w:sz w:val="20"/>
          <w:u w:val="single"/>
        </w:rPr>
        <w:t>SONIA</w:t>
      </w:r>
      <w:r>
        <w:rPr>
          <w:rFonts w:ascii="Times New Roman" w:hAnsi="Times New Roman"/>
          <w:sz w:val="20"/>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hAnsi="Times New Roman"/>
          <w:sz w:val="20"/>
          <w:u w:val="single"/>
        </w:rPr>
        <w:t>provided</w:t>
      </w:r>
      <w:r>
        <w:rPr>
          <w:rFonts w:ascii="Times New Roman" w:hAnsi="Times New Roman"/>
          <w:sz w:val="20"/>
        </w:rPr>
        <w:t xml:space="preserve"> however that if such determination date is not a Business Day, SONIA means such rate that applied on the first Business Day immediately prior thereto. </w:t>
      </w:r>
    </w:p>
    <w:p>
      <w:pPr>
        <w:pStyle w:val="TextBody"/>
        <w:bidi w:val="0"/>
        <w:spacing w:before="240" w:after="0"/>
        <w:jc w:val="left"/>
        <w:rPr/>
      </w:pPr>
      <w:r>
        <w:rPr/>
        <w:t>“</w:t>
      </w:r>
      <w:r>
        <w:rPr>
          <w:rFonts w:ascii="Times New Roman" w:hAnsi="Times New Roman"/>
          <w:b/>
          <w:sz w:val="20"/>
          <w:u w:val="single"/>
        </w:rPr>
        <w:t>Special Notice Currency</w:t>
      </w:r>
      <w:r>
        <w:rPr>
          <w:rFonts w:ascii="Times New Roman" w:hAnsi="Times New Roman"/>
          <w:sz w:val="20"/>
        </w:rPr>
        <w:t xml:space="preserve">” means at any time an Alternative Currency, other than the currency of a country that is a member of the Organization for Economic Cooperation and Development at such time located in North America or Europe. </w:t>
      </w:r>
    </w:p>
    <w:p>
      <w:pPr>
        <w:pStyle w:val="TextBody"/>
        <w:bidi w:val="0"/>
        <w:spacing w:before="240" w:after="0"/>
        <w:jc w:val="left"/>
        <w:rPr/>
      </w:pPr>
      <w:r>
        <w:rPr/>
        <w:t>“</w:t>
      </w:r>
      <w:r>
        <w:rPr>
          <w:rFonts w:ascii="Times New Roman" w:hAnsi="Times New Roman"/>
          <w:b/>
          <w:sz w:val="20"/>
          <w:u w:val="single"/>
        </w:rPr>
        <w:t>Spot Rate</w:t>
      </w:r>
      <w:r>
        <w:rPr>
          <w:rFonts w:ascii="Times New Roman" w:hAnsi="Times New Roman"/>
          <w:sz w:val="20"/>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Times New Roman" w:hAnsi="Times New Roman"/>
          <w:sz w:val="20"/>
          <w:u w:val="single"/>
        </w:rPr>
        <w:t>provided</w:t>
      </w:r>
      <w:r>
        <w:rPr>
          <w:rFonts w:ascii="Times New Roman" w:hAnsi="Times New Roman"/>
          <w:sz w:val="20"/>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 or from a third source, such as Reuters. </w:t>
      </w:r>
    </w:p>
    <w:p>
      <w:pPr>
        <w:pStyle w:val="TextBody"/>
        <w:bidi w:val="0"/>
        <w:spacing w:before="240" w:after="0"/>
        <w:jc w:val="left"/>
        <w:rPr/>
      </w:pPr>
      <w:r>
        <w:rPr/>
        <w:t>“</w:t>
      </w:r>
      <w:r>
        <w:rPr>
          <w:rFonts w:ascii="Times New Roman" w:hAnsi="Times New Roman"/>
          <w:b/>
          <w:sz w:val="20"/>
          <w:u w:val="single"/>
        </w:rPr>
        <w:t>Sterling</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the lawful currency of the United Kingdom. </w:t>
      </w:r>
    </w:p>
    <w:p>
      <w:pPr>
        <w:pStyle w:val="TextBody"/>
        <w:bidi w:val="0"/>
        <w:spacing w:before="240" w:after="0"/>
        <w:jc w:val="left"/>
        <w:rPr/>
      </w:pPr>
      <w:r>
        <w:rPr/>
        <w:t>“</w:t>
      </w:r>
      <w:r>
        <w:rPr>
          <w:rFonts w:ascii="Times New Roman" w:hAnsi="Times New Roman"/>
          <w:b/>
          <w:sz w:val="20"/>
          <w:u w:val="single"/>
        </w:rPr>
        <w:t>Subsidiary</w:t>
      </w:r>
      <w:r>
        <w:rPr>
          <w:rFonts w:ascii="Times New Roman" w:hAnsi="Times New Roman"/>
          <w:sz w:val="20"/>
        </w:rPr>
        <w:t xml:space="preserve">”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 </w:t>
      </w:r>
    </w:p>
    <w:p>
      <w:pPr>
        <w:pStyle w:val="TextBody"/>
        <w:bidi w:val="0"/>
        <w:spacing w:before="240" w:after="0"/>
        <w:jc w:val="left"/>
        <w:rPr/>
      </w:pPr>
      <w:r>
        <w:rPr/>
        <w:t>“</w:t>
      </w:r>
      <w:r>
        <w:rPr>
          <w:rFonts w:ascii="Times New Roman" w:hAnsi="Times New Roman"/>
          <w:b/>
          <w:sz w:val="20"/>
          <w:u w:val="single"/>
        </w:rPr>
        <w:t>Subsidiary Guarantor</w:t>
      </w:r>
      <w:r>
        <w:rPr>
          <w:rFonts w:ascii="Times New Roman" w:hAnsi="Times New Roman"/>
          <w:sz w:val="20"/>
        </w:rPr>
        <w:t xml:space="preserve">” means any Subsidiary that is a party to the Subsidiary Guaranty. </w:t>
      </w:r>
    </w:p>
    <w:p>
      <w:pPr>
        <w:pStyle w:val="TextBody"/>
        <w:bidi w:val="0"/>
        <w:spacing w:before="240" w:after="0"/>
        <w:jc w:val="left"/>
        <w:rPr/>
      </w:pPr>
      <w:r>
        <w:rPr/>
        <w:t>“</w:t>
      </w:r>
      <w:r>
        <w:rPr>
          <w:rFonts w:ascii="Times New Roman" w:hAnsi="Times New Roman"/>
          <w:b/>
          <w:sz w:val="20"/>
          <w:u w:val="single"/>
        </w:rPr>
        <w:t>Subsidiary Guaranty</w:t>
      </w:r>
      <w:r>
        <w:rPr>
          <w:rFonts w:ascii="Times New Roman" w:hAnsi="Times New Roman"/>
          <w:sz w:val="20"/>
        </w:rPr>
        <w:t xml:space="preserve">” means the Subsidiary Guaranty (including counterparts thereof and joinders and supplements thereto) made by one or more Subsidiary Guarantors in favor of the Administrative Agent and the Lenders, substantially in the form of </w:t>
      </w:r>
      <w:r>
        <w:rPr>
          <w:rFonts w:ascii="Times New Roman" w:hAnsi="Times New Roman"/>
          <w:sz w:val="20"/>
          <w:u w:val="single"/>
        </w:rPr>
        <w:t>EXHIBIT 1.01(b)</w:t>
      </w:r>
      <w:r>
        <w:rPr>
          <w:rFonts w:ascii="Times New Roman" w:hAnsi="Times New Roman"/>
          <w:sz w:val="20"/>
        </w:rPr>
        <w:t xml:space="preserve"> (or such other document as the Administrative Agent and the Company shall deem appropriate).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22</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u w:val="single"/>
        </w:rPr>
        <w:t>Supported QFC</w:t>
      </w:r>
      <w:r>
        <w:rPr>
          <w:rFonts w:ascii="Times New Roman" w:hAnsi="Times New Roman"/>
          <w:sz w:val="20"/>
        </w:rPr>
        <w:t xml:space="preserve">” has the meaning specified in </w:t>
      </w:r>
      <w:r>
        <w:rPr>
          <w:rFonts w:ascii="Times New Roman" w:hAnsi="Times New Roman"/>
          <w:sz w:val="20"/>
          <w:u w:val="single"/>
        </w:rPr>
        <w:t>Section 10.20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Swap Contract</w:t>
      </w:r>
      <w:r>
        <w:rPr>
          <w:rFonts w:ascii="Times New Roman" w:hAnsi="Times New Roman"/>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sz w:val="20"/>
          <w:u w:val="single"/>
        </w:rPr>
        <w:t>Master Agreement</w:t>
      </w:r>
      <w:r>
        <w:rPr>
          <w:rFonts w:ascii="Times New Roman" w:hAnsi="Times New Roman"/>
          <w:sz w:val="20"/>
        </w:rPr>
        <w:t xml:space="preserve">”), including any such obligations or liabilities under any Master Agreement. </w:t>
      </w:r>
    </w:p>
    <w:p>
      <w:pPr>
        <w:pStyle w:val="TextBody"/>
        <w:bidi w:val="0"/>
        <w:spacing w:before="240" w:after="0"/>
        <w:jc w:val="left"/>
        <w:rPr/>
      </w:pPr>
      <w:r>
        <w:rPr/>
        <w:t>“</w:t>
      </w:r>
      <w:r>
        <w:rPr>
          <w:rFonts w:ascii="Times New Roman" w:hAnsi="Times New Roman"/>
          <w:b/>
          <w:sz w:val="20"/>
          <w:u w:val="single"/>
        </w:rPr>
        <w:t>Swap Termination Value</w:t>
      </w:r>
      <w:r>
        <w:rPr>
          <w:rFonts w:ascii="Times New Roman" w:hAnsi="Times New Roman"/>
          <w:sz w:val="20"/>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(a)</w:t>
      </w:r>
      <w:r>
        <w:rPr>
          <w:rFonts w:ascii="Times New Roman" w:hAnsi="Times New Roman"/>
          <w:sz w:val="20"/>
        </w:rPr>
        <w:t xml:space="preserve">, the amount(s) determined as the mark-to-market value(s) for such Swap Contracts, as determined based upon one or more mid-market or other readily available quotations provided by any recognized dealer in such Swap Contracts (which may include a Lender or any Affiliate of a Lender). </w:t>
      </w:r>
    </w:p>
    <w:p>
      <w:pPr>
        <w:pStyle w:val="TextBody"/>
        <w:bidi w:val="0"/>
        <w:spacing w:before="240" w:after="0"/>
        <w:jc w:val="left"/>
        <w:rPr/>
      </w:pPr>
      <w:r>
        <w:rPr/>
        <w:t>“</w:t>
      </w:r>
      <w:r>
        <w:rPr>
          <w:rFonts w:ascii="Times New Roman" w:hAnsi="Times New Roman"/>
          <w:b/>
          <w:sz w:val="20"/>
          <w:u w:val="single"/>
        </w:rPr>
        <w:t>Synthetic Lease Obligation</w:t>
      </w:r>
      <w:r>
        <w:rPr>
          <w:rFonts w:ascii="Times New Roman" w:hAnsi="Times New Roman"/>
          <w:sz w:val="20"/>
        </w:rPr>
        <w:t xml:space="preserve">”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w:t>
      </w:r>
    </w:p>
    <w:p>
      <w:pPr>
        <w:pStyle w:val="TextBody"/>
        <w:bidi w:val="0"/>
        <w:spacing w:before="240" w:after="0"/>
        <w:jc w:val="left"/>
        <w:rPr/>
      </w:pPr>
      <w:r>
        <w:rPr/>
        <w:t>“</w:t>
      </w:r>
      <w:r>
        <w:rPr>
          <w:rFonts w:ascii="Times New Roman" w:hAnsi="Times New Roman"/>
          <w:b/>
          <w:sz w:val="20"/>
          <w:u w:val="single"/>
        </w:rPr>
        <w:t>TARGET Day</w:t>
      </w:r>
      <w:r>
        <w:rPr>
          <w:rFonts w:ascii="Times New Roman" w:hAnsi="Times New Roman"/>
          <w:sz w:val="20"/>
        </w:rPr>
        <w:t xml:space="preserve">” means any day on which TARGET2 (or, if such payment system ceases to be operative, such other payment system, if any, determined by the Administrative Agent to be a suitable replacement) is open for the settlement of payments in Euro. </w:t>
      </w:r>
    </w:p>
    <w:p>
      <w:pPr>
        <w:pStyle w:val="TextBody"/>
        <w:bidi w:val="0"/>
        <w:spacing w:before="240" w:after="0"/>
        <w:jc w:val="left"/>
        <w:rPr/>
      </w:pPr>
      <w:r>
        <w:rPr/>
        <w:t>“</w:t>
      </w:r>
      <w:r>
        <w:rPr>
          <w:rFonts w:ascii="Times New Roman" w:hAnsi="Times New Roman"/>
          <w:b/>
          <w:sz w:val="20"/>
          <w:u w:val="single"/>
        </w:rPr>
        <w:t>TARGET2</w:t>
      </w:r>
      <w:r>
        <w:rPr>
          <w:rFonts w:ascii="Times New Roman" w:hAnsi="Times New Roman"/>
          <w:sz w:val="20"/>
        </w:rPr>
        <w:t xml:space="preserve">” means the real time gross settlement system operated by the Eurosystem, or any successor system. </w:t>
      </w:r>
    </w:p>
    <w:p>
      <w:pPr>
        <w:pStyle w:val="TextBody"/>
        <w:bidi w:val="0"/>
        <w:spacing w:before="240" w:after="0"/>
        <w:jc w:val="left"/>
        <w:rPr/>
      </w:pPr>
      <w:r>
        <w:rPr/>
        <w:t>“</w:t>
      </w:r>
      <w:r>
        <w:rPr>
          <w:rFonts w:ascii="Times New Roman" w:hAnsi="Times New Roman"/>
          <w:b/>
          <w:sz w:val="20"/>
          <w:u w:val="single"/>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b/>
          <w:sz w:val="20"/>
          <w:u w:val="single"/>
        </w:rPr>
        <w:t>TCA</w:t>
      </w:r>
      <w:r>
        <w:rPr>
          <w:rFonts w:ascii="Times New Roman" w:hAnsi="Times New Roman"/>
          <w:sz w:val="20"/>
        </w:rPr>
        <w:t xml:space="preserve">” means the Taxes Consolidation Act 1997 of Ireland. </w:t>
      </w:r>
    </w:p>
    <w:p>
      <w:pPr>
        <w:pStyle w:val="TextBody"/>
        <w:bidi w:val="0"/>
        <w:spacing w:before="240" w:after="0"/>
        <w:jc w:val="left"/>
        <w:rPr/>
      </w:pPr>
      <w:r>
        <w:rPr/>
        <w:t>“</w:t>
      </w:r>
      <w:r>
        <w:rPr>
          <w:rFonts w:ascii="Times New Roman" w:hAnsi="Times New Roman"/>
          <w:b/>
          <w:sz w:val="20"/>
          <w:u w:val="single"/>
        </w:rPr>
        <w:t>Term-Out Election</w:t>
      </w:r>
      <w:r>
        <w:rPr>
          <w:rFonts w:ascii="Times New Roman" w:hAnsi="Times New Roman"/>
          <w:sz w:val="20"/>
        </w:rPr>
        <w:t xml:space="preserve">” has the meaning specified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Term Loans</w:t>
      </w:r>
      <w:r>
        <w:rPr>
          <w:rFonts w:ascii="Times New Roman" w:hAnsi="Times New Roman"/>
          <w:sz w:val="20"/>
        </w:rPr>
        <w:t xml:space="preserve">” has the meaning specified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Term SOFR</w:t>
      </w:r>
      <w:r>
        <w:rPr>
          <w:rFonts w:ascii="Times New Roman" w:hAnsi="Times New Roman"/>
          <w:sz w:val="20"/>
        </w:rPr>
        <w:t xml:space="preserve">” means: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23</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interest calculation with respect to a Base Rate Loan on any date, the rate per annum equal to the Term SOFR Screen Rate with a term of one month commencing that day; </w:t>
            </w:r>
          </w:p>
        </w:tc>
      </w:tr>
    </w:tbl>
    <w:p>
      <w:pPr>
        <w:pStyle w:val="TextBody"/>
        <w:bidi w:val="0"/>
        <w:spacing w:before="240" w:after="0"/>
        <w:jc w:val="left"/>
        <w:rPr>
          <w:rFonts w:ascii="Times New Roman" w:hAnsi="Times New Roman"/>
          <w:sz w:val="20"/>
        </w:rPr>
      </w:pPr>
      <w:r>
        <w:rPr>
          <w:rFonts w:ascii="Times New Roman" w:hAnsi="Times New Roman"/>
          <w:i/>
          <w:sz w:val="20"/>
          <w:u w:val="single"/>
        </w:rPr>
        <w:t>provided</w:t>
      </w:r>
      <w:r>
        <w:rPr>
          <w:rFonts w:ascii="Times New Roman" w:hAnsi="Times New Roman"/>
          <w:sz w:val="20"/>
        </w:rPr>
        <w:t xml:space="preserve"> that if the Term SOFR determined in accordance with either of the foregoing provisions (a) or (b) of this definition would otherwise be less than zero, the Term SOFR shall be deemed zero for purposes of this Agreement. </w:t>
      </w:r>
    </w:p>
    <w:p>
      <w:pPr>
        <w:pStyle w:val="TextBody"/>
        <w:bidi w:val="0"/>
        <w:spacing w:before="240" w:after="0"/>
        <w:jc w:val="left"/>
        <w:rPr/>
      </w:pPr>
      <w:r>
        <w:rPr/>
        <w:t>“</w:t>
      </w:r>
      <w:r>
        <w:rPr>
          <w:rFonts w:ascii="Times New Roman" w:hAnsi="Times New Roman"/>
          <w:b/>
          <w:sz w:val="20"/>
          <w:u w:val="single"/>
        </w:rPr>
        <w:t>Term SOFR Loan</w:t>
      </w:r>
      <w:r>
        <w:rPr>
          <w:rFonts w:ascii="Times New Roman" w:hAnsi="Times New Roman"/>
          <w:sz w:val="20"/>
        </w:rPr>
        <w:t xml:space="preserve">” means a Committed Loan that bears interest at a rate based on clause (a) of the definition of Term SOFR. </w:t>
      </w:r>
    </w:p>
    <w:p>
      <w:pPr>
        <w:pStyle w:val="TextBody"/>
        <w:bidi w:val="0"/>
        <w:spacing w:before="240" w:after="0"/>
        <w:jc w:val="left"/>
        <w:rPr/>
      </w:pPr>
      <w:r>
        <w:rPr/>
        <w:t>“</w:t>
      </w:r>
      <w:r>
        <w:rPr>
          <w:rFonts w:ascii="Times New Roman" w:hAnsi="Times New Roman"/>
          <w:b/>
          <w:sz w:val="20"/>
          <w:u w:val="single"/>
        </w:rPr>
        <w:t>Term SOFR Screen Rate</w:t>
      </w:r>
      <w:r>
        <w:rPr>
          <w:rFonts w:ascii="Times New Roman" w:hAnsi="Times New Roman"/>
          <w:sz w:val="20"/>
        </w:rPr>
        <w:t xml:space="preserve">”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 </w:t>
      </w:r>
    </w:p>
    <w:p>
      <w:pPr>
        <w:pStyle w:val="TextBody"/>
        <w:bidi w:val="0"/>
        <w:spacing w:before="240" w:after="0"/>
        <w:jc w:val="left"/>
        <w:rPr/>
      </w:pPr>
      <w:r>
        <w:rPr/>
        <w:t>“</w:t>
      </w:r>
      <w:r>
        <w:rPr>
          <w:rFonts w:ascii="Times New Roman" w:hAnsi="Times New Roman"/>
          <w:b/>
          <w:sz w:val="20"/>
          <w:u w:val="single"/>
        </w:rPr>
        <w:t>Threshold Amount</w:t>
      </w:r>
      <w:r>
        <w:rPr>
          <w:rFonts w:ascii="Times New Roman" w:hAnsi="Times New Roman"/>
          <w:sz w:val="20"/>
        </w:rPr>
        <w:t xml:space="preserve">” means $500,000,000. </w:t>
      </w:r>
    </w:p>
    <w:p>
      <w:pPr>
        <w:pStyle w:val="TextBody"/>
        <w:bidi w:val="0"/>
        <w:spacing w:before="240" w:after="0"/>
        <w:jc w:val="left"/>
        <w:rPr/>
      </w:pPr>
      <w:r>
        <w:rPr/>
        <w:t>“</w:t>
      </w:r>
      <w:r>
        <w:rPr>
          <w:rFonts w:ascii="Times New Roman" w:hAnsi="Times New Roman"/>
          <w:b/>
          <w:sz w:val="20"/>
          <w:u w:val="single"/>
        </w:rPr>
        <w:t>Total Credit Exposure</w:t>
      </w:r>
      <w:r>
        <w:rPr>
          <w:rFonts w:ascii="Times New Roman" w:hAnsi="Times New Roman"/>
          <w:sz w:val="20"/>
        </w:rPr>
        <w:t xml:space="preserve">” means, as to any Lender at any time, the unused Commitments and Revolving Credit Exposure of such Lender at such time. </w:t>
      </w:r>
    </w:p>
    <w:p>
      <w:pPr>
        <w:pStyle w:val="TextBody"/>
        <w:bidi w:val="0"/>
        <w:spacing w:before="240" w:after="0"/>
        <w:jc w:val="left"/>
        <w:rPr/>
      </w:pPr>
      <w:r>
        <w:rPr/>
        <w:t>“</w:t>
      </w:r>
      <w:r>
        <w:rPr>
          <w:rFonts w:ascii="Times New Roman" w:hAnsi="Times New Roman"/>
          <w:b/>
          <w:sz w:val="20"/>
          <w:u w:val="single"/>
        </w:rPr>
        <w:t>Treaty Lender</w:t>
      </w:r>
      <w:r>
        <w:rPr>
          <w:rFonts w:ascii="Times New Roman" w:hAnsi="Times New Roman"/>
          <w:sz w:val="20"/>
        </w:rPr>
        <w:t xml:space="preserve">” means a Lender, other than a Lender falling within Section (b) of the definition of Qualifying Lender set out above,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treated as a resident of a Treaty State for the purposes of a Treaty (as such term is defined in the definition of “Treaty 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each Interest Payment Date, is entitled under that Treaty to the payment of interest without any deduction of Tax imposed by Ireland on interest except for this purpose it is assumed that any necessary procedural formalities are fulfilled;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carry on a business in Ireland through a permanent establishment with which that Lender’s participation in this Agreement is effectively connected. </w:t>
            </w:r>
          </w:p>
        </w:tc>
      </w:tr>
    </w:tbl>
    <w:p>
      <w:pPr>
        <w:pStyle w:val="TextBody"/>
        <w:bidi w:val="0"/>
        <w:spacing w:before="240" w:after="0"/>
        <w:jc w:val="left"/>
        <w:rPr/>
      </w:pPr>
      <w:r>
        <w:rPr/>
        <w:t>“</w:t>
      </w:r>
      <w:r>
        <w:rPr>
          <w:rFonts w:ascii="Times New Roman" w:hAnsi="Times New Roman"/>
          <w:b/>
          <w:sz w:val="20"/>
          <w:u w:val="single"/>
        </w:rPr>
        <w:t>Treaty State</w:t>
      </w:r>
      <w:r>
        <w:rPr>
          <w:rFonts w:ascii="Times New Roman" w:hAnsi="Times New Roman"/>
          <w:sz w:val="20"/>
        </w:rPr>
        <w:t>” means a territory which has entered into a double taxation agreement with Ireland (a “</w:t>
      </w:r>
      <w:r>
        <w:rPr>
          <w:rFonts w:ascii="Times New Roman" w:hAnsi="Times New Roman"/>
          <w:b/>
          <w:sz w:val="20"/>
          <w:u w:val="single"/>
        </w:rPr>
        <w:t>Treaty</w:t>
      </w:r>
      <w:r>
        <w:rPr>
          <w:rFonts w:ascii="Times New Roman" w:hAnsi="Times New Roman"/>
          <w:sz w:val="20"/>
        </w:rPr>
        <w:t xml:space="preserve">”) which is in effect and which makes provision for full exemption from income tax imposed by Ireland on interest. </w:t>
      </w:r>
    </w:p>
    <w:p>
      <w:pPr>
        <w:pStyle w:val="TextBody"/>
        <w:bidi w:val="0"/>
        <w:spacing w:before="240" w:after="0"/>
        <w:jc w:val="left"/>
        <w:rPr/>
      </w:pPr>
      <w:r>
        <w:rPr/>
        <w:t>“</w:t>
      </w:r>
      <w:r>
        <w:rPr>
          <w:rFonts w:ascii="Times New Roman" w:hAnsi="Times New Roman"/>
          <w:b/>
          <w:sz w:val="20"/>
          <w:u w:val="single"/>
        </w:rPr>
        <w:t>Type</w:t>
      </w:r>
      <w:r>
        <w:rPr>
          <w:rFonts w:ascii="Times New Roman" w:hAnsi="Times New Roman"/>
          <w:sz w:val="20"/>
        </w:rPr>
        <w:t xml:space="preserve">” means, with respect to a Committed Loan, its character as a Base Rate Loan, an Alternative Currency Daily Rate Loan, an Alternative Currency Term Rate Loan or a Term SOFR Loan. </w:t>
      </w:r>
    </w:p>
    <w:p>
      <w:pPr>
        <w:pStyle w:val="TextBody"/>
        <w:bidi w:val="0"/>
        <w:spacing w:before="240" w:after="0"/>
        <w:jc w:val="left"/>
        <w:rPr/>
      </w:pPr>
      <w:r>
        <w:rPr/>
        <w:t>“</w:t>
      </w:r>
      <w:r>
        <w:rPr>
          <w:rFonts w:ascii="Times New Roman" w:hAnsi="Times New Roman"/>
          <w:b/>
          <w:sz w:val="20"/>
          <w:u w:val="single"/>
        </w:rPr>
        <w:t>UK Financial Institution</w:t>
      </w:r>
      <w:r>
        <w:rPr>
          <w:rFonts w:ascii="Times New Roman" w:hAnsi="Times New Roman"/>
          <w:sz w:val="20"/>
        </w:rPr>
        <w:t xml:space="preserve">”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24</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b/>
          <w:sz w:val="20"/>
          <w:u w:val="single"/>
        </w:rPr>
        <w:t>Unaudited Financial Statements</w:t>
      </w:r>
      <w:r>
        <w:rPr>
          <w:rFonts w:ascii="Times New Roman" w:hAnsi="Times New Roman"/>
          <w:sz w:val="20"/>
        </w:rPr>
        <w:t xml:space="preserve">” means the unaudited consolidated balance sheets of the Company and its Subsidiaries for the fiscal quarter and the portion of the fiscal year ended May 2, 2026, and the related consolidated statements of income or operations, shareholders’ equity and cash flows for such fiscal quarter of the Company and its Subsidiaries, including the notes thereto. </w:t>
      </w:r>
    </w:p>
    <w:p>
      <w:pPr>
        <w:pStyle w:val="TextBody"/>
        <w:bidi w:val="0"/>
        <w:spacing w:before="240" w:after="0"/>
        <w:jc w:val="left"/>
        <w:rPr/>
      </w:pPr>
      <w:r>
        <w:rPr/>
        <w:t>“</w:t>
      </w:r>
      <w:r>
        <w:rPr>
          <w:rFonts w:ascii="Times New Roman" w:hAnsi="Times New Roman"/>
          <w:b/>
          <w:sz w:val="20"/>
          <w:u w:val="single"/>
        </w:rPr>
        <w:t>United States</w:t>
      </w:r>
      <w:r>
        <w:rPr>
          <w:rFonts w:ascii="Times New Roman" w:hAnsi="Times New Roman"/>
          <w:sz w:val="20"/>
        </w:rPr>
        <w:t>” and “</w:t>
      </w:r>
      <w:r>
        <w:rPr>
          <w:rFonts w:ascii="Times New Roman" w:hAnsi="Times New Roman"/>
          <w:sz w:val="20"/>
          <w:u w:val="single"/>
        </w:rPr>
        <w:t>U.S.</w:t>
      </w:r>
      <w:r>
        <w:rPr>
          <w:rFonts w:ascii="Times New Roman" w:hAnsi="Times New Roman"/>
          <w:sz w:val="20"/>
        </w:rPr>
        <w:t xml:space="preserve">” mean the United States of America. </w:t>
      </w:r>
    </w:p>
    <w:p>
      <w:pPr>
        <w:pStyle w:val="TextBody"/>
        <w:bidi w:val="0"/>
        <w:spacing w:before="240" w:after="0"/>
        <w:jc w:val="left"/>
        <w:rPr/>
      </w:pPr>
      <w:r>
        <w:rPr/>
        <w:t>“</w:t>
      </w:r>
      <w:r>
        <w:rPr>
          <w:rFonts w:ascii="Times New Roman" w:hAnsi="Times New Roman"/>
          <w:b/>
          <w:sz w:val="20"/>
          <w:u w:val="single"/>
        </w:rPr>
        <w:t>U.S. Government Securities Business Day</w:t>
      </w:r>
      <w:r>
        <w:rPr>
          <w:rFonts w:ascii="Times New Roman" w:hAnsi="Times New Roman"/>
          <w:sz w:val="20"/>
        </w:rPr>
        <w:t xml:space="preserve">”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 </w:t>
      </w:r>
    </w:p>
    <w:p>
      <w:pPr>
        <w:pStyle w:val="TextBody"/>
        <w:bidi w:val="0"/>
        <w:spacing w:before="240" w:after="0"/>
        <w:jc w:val="left"/>
        <w:rPr/>
      </w:pPr>
      <w:r>
        <w:rPr/>
        <w:t>“</w:t>
      </w:r>
      <w:r>
        <w:rPr>
          <w:rFonts w:ascii="Times New Roman" w:hAnsi="Times New Roman"/>
          <w:b/>
          <w:sz w:val="20"/>
          <w:u w:val="single"/>
        </w:rPr>
        <w:t>U.S. Person</w:t>
      </w:r>
      <w:r>
        <w:rPr>
          <w:rFonts w:ascii="Times New Roman" w:hAnsi="Times New Roman"/>
          <w:sz w:val="20"/>
        </w:rPr>
        <w:t>” means a “</w:t>
      </w:r>
      <w:r>
        <w:rPr>
          <w:rFonts w:ascii="Times New Roman" w:hAnsi="Times New Roman"/>
          <w:sz w:val="20"/>
          <w:u w:val="single"/>
        </w:rPr>
        <w:t>United States person</w:t>
      </w:r>
      <w:r>
        <w:rPr>
          <w:rFonts w:ascii="Times New Roman" w:hAnsi="Times New Roman"/>
          <w:sz w:val="20"/>
        </w:rPr>
        <w:t xml:space="preserve">” within the meaning of Section 7701(a)(30) of the Code. </w:t>
      </w:r>
    </w:p>
    <w:p>
      <w:pPr>
        <w:pStyle w:val="TextBody"/>
        <w:bidi w:val="0"/>
        <w:spacing w:before="240" w:after="0"/>
        <w:jc w:val="left"/>
        <w:rPr/>
      </w:pPr>
      <w:r>
        <w:rPr/>
        <w:t>“</w:t>
      </w:r>
      <w:r>
        <w:rPr>
          <w:rFonts w:ascii="Times New Roman" w:hAnsi="Times New Roman"/>
          <w:b/>
          <w:sz w:val="20"/>
          <w:u w:val="single"/>
        </w:rPr>
        <w:t>U.S. Special Resolution Regimes</w:t>
      </w:r>
      <w:r>
        <w:rPr>
          <w:rFonts w:ascii="Times New Roman" w:hAnsi="Times New Roman"/>
          <w:sz w:val="20"/>
        </w:rPr>
        <w:t xml:space="preserve">” has the meaning specified in </w:t>
      </w:r>
      <w:r>
        <w:rPr>
          <w:rFonts w:ascii="Times New Roman" w:hAnsi="Times New Roman"/>
          <w:sz w:val="20"/>
          <w:u w:val="single"/>
        </w:rPr>
        <w:t>Section 10.20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USA PATRIOT Act</w:t>
      </w:r>
      <w:r>
        <w:rPr>
          <w:rFonts w:ascii="Times New Roman" w:hAnsi="Times New Roman"/>
          <w:sz w:val="20"/>
        </w:rPr>
        <w:t xml:space="preserve">” means the Uniting and Strengthening America by Providing Appropriate Tools Required to Intercept and Obstruct Terrorism Act of 2001. </w:t>
      </w:r>
    </w:p>
    <w:p>
      <w:pPr>
        <w:pStyle w:val="TextBody"/>
        <w:bidi w:val="0"/>
        <w:spacing w:before="240" w:after="0"/>
        <w:jc w:val="left"/>
        <w:rPr/>
      </w:pPr>
      <w:r>
        <w:rPr/>
        <w:t>“</w:t>
      </w:r>
      <w:r>
        <w:rPr>
          <w:rFonts w:ascii="Times New Roman" w:hAnsi="Times New Roman"/>
          <w:b/>
          <w:sz w:val="20"/>
          <w:u w:val="single"/>
        </w:rPr>
        <w:t>wholly-owned</w:t>
      </w:r>
      <w:r>
        <w:rPr>
          <w:rFonts w:ascii="Times New Roman" w:hAnsi="Times New Roman"/>
          <w:sz w:val="20"/>
        </w:rPr>
        <w:t xml:space="preserve">” means, when used in reference to any Subsidiary, that 100% of the issued and outstanding Equity Interests (other than qualifying shares required in connection with a Subsidiary organized and domiciled outside of the United States) of such Subsidiary are at the time owned, directly or indirectly, by the Company. </w:t>
      </w:r>
    </w:p>
    <w:p>
      <w:pPr>
        <w:pStyle w:val="TextBody"/>
        <w:bidi w:val="0"/>
        <w:spacing w:before="240" w:after="0"/>
        <w:jc w:val="left"/>
        <w:rPr/>
      </w:pPr>
      <w:r>
        <w:rPr/>
        <w:t>“</w:t>
      </w:r>
      <w:r>
        <w:rPr>
          <w:rFonts w:ascii="Times New Roman" w:hAnsi="Times New Roman"/>
          <w:b/>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b/>
          <w:sz w:val="20"/>
        </w:rPr>
        <w:t>1.02</w:t>
      </w:r>
      <w:r>
        <w:rPr>
          <w:rFonts w:ascii="Times New Roman" w:hAnsi="Times New Roman"/>
          <w:sz w:val="20"/>
        </w:rPr>
        <w:t xml:space="preserve"> </w:t>
      </w:r>
      <w:r>
        <w:rPr>
          <w:rFonts w:ascii="Times New Roman" w:hAnsi="Times New Roman"/>
          <w:b/>
          <w:sz w:val="20"/>
          <w:u w:val="single"/>
        </w:rPr>
        <w:t>Other Interpretive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reference to this Agreement and each other Loan Document, unless otherwise specified herein or in such other Loan Document: </w:t>
      </w:r>
    </w:p>
    <w:p>
      <w:pPr>
        <w:pStyle w:val="TextBody"/>
        <w:bidi w:val="0"/>
        <w:spacing w:before="120" w:after="0"/>
        <w:jc w:val="left"/>
        <w:rPr>
          <w:rFonts w:ascii="Times New Roman" w:hAnsi="Times New Roman"/>
          <w:sz w:val="20"/>
        </w:rPr>
      </w:pPr>
      <w:r>
        <w:rPr>
          <w:rFonts w:ascii="Times New Roman" w:hAnsi="Times New Roman"/>
          <w:sz w:val="20"/>
        </w:rPr>
        <w:t>(a) The definitions of terms herein shall apply equally to the singular and plural forms of the terms defined. Whenever the context may require, any pronoun shall include the corresponding masculine, feminine and neuter forms. The words “</w:t>
      </w:r>
      <w:r>
        <w:rPr>
          <w:rFonts w:ascii="Times New Roman" w:hAnsi="Times New Roman"/>
          <w:sz w:val="20"/>
          <w:u w:val="single"/>
        </w:rPr>
        <w:t>include</w:t>
      </w:r>
      <w:r>
        <w:rPr>
          <w:rFonts w:ascii="Times New Roman" w:hAnsi="Times New Roman"/>
          <w:sz w:val="20"/>
        </w:rPr>
        <w:t>”, “</w:t>
      </w:r>
      <w:r>
        <w:rPr>
          <w:rFonts w:ascii="Times New Roman" w:hAnsi="Times New Roman"/>
          <w:sz w:val="20"/>
          <w:u w:val="single"/>
        </w:rPr>
        <w:t>includes</w:t>
      </w:r>
      <w:r>
        <w:rPr>
          <w:rFonts w:ascii="Times New Roman" w:hAnsi="Times New Roman"/>
          <w:sz w:val="20"/>
        </w:rPr>
        <w:t>” and “</w:t>
      </w:r>
      <w:r>
        <w:rPr>
          <w:rFonts w:ascii="Times New Roman" w:hAnsi="Times New Roman"/>
          <w:sz w:val="20"/>
          <w:u w:val="single"/>
        </w:rPr>
        <w:t>including</w:t>
      </w:r>
      <w:r>
        <w:rPr>
          <w:rFonts w:ascii="Times New Roman" w:hAnsi="Times New Roman"/>
          <w:sz w:val="20"/>
        </w:rPr>
        <w:t>” shall be deemed to be followed by the phrase “without limitation”. The word “</w:t>
      </w:r>
      <w:r>
        <w:rPr>
          <w:rFonts w:ascii="Times New Roman" w:hAnsi="Times New Roman"/>
          <w:sz w:val="20"/>
          <w:u w:val="single"/>
        </w:rPr>
        <w:t>will</w:t>
      </w:r>
      <w:r>
        <w:rPr>
          <w:rFonts w:ascii="Times New Roman" w:hAnsi="Times New Roman"/>
          <w:sz w:val="20"/>
        </w:rPr>
        <w:t xml:space="preserve">” shall be construed to have the same meaning and effect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25</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as the word “</w:t>
      </w:r>
      <w:r>
        <w:rPr>
          <w:rFonts w:ascii="Times New Roman" w:hAnsi="Times New Roman"/>
          <w:sz w:val="20"/>
          <w:u w:val="single"/>
        </w:rPr>
        <w:t>shall</w:t>
      </w:r>
      <w:r>
        <w:rPr>
          <w:rFonts w:ascii="Times New Roman" w:hAnsi="Times New Roman"/>
          <w:sz w:val="20"/>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hAnsi="Times New Roman"/>
          <w:sz w:val="20"/>
          <w:u w:val="single"/>
        </w:rPr>
        <w:t>herein</w:t>
      </w:r>
      <w:r>
        <w:rPr>
          <w:rFonts w:ascii="Times New Roman" w:hAnsi="Times New Roman"/>
          <w:sz w:val="20"/>
        </w:rPr>
        <w:t>”, “</w:t>
      </w:r>
      <w:r>
        <w:rPr>
          <w:rFonts w:ascii="Times New Roman" w:hAnsi="Times New Roman"/>
          <w:sz w:val="20"/>
          <w:u w:val="single"/>
        </w:rPr>
        <w:t>hereof</w:t>
      </w:r>
      <w:r>
        <w:rPr>
          <w:rFonts w:ascii="Times New Roman" w:hAnsi="Times New Roman"/>
          <w:sz w:val="20"/>
        </w:rPr>
        <w:t>” and “</w:t>
      </w:r>
      <w:r>
        <w:rPr>
          <w:rFonts w:ascii="Times New Roman" w:hAnsi="Times New Roman"/>
          <w:sz w:val="20"/>
          <w:u w:val="single"/>
        </w:rPr>
        <w:t>hereunder</w:t>
      </w:r>
      <w:r>
        <w:rPr>
          <w:rFonts w:ascii="Times New Roman" w:hAnsi="Times New Roman"/>
          <w:sz w:val="20"/>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hAnsi="Times New Roman"/>
          <w:sz w:val="20"/>
          <w:u w:val="single"/>
        </w:rPr>
        <w:t>asset</w:t>
      </w:r>
      <w:r>
        <w:rPr>
          <w:rFonts w:ascii="Times New Roman" w:hAnsi="Times New Roman"/>
          <w:sz w:val="20"/>
        </w:rPr>
        <w:t>” and “</w:t>
      </w:r>
      <w:r>
        <w:rPr>
          <w:rFonts w:ascii="Times New Roman" w:hAnsi="Times New Roman"/>
          <w:sz w:val="20"/>
          <w:u w:val="single"/>
        </w:rPr>
        <w:t>property</w:t>
      </w:r>
      <w:r>
        <w:rPr>
          <w:rFonts w:ascii="Times New Roman" w:hAnsi="Times New Roman"/>
          <w:sz w:val="20"/>
        </w:rPr>
        <w:t xml:space="preserve">” shall be construed to have the same meaning and effect and to refer to any and all tangible and intangible assets and properties, including cash, securities, accounts and contract rights. </w:t>
      </w:r>
    </w:p>
    <w:p>
      <w:pPr>
        <w:pStyle w:val="TextBody"/>
        <w:bidi w:val="0"/>
        <w:spacing w:before="240" w:after="0"/>
        <w:jc w:val="left"/>
        <w:rPr>
          <w:rFonts w:ascii="Times New Roman" w:hAnsi="Times New Roman"/>
          <w:sz w:val="20"/>
        </w:rPr>
      </w:pPr>
      <w:r>
        <w:rPr>
          <w:rFonts w:ascii="Times New Roman" w:hAnsi="Times New Roman"/>
          <w:sz w:val="20"/>
        </w:rPr>
        <w:t>(b) In the computation of periods of time from a specified date to a later specified date, the word “</w:t>
      </w:r>
      <w:r>
        <w:rPr>
          <w:rFonts w:ascii="Times New Roman" w:hAnsi="Times New Roman"/>
          <w:sz w:val="20"/>
          <w:u w:val="single"/>
        </w:rPr>
        <w:t>from</w:t>
      </w:r>
      <w:r>
        <w:rPr>
          <w:rFonts w:ascii="Times New Roman" w:hAnsi="Times New Roman"/>
          <w:sz w:val="20"/>
        </w:rPr>
        <w:t>” means “</w:t>
      </w:r>
      <w:r>
        <w:rPr>
          <w:rFonts w:ascii="Times New Roman" w:hAnsi="Times New Roman"/>
          <w:sz w:val="20"/>
          <w:u w:val="single"/>
        </w:rPr>
        <w:t>from and including</w:t>
      </w:r>
      <w:r>
        <w:rPr>
          <w:rFonts w:ascii="Times New Roman" w:hAnsi="Times New Roman"/>
          <w:sz w:val="20"/>
        </w:rPr>
        <w:t>”; the words “to” and “</w:t>
      </w:r>
      <w:r>
        <w:rPr>
          <w:rFonts w:ascii="Times New Roman" w:hAnsi="Times New Roman"/>
          <w:sz w:val="20"/>
          <w:u w:val="single"/>
        </w:rPr>
        <w:t>until</w:t>
      </w:r>
      <w:r>
        <w:rPr>
          <w:rFonts w:ascii="Times New Roman" w:hAnsi="Times New Roman"/>
          <w:sz w:val="20"/>
        </w:rPr>
        <w:t>” each mean “</w:t>
      </w:r>
      <w:r>
        <w:rPr>
          <w:rFonts w:ascii="Times New Roman" w:hAnsi="Times New Roman"/>
          <w:sz w:val="20"/>
          <w:u w:val="single"/>
        </w:rPr>
        <w:t>to but excluding</w:t>
      </w:r>
      <w:r>
        <w:rPr>
          <w:rFonts w:ascii="Times New Roman" w:hAnsi="Times New Roman"/>
          <w:sz w:val="20"/>
        </w:rPr>
        <w:t>”; and the word “</w:t>
      </w:r>
      <w:r>
        <w:rPr>
          <w:rFonts w:ascii="Times New Roman" w:hAnsi="Times New Roman"/>
          <w:sz w:val="20"/>
          <w:u w:val="single"/>
        </w:rPr>
        <w:t>through</w:t>
      </w:r>
      <w:r>
        <w:rPr>
          <w:rFonts w:ascii="Times New Roman" w:hAnsi="Times New Roman"/>
          <w:sz w:val="20"/>
        </w:rPr>
        <w:t>” means “</w:t>
      </w:r>
      <w:r>
        <w:rPr>
          <w:rFonts w:ascii="Times New Roman" w:hAnsi="Times New Roman"/>
          <w:sz w:val="20"/>
          <w:u w:val="single"/>
        </w:rPr>
        <w:t>to and including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Section headings herein and in the other Loan Documents are included for convenience of reference only and shall not affect the interpretation of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(d) Any reference herein to a merger,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 </w:t>
      </w:r>
    </w:p>
    <w:p>
      <w:pPr>
        <w:pStyle w:val="TextBody"/>
        <w:bidi w:val="0"/>
        <w:spacing w:before="240" w:after="0"/>
        <w:jc w:val="left"/>
        <w:rPr>
          <w:rFonts w:ascii="Times New Roman" w:hAnsi="Times New Roman"/>
          <w:sz w:val="20"/>
        </w:rPr>
      </w:pPr>
      <w:r>
        <w:rPr>
          <w:rFonts w:ascii="Times New Roman" w:hAnsi="Times New Roman"/>
          <w:b/>
          <w:sz w:val="20"/>
        </w:rPr>
        <w:t>1.03</w:t>
      </w:r>
      <w:r>
        <w:rPr>
          <w:rFonts w:ascii="Times New Roman" w:hAnsi="Times New Roman"/>
          <w:sz w:val="20"/>
        </w:rPr>
        <w:t xml:space="preserve"> </w:t>
      </w:r>
      <w:r>
        <w:rPr>
          <w:rFonts w:ascii="Times New Roman" w:hAnsi="Times New Roman"/>
          <w:b/>
          <w:sz w:val="20"/>
          <w:u w:val="single"/>
        </w:rPr>
        <w:t>Accounting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w:t>
      </w:r>
      <w:r>
        <w:rPr>
          <w:rFonts w:ascii="Times New Roman" w:hAnsi="Times New Roman"/>
          <w:sz w:val="20"/>
          <w:u w:val="single"/>
        </w:rPr>
        <w:t>except</w:t>
      </w:r>
      <w:r>
        <w:rPr>
          <w:rFonts w:ascii="Times New Roman" w:hAnsi="Times New Roman"/>
          <w:sz w:val="20"/>
        </w:rPr>
        <w:t xml:space="preserve"> as otherwise specifically prescribed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Changes in GAAP</w:t>
      </w:r>
      <w:r>
        <w:rPr>
          <w:rFonts w:ascii="Times New Roman" w:hAnsi="Times New Roman"/>
          <w:sz w:val="20"/>
        </w:rPr>
        <w:t xml:space="preserve">. If at any time any change in GAAP (including the early adoption by the Company of any provision of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hAnsi="Times New Roman"/>
          <w:sz w:val="20"/>
          <w:u w:val="single"/>
        </w:rPr>
        <w:t>provided</w:t>
      </w:r>
      <w:r>
        <w:rPr>
          <w:rFonts w:ascii="Times New Roman" w:hAnsi="Times New Roman"/>
          <w:sz w:val="20"/>
        </w:rPr>
        <w:t xml:space="preserve"> that,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foregoing, for the purposes of this Agreement leases shall continue to be classified and accounted for on a basis consistent with GAAP as in effect as of December 31, 2017, notwithstanding any change in GAAP related thereto (including pursuant to Accounting Standard Codification Topic 842) and the Company shall not be required to provide any reconciliation thereof to GAAP. For the avoidance of doubt, the impact of FASB ASC 606 on revenue recognition shall be given effect.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26</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Consolidation of Variable Interest Entities</w:t>
      </w:r>
      <w:r>
        <w:rPr>
          <w:rFonts w:ascii="Times New Roman" w:hAnsi="Times New Roman"/>
          <w:sz w:val="20"/>
        </w:rPr>
        <w:t xml:space="preserve">.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Interpretation No. 46 – Consolidation of Variable Interest Entities: an interpretation of ARB No. 51 (January 2003) as if such variable interest entity were a Subsidiary as defined herein. </w:t>
      </w:r>
    </w:p>
    <w:p>
      <w:pPr>
        <w:pStyle w:val="TextBody"/>
        <w:bidi w:val="0"/>
        <w:spacing w:before="240" w:after="0"/>
        <w:jc w:val="left"/>
        <w:rPr>
          <w:rFonts w:ascii="Times New Roman" w:hAnsi="Times New Roman"/>
          <w:sz w:val="20"/>
        </w:rPr>
      </w:pPr>
      <w:r>
        <w:rPr>
          <w:rFonts w:ascii="Times New Roman" w:hAnsi="Times New Roman"/>
          <w:b/>
          <w:sz w:val="20"/>
        </w:rPr>
        <w:t>1.04</w:t>
      </w:r>
      <w:r>
        <w:rPr>
          <w:rFonts w:ascii="Times New Roman" w:hAnsi="Times New Roman"/>
          <w:sz w:val="20"/>
        </w:rPr>
        <w:t xml:space="preserve"> </w:t>
      </w:r>
      <w:r>
        <w:rPr>
          <w:rFonts w:ascii="Times New Roman" w:hAnsi="Times New Roman"/>
          <w:b/>
          <w:sz w:val="20"/>
          <w:u w:val="single"/>
        </w:rPr>
        <w:t>Rounding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w:t>
      </w:r>
    </w:p>
    <w:p>
      <w:pPr>
        <w:pStyle w:val="TextBody"/>
        <w:bidi w:val="0"/>
        <w:spacing w:before="240" w:after="0"/>
        <w:jc w:val="left"/>
        <w:rPr>
          <w:rFonts w:ascii="Times New Roman" w:hAnsi="Times New Roman"/>
          <w:sz w:val="20"/>
        </w:rPr>
      </w:pPr>
      <w:r>
        <w:rPr>
          <w:rFonts w:ascii="Times New Roman" w:hAnsi="Times New Roman"/>
          <w:b/>
          <w:sz w:val="20"/>
        </w:rPr>
        <w:t>1.05</w:t>
      </w:r>
      <w:r>
        <w:rPr>
          <w:rFonts w:ascii="Times New Roman" w:hAnsi="Times New Roman"/>
          <w:sz w:val="20"/>
        </w:rPr>
        <w:t xml:space="preserve"> </w:t>
      </w:r>
      <w:r>
        <w:rPr>
          <w:rFonts w:ascii="Times New Roman" w:hAnsi="Times New Roman"/>
          <w:b/>
          <w:sz w:val="20"/>
          <w:u w:val="single"/>
        </w:rPr>
        <w:t>Times of Day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all references herein to times of day shall be references to Eastern time (daylight or standard, as applicable). </w:t>
      </w:r>
    </w:p>
    <w:p>
      <w:pPr>
        <w:pStyle w:val="TextBody"/>
        <w:bidi w:val="0"/>
        <w:spacing w:before="240" w:after="0"/>
        <w:jc w:val="left"/>
        <w:rPr>
          <w:rFonts w:ascii="Times New Roman" w:hAnsi="Times New Roman"/>
          <w:sz w:val="20"/>
        </w:rPr>
      </w:pPr>
      <w:r>
        <w:rPr>
          <w:rFonts w:ascii="Times New Roman" w:hAnsi="Times New Roman"/>
          <w:b/>
          <w:sz w:val="20"/>
        </w:rPr>
        <w:t>1.06</w:t>
      </w:r>
      <w:r>
        <w:rPr>
          <w:rFonts w:ascii="Times New Roman" w:hAnsi="Times New Roman"/>
          <w:sz w:val="20"/>
        </w:rPr>
        <w:t xml:space="preserve"> </w:t>
      </w:r>
      <w:r>
        <w:rPr>
          <w:rFonts w:ascii="Times New Roman" w:hAnsi="Times New Roman"/>
          <w:b/>
          <w:sz w:val="20"/>
          <w:u w:val="single"/>
        </w:rPr>
        <w:t>Exchange Rates; Currency Equivalents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shall determine the Spot Rates as of each Revaluation Date to be used for calculating Dollar Equivalent amounts of Committed Borrowings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determined in accordance with the prior sentence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hAnsi="Times New Roman"/>
          <w:b/>
          <w:sz w:val="20"/>
        </w:rPr>
        <w:t>(</w:t>
      </w:r>
      <w:r>
        <w:rPr>
          <w:rFonts w:ascii="Times New Roman" w:hAnsi="Times New Roman"/>
          <w:sz w:val="20"/>
        </w:rPr>
        <w:t xml:space="preserve">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27</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1.07</w:t>
      </w:r>
      <w:r>
        <w:rPr>
          <w:rFonts w:ascii="Times New Roman" w:hAnsi="Times New Roman"/>
          <w:sz w:val="20"/>
        </w:rPr>
        <w:t xml:space="preserve"> </w:t>
      </w:r>
      <w:r>
        <w:rPr>
          <w:rFonts w:ascii="Times New Roman" w:hAnsi="Times New Roman"/>
          <w:b/>
          <w:sz w:val="20"/>
          <w:u w:val="single"/>
        </w:rPr>
        <w:t>Additional Alternate Currencies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may from time to time request that Alternative Currency Daily Rate Loans and/or Alternative Currency Term Rate Loans be made in a currency other than those specifically listed in the definition of “Alternative Currency”;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such requested currency is an Eligible Currency. In the case of any such request with respect to the making of Alternative Currency Daily Rate Loans and/or Alternative Currency Term Rate Loans, such request shall be subject to the approval of the Administrative Agent and each Lender. </w:t>
      </w:r>
    </w:p>
    <w:p>
      <w:pPr>
        <w:pStyle w:val="TextBody"/>
        <w:bidi w:val="0"/>
        <w:spacing w:before="240" w:after="0"/>
        <w:jc w:val="left"/>
        <w:rPr>
          <w:rFonts w:ascii="Times New Roman" w:hAnsi="Times New Roman"/>
          <w:sz w:val="20"/>
        </w:rPr>
      </w:pPr>
      <w:r>
        <w:rPr>
          <w:rFonts w:ascii="Times New Roman" w:hAnsi="Times New Roman"/>
          <w:sz w:val="20"/>
        </w:rPr>
        <w:t xml:space="preserve">(b) Any such request shall be made to the Administrative Agent not later than 11:00 a.m., twenty (20) Business Days prior to the date of the desired Committed Borrowing (or such other time or date as may be agreed by the Administrative Agent in its sole discretion). In the case of any such request pertaining to Alternative Currency Daily Rate Loans and/or Alternative Currency Term Rate Loans, the Administrative Agent shall promptly notify each Lender thereof. Each Lender (in the case of any such request pertaining to Alternative Currency Daily Rate Loans and/or Alternative Currency Term Rate Loans) shall notify the Administrative Agent, not later than 11:00 a.m., ten (10) Business Days after receipt of such request whether it consents, in its sole discretion, to the making of Alternative Currency Daily Rate Loans and/or Alternative Currency Term Rate Loans, as the case may be, in such requested currency. </w:t>
      </w:r>
    </w:p>
    <w:p>
      <w:pPr>
        <w:pStyle w:val="TextBody"/>
        <w:bidi w:val="0"/>
        <w:spacing w:before="240" w:after="0"/>
        <w:jc w:val="left"/>
        <w:rPr>
          <w:rFonts w:ascii="Times New Roman" w:hAnsi="Times New Roman"/>
          <w:sz w:val="20"/>
        </w:rPr>
      </w:pPr>
      <w:r>
        <w:rPr>
          <w:rFonts w:ascii="Times New Roman" w:hAnsi="Times New Roman"/>
          <w:sz w:val="20"/>
        </w:rPr>
        <w:t xml:space="preserve">(c) Any failure by a Lender to respond to such request within the time period specified in </w:t>
      </w:r>
      <w:r>
        <w:rPr>
          <w:rFonts w:ascii="Times New Roman" w:hAnsi="Times New Roman"/>
          <w:sz w:val="20"/>
          <w:u w:val="single"/>
        </w:rPr>
        <w:t>Section 1.07(b)</w:t>
      </w:r>
      <w:r>
        <w:rPr>
          <w:rFonts w:ascii="Times New Roman" w:hAnsi="Times New Roman"/>
          <w:sz w:val="20"/>
        </w:rPr>
        <w:t xml:space="preserve"> shall be deemed to be a refusal by such Lender to permit Alternative Currency Daily Rate Loans and/or Alternative Currency Term Rate Loans to be made in such requested currency. If the Administrative Agent and all the Lenders consent to making Alternative Currency Daily Rate Loans and/or Alternative Currency Term Rate Loans in such requested currency, the Administrative Agent shall so notify the Company and such currency shall thereupon be deemed for all purposes to be an Alternative Currency hereunder for purposes of any Committed Borrowings of Alternative Currency Daily Rate Loans and/or Alternative Currency Term Rate Loans. If the Administrative Agent shall fail to obtain consent to any request for an additional currency under this </w:t>
      </w:r>
      <w:r>
        <w:rPr>
          <w:rFonts w:ascii="Times New Roman" w:hAnsi="Times New Roman"/>
          <w:sz w:val="20"/>
          <w:u w:val="single"/>
        </w:rPr>
        <w:t>Section 1.07</w:t>
      </w:r>
      <w:r>
        <w:rPr>
          <w:rFonts w:ascii="Times New Roman" w:hAnsi="Times New Roman"/>
          <w:sz w:val="20"/>
        </w:rPr>
        <w:t xml:space="preserve">, the Administrative Agent shall promptly so notify the Company. </w:t>
      </w:r>
    </w:p>
    <w:p>
      <w:pPr>
        <w:pStyle w:val="TextBody"/>
        <w:bidi w:val="0"/>
        <w:spacing w:before="240" w:after="0"/>
        <w:jc w:val="left"/>
        <w:rPr>
          <w:rFonts w:ascii="Times New Roman" w:hAnsi="Times New Roman"/>
          <w:sz w:val="20"/>
        </w:rPr>
      </w:pPr>
      <w:r>
        <w:rPr>
          <w:rFonts w:ascii="Times New Roman" w:hAnsi="Times New Roman"/>
          <w:b/>
          <w:sz w:val="20"/>
        </w:rPr>
        <w:t>1.08</w:t>
      </w:r>
      <w:r>
        <w:rPr>
          <w:rFonts w:ascii="Times New Roman" w:hAnsi="Times New Roman"/>
          <w:sz w:val="20"/>
        </w:rPr>
        <w:t xml:space="preserve"> </w:t>
      </w:r>
      <w:r>
        <w:rPr>
          <w:rFonts w:ascii="Times New Roman" w:hAnsi="Times New Roman"/>
          <w:b/>
          <w:sz w:val="20"/>
          <w:u w:val="single"/>
        </w:rPr>
        <w:t>Change of Currency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provided that if any Committed Borrowing in the currency of such member state is outstanding immediately prior to such date, such replacement shall take effect, with respect to such Committed Borrowing, at the end of the then current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(b) 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28</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THE COMMITMENTS AND COMMITTED BORROWINGS </w:t>
      </w:r>
    </w:p>
    <w:p>
      <w:pPr>
        <w:pStyle w:val="TextBody"/>
        <w:bidi w:val="0"/>
        <w:spacing w:before="240" w:after="0"/>
        <w:jc w:val="left"/>
        <w:rPr>
          <w:rFonts w:ascii="Times New Roman" w:hAnsi="Times New Roman"/>
          <w:sz w:val="20"/>
        </w:rPr>
      </w:pPr>
      <w:r>
        <w:rPr>
          <w:rFonts w:ascii="Times New Roman" w:hAnsi="Times New Roman"/>
          <w:b/>
          <w:sz w:val="20"/>
        </w:rPr>
        <w:t>2.01</w:t>
      </w:r>
      <w:r>
        <w:rPr>
          <w:rFonts w:ascii="Times New Roman" w:hAnsi="Times New Roman"/>
          <w:sz w:val="20"/>
        </w:rPr>
        <w:t xml:space="preserve"> </w:t>
      </w:r>
      <w:r>
        <w:rPr>
          <w:rFonts w:ascii="Times New Roman" w:hAnsi="Times New Roman"/>
          <w:b/>
          <w:sz w:val="20"/>
          <w:u w:val="single"/>
        </w:rPr>
        <w:t>Committed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Subject to the terms and conditions set forth herein, each Lender severally agrees to make loans (each such loan, a “</w:t>
      </w:r>
      <w:r>
        <w:rPr>
          <w:rFonts w:ascii="Times New Roman" w:hAnsi="Times New Roman"/>
          <w:sz w:val="20"/>
          <w:u w:val="single"/>
        </w:rPr>
        <w:t>Committed Loan</w:t>
      </w:r>
      <w:r>
        <w:rPr>
          <w:rFonts w:ascii="Times New Roman" w:hAnsi="Times New Roman"/>
          <w:sz w:val="20"/>
        </w:rPr>
        <w:t xml:space="preserve">”) to the Borrowers in Dollars or in one or more Alternative Currencies, from time to time, on any Business Day during the Availability Period, in an aggregate amount not to exceed at any time outstanding the amount of such Lender’s Commitment;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giving effect to any Committed Borrowing, (a) the Outstanding Amount shall not exceed the Aggregate Commitments and (b) the Revolving Credit Exposure of any Lender shall not exceed such Lender’s Commitment. Within the limits of each Lender’s Commitment, and subject to the other terms and conditions hereof, the Borrowers may borrow under this </w:t>
      </w:r>
      <w:r>
        <w:rPr>
          <w:rFonts w:ascii="Times New Roman" w:hAnsi="Times New Roman"/>
          <w:sz w:val="20"/>
          <w:u w:val="single"/>
        </w:rPr>
        <w:t>Section 2.01</w:t>
      </w:r>
      <w:r>
        <w:rPr>
          <w:rFonts w:ascii="Times New Roman" w:hAnsi="Times New Roman"/>
          <w:sz w:val="20"/>
        </w:rPr>
        <w:t xml:space="preserve">, prepay under </w:t>
      </w:r>
      <w:r>
        <w:rPr>
          <w:rFonts w:ascii="Times New Roman" w:hAnsi="Times New Roman"/>
          <w:sz w:val="20"/>
          <w:u w:val="single"/>
        </w:rPr>
        <w:t>Section 2.05</w:t>
      </w:r>
      <w:r>
        <w:rPr>
          <w:rFonts w:ascii="Times New Roman" w:hAnsi="Times New Roman"/>
          <w:sz w:val="20"/>
        </w:rPr>
        <w:t xml:space="preserve">, and reborrow under this </w:t>
      </w:r>
      <w:r>
        <w:rPr>
          <w:rFonts w:ascii="Times New Roman" w:hAnsi="Times New Roman"/>
          <w:sz w:val="20"/>
          <w:u w:val="single"/>
        </w:rPr>
        <w:t>Section 2.01</w:t>
      </w:r>
      <w:r>
        <w:rPr>
          <w:rFonts w:ascii="Times New Roman" w:hAnsi="Times New Roman"/>
          <w:sz w:val="20"/>
        </w:rPr>
        <w:t xml:space="preserve">. Committed Loans may be Base Rate Loans, Term SOFR Loans, Alternative Currency Daily Rate Loans or Alternative Currency Term Rate Loans, as further provided herein. </w:t>
      </w:r>
    </w:p>
    <w:p>
      <w:pPr>
        <w:pStyle w:val="TextBody"/>
        <w:bidi w:val="0"/>
        <w:spacing w:before="240" w:after="0"/>
        <w:jc w:val="left"/>
        <w:rPr>
          <w:rFonts w:ascii="Times New Roman" w:hAnsi="Times New Roman"/>
          <w:sz w:val="20"/>
        </w:rPr>
      </w:pPr>
      <w:r>
        <w:rPr>
          <w:rFonts w:ascii="Times New Roman" w:hAnsi="Times New Roman"/>
          <w:b/>
          <w:sz w:val="20"/>
        </w:rPr>
        <w:t>2.02</w:t>
      </w:r>
      <w:r>
        <w:rPr>
          <w:rFonts w:ascii="Times New Roman" w:hAnsi="Times New Roman"/>
          <w:sz w:val="20"/>
        </w:rPr>
        <w:t xml:space="preserve"> </w:t>
      </w:r>
      <w:r>
        <w:rPr>
          <w:rFonts w:ascii="Times New Roman" w:hAnsi="Times New Roman"/>
          <w:b/>
          <w:sz w:val="20"/>
          <w:u w:val="single"/>
        </w:rPr>
        <w:t>Committed Borrowings, Conversions and Continuations of Committed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Committed Borrowing, each conversion of Committed Loans from one Type to the other, and each continuation of Term SOFR Loans or Alternative Currency Term Rate Loans shall be made upon the applicable Borrower’s irrevocable notice to the Administrative Agent, which may be given by (A) telephone, or (B) a Committed Loan Notice; </w:t>
      </w:r>
      <w:r>
        <w:rPr>
          <w:rFonts w:ascii="Times New Roman" w:hAnsi="Times New Roman"/>
          <w:sz w:val="20"/>
          <w:u w:val="single"/>
        </w:rPr>
        <w:t>provided</w:t>
      </w:r>
      <w:r>
        <w:rPr>
          <w:rFonts w:ascii="Times New Roman" w:hAnsi="Times New Roman"/>
          <w:sz w:val="20"/>
        </w:rPr>
        <w:t xml:space="preserve"> that any telephonic notice must be confirmed promptly by delivery to the Administrative Agent of a Committed Loan Notice. Each such notice must be received by the Administrative Agent not later than 11:00 a.m. (i) two Business Days prior to the requested date of any Committed Borrowing of, conversion to or continuation of Term SOFR Loans denominated in Dollars or of any conversion of Term SOFR Loans denominated in Dollars to Base Rate Committed Loans, (ii) three Business Days (or five Business Days in the case of a Special Notice Currency) prior to the requested date of any Committed Borrowing of or continuation of, as applicable, Alternative Currency Loans and (iii) on the requested date of any Committed Borrowing of Base Rate Committed Loans;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applicable Borrower wishes to request Term SOFR Loans or Alternative Currency Term Rate Loans having an Interest Period other than one, three or six months in duration as provided in the definition of “Interest Period,” the applicable notice must be received by the Administrative Agent not later than 11:00 a.m., (i) four Business Days prior to the requested date of such Committed Borrowing of, conversion to or continuation of such Term SOFR Loans, or (ii) five Business Days (or six Business Days in the case of a Special Notice Currency) prior to the requested date of such Committed Borrowing of or continuation of such Alternative Currency Term Rate Loans, whereupon the Administrative Agent shall give prompt notice to the Lenders of such request and determine whether the requested Interest Period is acceptable to all of them. Not later than 11:00 a.m. (i) three Business Days prior to the requested date of such Committed Borrowing of, conversion to or continuation of such Term SOFR Loans, or (ii) four Business Days (or five Business Days in the case of a Special Notice Currency) prior to the requested date of such Committed Borrowing or continuation of such Alternative Currency Term Rate Loans, the Administrative Agent shall notify such Borrower (which notice may be by telephone) whether or not the requested Interest Period has been consented to by all the Lenders. Each Committed Borrowing of or conversion to Term SOFR Loans, Alternative Currencies Daily Rate Loans and Alternative Currency Term Rate Loans or continuation of Term SOFR Loans or Alternative Currency Term Rate Loans shall be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29</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a principal amount of the Dollar Equivalent of $500,000 or a whole multiple of the Dollar Equivalent of $100,000 in excess thereof. Each Committed Borrowing of or conversion to Base Rate Committed Loans shall be in a principal amount of the Dollar Equivalent of $500,000 or a whole multiple of the Dollar Equivalent of $100,000 in excess thereof. Each Committed Loan Notice (whether telephonic or written) shall specify (i) whether the applicable Borrower is requesting a Committed Borrowing, a conversion of Committed Loans from one Type to the other, or a continuation of Term SOFR Loans or Alternative Currency Term Rate Loans, (ii) the requested date of the Committed Borrowing, conversion or continuation, as the case may be (which shall be a Business Day), (iii) the principal amount of Committed Loans to be borrowed, converted or continued, (iv) the Type of Committed Loans to be borrowed or to which existing Committed Loans are to be converted, (v) if applicable, the duration of the Interest Period with respect thereto, (vi) the currency of the Loans to be borrowed, and (vii) the applicable Borrower. If the Company fails to specify a currency in a Committed Loan Notice requesting a Committed Borrowing, then the Committed Loans so requested shall be made in Dollars. If the applicable Borrower fails to specify a Type of Committed Loan in a Committed Loan Notice or if the applicable Borrower fails to give a timely notice requesting a conversion or continuation, then the applicable Committed Loans shall be made as, or converted to, Base Rate Loans;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a failure to specify a Type or to timely request a continuation of Alternative Currency Term Rate Loans in any Alternative Currency, such Alternative Currency Term Rate Loans shall be made as, or continued as, Alternative Currency Term Rate Loans in their original currency with an Interest Period of one (1) month. Any automatic conversion to Base Rate Loans shall be effective as of the last day of the Interest Period then in effect with respect to the applicable Term SOFR Loans. If the applicable Borrower requests a Committed Borrowing of or conversion to Term SOFR Loans and/or Alternative Currency Loans, or continuation of, Term SOFR Loans or Alternative Currency Term Rate Loans in any such Committed Loan Notice, but fails to specify an Interest Period, it will be deemed to have specified an Interest Period of one month. Subject to </w:t>
      </w:r>
      <w:r>
        <w:rPr>
          <w:rFonts w:ascii="Times New Roman" w:hAnsi="Times New Roman"/>
          <w:sz w:val="20"/>
          <w:u w:val="single"/>
        </w:rPr>
        <w:t>Section 2.02(c)</w:t>
      </w:r>
      <w:r>
        <w:rPr>
          <w:rFonts w:ascii="Times New Roman" w:hAnsi="Times New Roman"/>
          <w:sz w:val="20"/>
        </w:rPr>
        <w:t xml:space="preserve">, no Committed Loan may be converted into or continued as a Committed Loan denominated in a different currency, but instead must be repaid in the original currency of such Committed Loan and reborrowed in the other currency. </w:t>
      </w:r>
    </w:p>
    <w:p>
      <w:pPr>
        <w:pStyle w:val="TextBody"/>
        <w:bidi w:val="0"/>
        <w:spacing w:before="240" w:after="0"/>
        <w:jc w:val="left"/>
        <w:rPr>
          <w:rFonts w:ascii="Times New Roman" w:hAnsi="Times New Roman"/>
          <w:sz w:val="20"/>
        </w:rPr>
      </w:pPr>
      <w:r>
        <w:rPr>
          <w:rFonts w:ascii="Times New Roman" w:hAnsi="Times New Roman"/>
          <w:sz w:val="20"/>
        </w:rPr>
        <w:t xml:space="preserve">(b) Following receipt of a Committed Loan Notice, the Administrative Agent shall promptly notify each Lender of the amount and currency of its Applicable Percentage of the applicable Committed Loans, and if no timely notice of a conversion or continuation is provided by the applicable Borrower, the Administrative Agent shall notify each Lender of the details of any automatic conversion to Base Rate Loans or continuation of Committed Loans denominated in a currency other than Dollars, in each case as described in the preceding clause. In the case of a Committed Borrowing, each Lender shall make the amount of its Committed Loan available to the Administrative Agent in Same Day Funds at the Administrative Agent’s Office not later than 1:00 p.m., in the case of any Committed Loan denominated in Dollars, and not later than the Applicable Time specified by the Administrative Agent in the case of any Committed Loan in an Alternative Currency, in each case on the Business Day specified in the applicable Committed Loan Notice. Each Lender may, at its option, make any Committed Loan available to any Borrower by causing any foreign or domestic branch or Affiliate of such Lender to make such Loan; provided that any exercise of such option shall not affect the obligation of such Borrower to repay such Committed Loan in accordance with the terms of this Agreement. Upon satisfaction of the conditions set forth in </w:t>
      </w:r>
      <w:r>
        <w:rPr>
          <w:rFonts w:ascii="Times New Roman" w:hAnsi="Times New Roman"/>
          <w:sz w:val="20"/>
          <w:u w:val="single"/>
        </w:rPr>
        <w:t>Section 4.02</w:t>
      </w:r>
      <w:r>
        <w:rPr>
          <w:rFonts w:ascii="Times New Roman" w:hAnsi="Times New Roman"/>
          <w:sz w:val="20"/>
        </w:rPr>
        <w:t xml:space="preserve">, the Administrative Agent shall make all funds so received available to the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applicable Borrower.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30</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otherwise provided herein, a Term SOFR Loan or an Alternative Currency Term Rate Loan may be continued or converted only on the last day of an Interest Period for such Term SOFR Loan or Alternative Currency Term Rate Loan, as applicable. During the existence of a Default, (i) no Loans may be requested as, converted to or continued as Term SOFR Loans without the consent of the Required Lenders and (ii) without the consent of the Required Lenders, any Alternative Currency Term Rate Loans may be continued only for one-month Interest Periods at any time that a Default has occurred and is continuing and no Event of Default has occurred and is continuing. At any time that an Event of Default has occurred and is continuing, the Required Lenders may demand that any or all of the then outstanding Alternative Currency Daily Rate Loans and/or Alternative Currency Term Rate Loans be prepaid, or redenominated into Dollars in the amount of the Dollar Equivalent thereof, on the last day of the then current Interest Period or determination date(s) with respect thereto,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shall promptly notify the Company and the Lenders of the interest rate applicable to any Interest Period for Term SOFR Loans or Alternative Currency Term Rate Loans or any determination period for Alternative Currency Daily Rate upon determination of such interest rate. At any time that Base Rate Loans are outstanding, the Administrative Agent shall notify the Company and the Lenders of any change in Bank of America’s prime rate used in determining the Base Rate promptly following the announcement of such change. </w:t>
      </w:r>
    </w:p>
    <w:p>
      <w:pPr>
        <w:pStyle w:val="TextBody"/>
        <w:bidi w:val="0"/>
        <w:spacing w:before="240" w:after="0"/>
        <w:jc w:val="left"/>
        <w:rPr>
          <w:rFonts w:ascii="Times New Roman" w:hAnsi="Times New Roman"/>
          <w:sz w:val="20"/>
        </w:rPr>
      </w:pPr>
      <w:r>
        <w:rPr>
          <w:rFonts w:ascii="Times New Roman" w:hAnsi="Times New Roman"/>
          <w:sz w:val="20"/>
        </w:rPr>
        <w:t xml:space="preserve">(e) After giving effect to all Committed Borrowings, all conversions of Committed Loans from one Type to the other, and all continuations of Committed Loans as the same Type, there shall not be more than five Interest Periods in effect with respect to Committed Loans. </w:t>
      </w:r>
    </w:p>
    <w:p>
      <w:pPr>
        <w:pStyle w:val="TextBody"/>
        <w:bidi w:val="0"/>
        <w:spacing w:before="240" w:after="0"/>
        <w:jc w:val="left"/>
        <w:rPr>
          <w:rFonts w:ascii="Times New Roman" w:hAnsi="Times New Roman"/>
          <w:sz w:val="20"/>
        </w:rPr>
      </w:pPr>
      <w:r>
        <w:rPr>
          <w:rFonts w:ascii="Times New Roman" w:hAnsi="Times New Roman"/>
          <w:b/>
          <w:sz w:val="20"/>
        </w:rPr>
        <w:t>2.03</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2.04</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2.05</w:t>
      </w:r>
      <w:r>
        <w:rPr>
          <w:rFonts w:ascii="Times New Roman" w:hAnsi="Times New Roman"/>
          <w:sz w:val="20"/>
        </w:rPr>
        <w:t xml:space="preserve"> </w:t>
      </w:r>
      <w:r>
        <w:rPr>
          <w:rFonts w:ascii="Times New Roman" w:hAnsi="Times New Roman"/>
          <w:b/>
          <w:sz w:val="20"/>
          <w:u w:val="single"/>
        </w:rPr>
        <w:t>Prepayments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Borrower may, upon notice from such Borrower to the Administrative Agent, at any time or from time to time voluntarily prepay Committed Loans in whole or in part without premium or penalty; </w:t>
      </w:r>
      <w:r>
        <w:rPr>
          <w:rFonts w:ascii="Times New Roman" w:hAnsi="Times New Roman"/>
          <w:sz w:val="20"/>
          <w:u w:val="single"/>
        </w:rPr>
        <w:t>provided</w:t>
      </w:r>
      <w:r>
        <w:rPr>
          <w:rFonts w:ascii="Times New Roman" w:hAnsi="Times New Roman"/>
          <w:sz w:val="20"/>
        </w:rPr>
        <w:t xml:space="preserve"> that (a) such notice must be in a form acceptable to the Administrative Agent and received by the Administrative Agent not later than 11:00 a.m. (i) two Business Days prior to any date of prepayment of Term SOFR Loans (ii) three Business Days (or five, in the case of prepayment of Loans denominated in Special Notice Currencies) prior to any date of prepayment of Alternative Currency Loans and (iii) on the date of prepayment of Base Rate Committed Loans; (b) any prepayment of Term SOFR Loans shall be in a principal amount of $500,000 or a whole multiple of $100,000 in excess thereof; (c) any prepayment of Alternative Currency Loans shall be in a minimum principal amount of $500,000 or a whole multiple of $100,000 in excess thereof; and (d) any prepayment of Base Rate Committed Loans shall be in a principal amount of $500,000 or a whole multiple of $100,000 in excess thereof or, in each case, if less, the entire principal amount thereof then outstanding. Each such notice shall specify the date, currency and amount of such prepayment and the Type(s) of Committed Loans to be prepaid and, if Term SOFR Loans or Alternative Currency Term Rate Loans are to be prepaid, the Interest Period(s) of such Loans. The Administrative Agent will promptly notify each Lender of its receipt of each such notice, and of the amount of such Lender’s Applicable Percentage of such prepayment. Any notice delivered by a Borrower pursuant to this </w:t>
      </w:r>
      <w:r>
        <w:rPr>
          <w:rFonts w:ascii="Times New Roman" w:hAnsi="Times New Roman"/>
          <w:sz w:val="20"/>
          <w:u w:val="single"/>
        </w:rPr>
        <w:t>Section 2.05</w:t>
      </w:r>
      <w:r>
        <w:rPr>
          <w:rFonts w:ascii="Times New Roman" w:hAnsi="Times New Roman"/>
          <w:sz w:val="20"/>
        </w:rPr>
        <w:t xml:space="preserve"> may state that such notice is conditioned upon the effectiveness of one or more events specified therein, in which case such notice may be revoked by a Borrower (by notice to the Administrative Agent on or prior to the specified effective date) if such condition is not satisfied. Subject to the foregoing sentence, if such notice is given by any Borrower, such Borrower shall make such prepayment and the payment amount specified in such notice shall be due and payable on the date specified therein. Any prepayment of a Term SOFR Loan and/or an Alternative Currency Loan shall be accompanied by all accrued interest on the amount prepaid, together with </w:t>
      </w:r>
      <w:r>
        <w:rPr>
          <w:rFonts w:ascii="Times New Roman" w:hAnsi="Times New Roman"/>
          <w:sz w:val="20"/>
          <w:u w:val="single"/>
        </w:rPr>
        <w:t>2.05</w:t>
      </w:r>
      <w:r>
        <w:rPr>
          <w:rFonts w:ascii="Times New Roman" w:hAnsi="Times New Roman"/>
          <w:sz w:val="20"/>
        </w:rPr>
        <w:t xml:space="preserve"> any additional amounts required pursuant to </w:t>
      </w:r>
      <w:r>
        <w:rPr>
          <w:rFonts w:ascii="Times New Roman" w:hAnsi="Times New Roman"/>
          <w:sz w:val="20"/>
          <w:u w:val="single"/>
        </w:rPr>
        <w:t>Section 3.05</w:t>
      </w:r>
      <w:r>
        <w:rPr>
          <w:rFonts w:ascii="Times New Roman" w:hAnsi="Times New Roman"/>
          <w:sz w:val="20"/>
        </w:rPr>
        <w:t xml:space="preserve">. Each such prepayment shall be applied to the Committed Loans of the Lenders in accordance with their respective Applicable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31</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If the Administrative Agent notifies the Company at any time that, for any reason, the Outstanding Amount at such time exceeds the Aggregate Commitments then in effect, the Borrowers shall immediately prepay Loans in an aggregate amount equal to such excess. </w:t>
      </w:r>
    </w:p>
    <w:p>
      <w:pPr>
        <w:pStyle w:val="TextBody"/>
        <w:bidi w:val="0"/>
        <w:spacing w:before="240" w:after="0"/>
        <w:jc w:val="left"/>
        <w:rPr>
          <w:rFonts w:ascii="Times New Roman" w:hAnsi="Times New Roman"/>
          <w:sz w:val="20"/>
        </w:rPr>
      </w:pPr>
      <w:r>
        <w:rPr>
          <w:rFonts w:ascii="Times New Roman" w:hAnsi="Times New Roman"/>
          <w:b/>
          <w:sz w:val="20"/>
        </w:rPr>
        <w:t>2.06</w:t>
      </w:r>
      <w:r>
        <w:rPr>
          <w:rFonts w:ascii="Times New Roman" w:hAnsi="Times New Roman"/>
          <w:sz w:val="20"/>
        </w:rPr>
        <w:t xml:space="preserve"> </w:t>
      </w:r>
      <w:r>
        <w:rPr>
          <w:rFonts w:ascii="Times New Roman" w:hAnsi="Times New Roman"/>
          <w:b/>
          <w:sz w:val="20"/>
          <w:u w:val="single"/>
        </w:rPr>
        <w:t>Termination or Reduction of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upon notice to the Administrative Agent, terminate the Aggregate Commitments, or from time to time permanently reduce the Aggregate Commitments; </w:t>
      </w:r>
      <w:r>
        <w:rPr>
          <w:rFonts w:ascii="Times New Roman" w:hAnsi="Times New Roman"/>
          <w:sz w:val="20"/>
          <w:u w:val="single"/>
        </w:rPr>
        <w:t>provided</w:t>
      </w:r>
      <w:r>
        <w:rPr>
          <w:rFonts w:ascii="Times New Roman" w:hAnsi="Times New Roman"/>
          <w:sz w:val="20"/>
        </w:rPr>
        <w:t xml:space="preserve"> that (a) any such notice shall be received by the Administrative Agent not later than 11:00 a.m. five Business Days prior to the date of termination or reduction, (b) any such partial reduction shall be in an aggregate amount of $10,000,000 or any whole multiple of $1,000,000 in excess thereof and (c) the Company shall not terminate or reduce the Aggregate Commitments if, after giving effect thereto and to any concurrent prepayments hereunder, the Outstanding Amount would exceed the Aggregate Commitments. The Administrative Agent will promptly notify the Lenders of any such notice of termination or reduction of the Aggregate Commitments. Any notice delivered by the Company pursuant to this </w:t>
      </w:r>
      <w:r>
        <w:rPr>
          <w:rFonts w:ascii="Times New Roman" w:hAnsi="Times New Roman"/>
          <w:sz w:val="20"/>
          <w:u w:val="single"/>
        </w:rPr>
        <w:t>Section 2.06</w:t>
      </w:r>
      <w:r>
        <w:rPr>
          <w:rFonts w:ascii="Times New Roman" w:hAnsi="Times New Roman"/>
          <w:sz w:val="20"/>
        </w:rPr>
        <w:t xml:space="preserve"> may state that such notice is conditioned upon the effectiveness of one or more events specified therein, in which case such notice may be revoked by the Company (by notice to the Administrative Agent on or prior to the specified effective date) if such condition is not satisfied. Any reduction of the Aggregate Commitments shall be applied to the Commitment of each Lender according to its Applicable Percentage. All fees accrued until the effective date of any termination of the Aggregate Commitments shall be paid on the effective date of such termination. </w:t>
      </w:r>
    </w:p>
    <w:p>
      <w:pPr>
        <w:pStyle w:val="TextBody"/>
        <w:bidi w:val="0"/>
        <w:spacing w:before="240" w:after="0"/>
        <w:jc w:val="left"/>
        <w:rPr>
          <w:rFonts w:ascii="Times New Roman" w:hAnsi="Times New Roman"/>
          <w:sz w:val="20"/>
        </w:rPr>
      </w:pPr>
      <w:r>
        <w:rPr>
          <w:rFonts w:ascii="Times New Roman" w:hAnsi="Times New Roman"/>
          <w:b/>
          <w:sz w:val="20"/>
        </w:rPr>
        <w:t>2.07</w:t>
      </w:r>
      <w:r>
        <w:rPr>
          <w:rFonts w:ascii="Times New Roman" w:hAnsi="Times New Roman"/>
          <w:sz w:val="20"/>
        </w:rPr>
        <w:t xml:space="preserve"> </w:t>
      </w:r>
      <w:r>
        <w:rPr>
          <w:rFonts w:ascii="Times New Roman" w:hAnsi="Times New Roman"/>
          <w:b/>
          <w:sz w:val="20"/>
          <w:u w:val="single"/>
        </w:rPr>
        <w:t>Repayment of Loans</w:t>
      </w:r>
      <w:r>
        <w:rPr>
          <w:rFonts w:ascii="Times New Roman" w:hAnsi="Times New Roman"/>
          <w:sz w:val="20"/>
        </w:rPr>
        <w:t xml:space="preserve">. Each Borrower shall repay to each Lender on the Maturity Date the aggregate principal amount of Committed Loans made to such Borrower by such Lender outstanding on such date, and such Lender’s Commitment shall terminate on such date. </w:t>
      </w:r>
    </w:p>
    <w:p>
      <w:pPr>
        <w:pStyle w:val="TextBody"/>
        <w:bidi w:val="0"/>
        <w:spacing w:before="240" w:after="0"/>
        <w:jc w:val="left"/>
        <w:rPr>
          <w:rFonts w:ascii="Times New Roman" w:hAnsi="Times New Roman"/>
          <w:sz w:val="20"/>
        </w:rPr>
      </w:pPr>
      <w:r>
        <w:rPr>
          <w:rFonts w:ascii="Times New Roman" w:hAnsi="Times New Roman"/>
          <w:b/>
          <w:sz w:val="20"/>
        </w:rPr>
        <w:t>2.08</w:t>
      </w:r>
      <w:r>
        <w:rPr>
          <w:rFonts w:ascii="Times New Roman" w:hAnsi="Times New Roman"/>
          <w:sz w:val="20"/>
        </w:rPr>
        <w:t xml:space="preserve"> </w:t>
      </w:r>
      <w:r>
        <w:rPr>
          <w:rFonts w:ascii="Times New Roman" w:hAnsi="Times New Roman"/>
          <w:b/>
          <w:sz w:val="20"/>
          <w:u w:val="single"/>
        </w:rPr>
        <w:t>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provisions of </w:t>
      </w:r>
      <w:r>
        <w:rPr>
          <w:rFonts w:ascii="Times New Roman" w:hAnsi="Times New Roman"/>
          <w:sz w:val="20"/>
          <w:u w:val="single"/>
        </w:rPr>
        <w:t>clause (b)</w:t>
      </w:r>
      <w:r>
        <w:rPr>
          <w:rFonts w:ascii="Times New Roman" w:hAnsi="Times New Roman"/>
          <w:sz w:val="20"/>
        </w:rPr>
        <w:t xml:space="preserve"> below, (i) each Term SOFR Loan shall bear interest on the outstanding principal amount thereof for each Interest Period at a rate per annum equal to the Term SOFR for such Interest Period </w:t>
      </w:r>
      <w:r>
        <w:rPr>
          <w:rFonts w:ascii="Times New Roman" w:hAnsi="Times New Roman"/>
          <w:sz w:val="20"/>
          <w:u w:val="single"/>
        </w:rPr>
        <w:t>plus</w:t>
      </w:r>
      <w:r>
        <w:rPr>
          <w:rFonts w:ascii="Times New Roman" w:hAnsi="Times New Roman"/>
          <w:sz w:val="20"/>
        </w:rPr>
        <w:t xml:space="preserve"> the Applicable Rate for Term SOFR Loans; (ii) each Base Rate Committed Loan shall bear interest on the outstanding principal amount thereof from the applicable borrowing date at a rate per annum equal to the Base Rate plus the Applicable Rate for Base Rate Committed Loans; (iii) each Alternative Currency Daily Rate Loan shall bear interest on the outstanding principal amount thereof from the borrowing date at a rate per annum equal to the Alternative Currency Daily Rate </w:t>
      </w:r>
      <w:r>
        <w:rPr>
          <w:rFonts w:ascii="Times New Roman" w:hAnsi="Times New Roman"/>
          <w:sz w:val="20"/>
          <w:u w:val="single"/>
        </w:rPr>
        <w:t>plus</w:t>
      </w:r>
      <w:r>
        <w:rPr>
          <w:rFonts w:ascii="Times New Roman" w:hAnsi="Times New Roman"/>
          <w:sz w:val="20"/>
        </w:rPr>
        <w:t xml:space="preserve"> the Applicable Rate for Alternative Currency Daily Rate Loans; and (iv) each Alternative Currency Term Rate Loan shall bear interest on the outstanding principal amount thereof for each Interest Period at a rate per annum equal to the Alternative Currency Term Rate for such Interest Period </w:t>
      </w:r>
      <w:r>
        <w:rPr>
          <w:rFonts w:ascii="Times New Roman" w:hAnsi="Times New Roman"/>
          <w:sz w:val="20"/>
          <w:u w:val="single"/>
        </w:rPr>
        <w:t>plus</w:t>
      </w:r>
      <w:r>
        <w:rPr>
          <w:rFonts w:ascii="Times New Roman" w:hAnsi="Times New Roman"/>
          <w:sz w:val="20"/>
        </w:rPr>
        <w:t xml:space="preserve"> the Applicable Rate for Alternative Currency Term Rate Loans. </w:t>
      </w:r>
    </w:p>
    <w:p>
      <w:pPr>
        <w:pStyle w:val="TextBody"/>
        <w:bidi w:val="0"/>
        <w:spacing w:before="240" w:after="0"/>
        <w:jc w:val="left"/>
        <w:rPr>
          <w:rFonts w:ascii="Times New Roman" w:hAnsi="Times New Roman"/>
          <w:sz w:val="20"/>
        </w:rPr>
      </w:pPr>
      <w:r>
        <w:rPr>
          <w:rFonts w:ascii="Times New Roman" w:hAnsi="Times New Roman"/>
          <w:sz w:val="20"/>
        </w:rPr>
        <w:t xml:space="preserve">(b) (i)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 </w:t>
      </w:r>
    </w:p>
    <w:p>
      <w:pPr>
        <w:pStyle w:val="TextBody"/>
        <w:bidi w:val="0"/>
        <w:spacing w:before="120" w:after="0"/>
        <w:jc w:val="left"/>
        <w:rPr>
          <w:rFonts w:ascii="Times New Roman" w:hAnsi="Times New Roman"/>
          <w:sz w:val="20"/>
        </w:rPr>
      </w:pPr>
      <w:r>
        <w:rPr>
          <w:rFonts w:ascii="Times New Roman" w:hAnsi="Times New Roman"/>
          <w:sz w:val="20"/>
        </w:rPr>
        <w:t xml:space="preserve">(ii) 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32</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(iii) Upon the request of the Required Lenders, while any Event of Default exists, the Borrowers shall pay interest on the principal amount of all outstanding Obligations hereunder at a fluctuating interest rate per annum at all times equal to the Default Rate to the fullest extent permitted by applicable Laws. </w:t>
      </w:r>
    </w:p>
    <w:p>
      <w:pPr>
        <w:pStyle w:val="TextBody"/>
        <w:bidi w:val="0"/>
        <w:spacing w:before="120" w:after="0"/>
        <w:jc w:val="left"/>
        <w:rPr>
          <w:rFonts w:ascii="Times New Roman" w:hAnsi="Times New Roman"/>
          <w:sz w:val="20"/>
        </w:rPr>
      </w:pPr>
      <w:r>
        <w:rPr>
          <w:rFonts w:ascii="Times New Roman" w:hAnsi="Times New Roman"/>
          <w:sz w:val="20"/>
        </w:rPr>
        <w:t xml:space="preserve">(iv) Accrued and unpaid interest on past due amounts (including interest on past due interest) shall be due and payable upon demand. </w:t>
      </w:r>
    </w:p>
    <w:p>
      <w:pPr>
        <w:pStyle w:val="TextBody"/>
        <w:bidi w:val="0"/>
        <w:spacing w:before="240" w:after="0"/>
        <w:jc w:val="left"/>
        <w:rPr>
          <w:rFonts w:ascii="Times New Roman" w:hAnsi="Times New Roman"/>
          <w:sz w:val="20"/>
        </w:rPr>
      </w:pPr>
      <w:r>
        <w:rPr>
          <w:rFonts w:ascii="Times New Roman" w:hAnsi="Times New Roman"/>
          <w:sz w:val="20"/>
        </w:rPr>
        <w:t xml:space="preserve">(c)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w:t>
      </w:r>
    </w:p>
    <w:p>
      <w:pPr>
        <w:pStyle w:val="TextBody"/>
        <w:bidi w:val="0"/>
        <w:spacing w:before="240" w:after="0"/>
        <w:jc w:val="left"/>
        <w:rPr>
          <w:rFonts w:ascii="Times New Roman" w:hAnsi="Times New Roman"/>
          <w:sz w:val="20"/>
        </w:rPr>
      </w:pPr>
      <w:r>
        <w:rPr>
          <w:rFonts w:ascii="Times New Roman" w:hAnsi="Times New Roman"/>
          <w:b/>
          <w:sz w:val="20"/>
        </w:rPr>
        <w:t>2.09</w:t>
      </w:r>
      <w:r>
        <w:rPr>
          <w:rFonts w:ascii="Times New Roman" w:hAnsi="Times New Roman"/>
          <w:sz w:val="20"/>
        </w:rPr>
        <w:t xml:space="preserve"> </w:t>
      </w:r>
      <w:r>
        <w:rPr>
          <w:rFonts w:ascii="Times New Roman" w:hAnsi="Times New Roman"/>
          <w:b/>
          <w:sz w:val="20"/>
          <w:u w:val="single"/>
        </w:rPr>
        <w:t>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Facility Fee.</w:t>
      </w:r>
      <w:r>
        <w:rPr>
          <w:rFonts w:ascii="Times New Roman" w:hAnsi="Times New Roman"/>
          <w:sz w:val="20"/>
        </w:rPr>
        <w:t xml:space="preserve"> The Company shall pay to the Administrative Agent for the account of each Lender, in accordance with its Applicable Percentage, a facility fee (the “</w:t>
      </w:r>
      <w:r>
        <w:rPr>
          <w:rFonts w:ascii="Times New Roman" w:hAnsi="Times New Roman"/>
          <w:sz w:val="20"/>
          <w:u w:val="single"/>
        </w:rPr>
        <w:t>Facility Fee</w:t>
      </w:r>
      <w:r>
        <w:rPr>
          <w:rFonts w:ascii="Times New Roman" w:hAnsi="Times New Roman"/>
          <w:sz w:val="20"/>
        </w:rPr>
        <w:t xml:space="preserve">”) in Dollars equal to the Applicable Rate for the Facility Fee </w:t>
      </w:r>
      <w:r>
        <w:rPr>
          <w:rFonts w:ascii="Times New Roman" w:hAnsi="Times New Roman"/>
          <w:sz w:val="20"/>
          <w:u w:val="single"/>
        </w:rPr>
        <w:t>times</w:t>
      </w:r>
      <w:r>
        <w:rPr>
          <w:rFonts w:ascii="Times New Roman" w:hAnsi="Times New Roman"/>
          <w:sz w:val="20"/>
        </w:rPr>
        <w:t xml:space="preserve"> the actual daily amount of the Aggregate Commitments, regardless of usage, subject to adjustment as provided in </w:t>
      </w:r>
      <w:r>
        <w:rPr>
          <w:rFonts w:ascii="Times New Roman" w:hAnsi="Times New Roman"/>
          <w:sz w:val="20"/>
          <w:u w:val="single"/>
        </w:rPr>
        <w:t>Section 2.17</w:t>
      </w:r>
      <w:r>
        <w:rPr>
          <w:rFonts w:ascii="Times New Roman" w:hAnsi="Times New Roman"/>
          <w:sz w:val="20"/>
        </w:rPr>
        <w:t xml:space="preserve"> (or, if the Aggregate Commitments have terminated, on the Outstanding Amount). The Facility Fee shall accrue at all times during the Availability Period (and thereafter so long as any Committed Loans remain outstanding), including at any time during which one or more of the conditions in Article</w:t>
      </w:r>
      <w:r>
        <w:rPr>
          <w:rFonts w:ascii="Times New Roman" w:hAnsi="Times New Roman"/>
          <w:sz w:val="20"/>
          <w:u w:val="single"/>
        </w:rPr>
        <w:t xml:space="preserve"> IV</w:t>
      </w:r>
      <w:r>
        <w:rPr>
          <w:rFonts w:ascii="Times New Roman" w:hAnsi="Times New Roman"/>
          <w:sz w:val="20"/>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w:t>
      </w:r>
    </w:p>
    <w:p>
      <w:pPr>
        <w:pStyle w:val="TextBody"/>
        <w:bidi w:val="0"/>
        <w:spacing w:before="240" w:after="0"/>
        <w:jc w:val="left"/>
        <w:rPr>
          <w:rFonts w:ascii="Times New Roman" w:hAnsi="Times New Roman"/>
          <w:sz w:val="20"/>
        </w:rPr>
      </w:pPr>
      <w:r>
        <w:rPr>
          <w:rFonts w:ascii="Times New Roman" w:hAnsi="Times New Roman"/>
          <w:sz w:val="20"/>
        </w:rPr>
        <w:t xml:space="preserve">(b) Other Fees. </w:t>
      </w:r>
    </w:p>
    <w:p>
      <w:pPr>
        <w:pStyle w:val="TextBody"/>
        <w:bidi w:val="0"/>
        <w:spacing w:before="240" w:after="0"/>
        <w:jc w:val="left"/>
        <w:rPr>
          <w:rFonts w:ascii="Times New Roman" w:hAnsi="Times New Roman"/>
          <w:sz w:val="20"/>
        </w:rPr>
      </w:pPr>
      <w:r>
        <w:rPr>
          <w:rFonts w:ascii="Times New Roman" w:hAnsi="Times New Roman"/>
          <w:sz w:val="20"/>
        </w:rPr>
        <w:t xml:space="preserve">(i) The Company shall pay to the Arrangers and the Administrative Agent for their own respective accounts, in Dollars, fees in the amounts and at the times specified in the Agent Fee Letter. Such fees shall be fully earned when paid and shall not be refundable for any reason whatsoever.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pay to the Lenders, in Dollars, such fees as shall have been separately agreed upon in writing in the amounts and at the times so specified. Such fees shall be fully earned when paid and shall not be refundable for any reason whatsoever. </w:t>
      </w:r>
    </w:p>
    <w:p>
      <w:pPr>
        <w:pStyle w:val="TextBody"/>
        <w:bidi w:val="0"/>
        <w:spacing w:before="240" w:after="0"/>
        <w:jc w:val="left"/>
        <w:rPr>
          <w:rFonts w:ascii="Times New Roman" w:hAnsi="Times New Roman"/>
          <w:sz w:val="20"/>
        </w:rPr>
      </w:pPr>
      <w:r>
        <w:rPr>
          <w:rFonts w:ascii="Times New Roman" w:hAnsi="Times New Roman"/>
          <w:b/>
          <w:sz w:val="20"/>
        </w:rPr>
        <w:t>2.10</w:t>
      </w:r>
      <w:r>
        <w:rPr>
          <w:rFonts w:ascii="Times New Roman" w:hAnsi="Times New Roman"/>
          <w:sz w:val="20"/>
        </w:rPr>
        <w:t xml:space="preserve"> </w:t>
      </w:r>
      <w:r>
        <w:rPr>
          <w:rFonts w:ascii="Times New Roman" w:hAnsi="Times New Roman"/>
          <w:b/>
          <w:sz w:val="20"/>
          <w:u w:val="single"/>
        </w:rPr>
        <w:t>Computation of Interest and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computations of interest for Base Rate Loans (including Base Rate Loans determined by reference to the Term SOFR) and for Loans denominated in Alternative Currency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Times New Roman" w:hAnsi="Times New Roman"/>
          <w:sz w:val="20"/>
          <w:u w:val="single"/>
        </w:rPr>
        <w:t>provided</w:t>
      </w:r>
      <w:r>
        <w:rPr>
          <w:rFonts w:ascii="Times New Roman" w:hAnsi="Times New Roman"/>
          <w:sz w:val="20"/>
        </w:rPr>
        <w:t xml:space="preserve"> that any Loan that is repaid on the same day on which it is made shall, subject to </w:t>
      </w:r>
      <w:r>
        <w:rPr>
          <w:rFonts w:ascii="Times New Roman" w:hAnsi="Times New Roman"/>
          <w:sz w:val="20"/>
          <w:u w:val="single"/>
        </w:rPr>
        <w:t>Section 2.12(a)</w:t>
      </w:r>
      <w:r>
        <w:rPr>
          <w:rFonts w:ascii="Times New Roman" w:hAnsi="Times New Roman"/>
          <w:sz w:val="20"/>
        </w:rPr>
        <w:t xml:space="preserve">, bear interest for one day. Each determination by the Administrative Agent of an interest rate or fee hereunder shall be conclusive and binding for all purposes, absent manifest error.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33</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2.11</w:t>
      </w:r>
      <w:r>
        <w:rPr>
          <w:rFonts w:ascii="Times New Roman" w:hAnsi="Times New Roman"/>
          <w:sz w:val="20"/>
        </w:rPr>
        <w:t xml:space="preserve"> </w:t>
      </w:r>
      <w:r>
        <w:rPr>
          <w:rFonts w:ascii="Times New Roman" w:hAnsi="Times New Roman"/>
          <w:b/>
          <w:sz w:val="20"/>
          <w:u w:val="single"/>
        </w:rPr>
        <w:t>Evidence of Debt</w:t>
      </w:r>
      <w:r>
        <w:rPr>
          <w:rFonts w:ascii="Times New Roman" w:hAnsi="Times New Roman"/>
          <w:sz w:val="20"/>
        </w:rPr>
        <w:t xml:space="preserve">. The Committed Borrowings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Committed Borrowings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 </w:t>
      </w:r>
    </w:p>
    <w:p>
      <w:pPr>
        <w:pStyle w:val="TextBody"/>
        <w:bidi w:val="0"/>
        <w:spacing w:before="240" w:after="0"/>
        <w:jc w:val="left"/>
        <w:rPr>
          <w:rFonts w:ascii="Times New Roman" w:hAnsi="Times New Roman"/>
          <w:sz w:val="20"/>
        </w:rPr>
      </w:pPr>
      <w:r>
        <w:rPr>
          <w:rFonts w:ascii="Times New Roman" w:hAnsi="Times New Roman"/>
          <w:b/>
          <w:sz w:val="20"/>
        </w:rPr>
        <w:t>2.12</w:t>
      </w:r>
      <w:r>
        <w:rPr>
          <w:rFonts w:ascii="Times New Roman" w:hAnsi="Times New Roman"/>
          <w:sz w:val="20"/>
        </w:rPr>
        <w:t xml:space="preserve"> </w:t>
      </w:r>
      <w:r>
        <w:rPr>
          <w:rFonts w:ascii="Times New Roman" w:hAnsi="Times New Roman"/>
          <w:b/>
          <w:sz w:val="20"/>
          <w:u w:val="single"/>
        </w:rPr>
        <w:t>Payments Generally; Administrative Agent</w:t>
      </w:r>
      <w:r>
        <w:rPr>
          <w:rFonts w:ascii="Times New Roman" w:hAnsi="Times New Roman"/>
          <w:sz w:val="20"/>
          <w:u w:val="single"/>
        </w:rPr>
        <w:t>’</w:t>
      </w:r>
      <w:r>
        <w:rPr>
          <w:rFonts w:ascii="Times New Roman" w:hAnsi="Times New Roman"/>
          <w:b/>
          <w:sz w:val="20"/>
          <w:u w:val="single"/>
        </w:rPr>
        <w:t>s Clawback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Except as otherwise specifically provided in </w:t>
      </w:r>
      <w:r>
        <w:rPr>
          <w:rFonts w:ascii="Times New Roman" w:hAnsi="Times New Roman"/>
          <w:sz w:val="20"/>
          <w:u w:val="single"/>
        </w:rPr>
        <w:t>Section 3.01</w:t>
      </w:r>
      <w:r>
        <w:rPr>
          <w:rFonts w:ascii="Times New Roman" w:hAnsi="Times New Roman"/>
          <w:sz w:val="20"/>
        </w:rPr>
        <w:t xml:space="preserve">,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(i) 2:00 p.m. in the case of payments in Dollars, or (ii) after the Applicable Time specified by the Administrative Agent, in the case of payments in an Alternative Currency shall be deemed received on the next succeeding Business Day and any applicable interest or fee shall continue to accrue. Subject to the definition of “Interest Period”, if any payment to be made by a Borrower shall come due on a day other than a Business Day, payment shall be made on the next following Business Day, and such extension of time shall be reflected in computing interest or fees,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 </w:t>
      </w:r>
      <w:r>
        <w:rPr>
          <w:rFonts w:ascii="Times New Roman" w:hAnsi="Times New Roman"/>
          <w:sz w:val="20"/>
          <w:u w:val="single"/>
        </w:rPr>
        <w:t>Funding by Lenders; Presumption by Administrative Agent.</w:t>
      </w:r>
      <w:r>
        <w:rPr>
          <w:rFonts w:ascii="Times New Roman" w:hAnsi="Times New Roman"/>
          <w:sz w:val="20"/>
        </w:rPr>
        <w:t xml:space="preserve"> Unless the Administrative Agent shall have received notice from a Lender prior to the proposed date of any Committed Borrowing of Term SOFR Loans and/or Alternative Currency Loans (or, in the case of any Committed Borrowing of Base Rate Loans, prior to 12:00 noon on the date of such Committed Borrowing) that such Lender will not make available to the Administrative Agent such Lender’s share of such Committed Borrowing,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34</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may assume that such Lender has made such share available on such date in accordance with </w:t>
      </w:r>
      <w:r>
        <w:rPr>
          <w:rFonts w:ascii="Times New Roman" w:hAnsi="Times New Roman"/>
          <w:sz w:val="20"/>
          <w:u w:val="single"/>
        </w:rPr>
        <w:t>Section 2.02</w:t>
      </w:r>
      <w:r>
        <w:rPr>
          <w:rFonts w:ascii="Times New Roman" w:hAnsi="Times New Roman"/>
          <w:sz w:val="20"/>
        </w:rPr>
        <w:t xml:space="preserve"> (or, in the case of a Committed Borrowing of Base Rate Loans, that such Lender has made such share available in accordance with and at the time required by </w:t>
      </w:r>
      <w:r>
        <w:rPr>
          <w:rFonts w:ascii="Times New Roman" w:hAnsi="Times New Roman"/>
          <w:sz w:val="20"/>
          <w:u w:val="single"/>
        </w:rPr>
        <w:t>Section 2.02</w:t>
      </w:r>
      <w:r>
        <w:rPr>
          <w:rFonts w:ascii="Times New Roman" w:hAnsi="Times New Roman"/>
          <w:sz w:val="20"/>
        </w:rPr>
        <w:t xml:space="preserve">)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or in the case of Alternative Currencies in accordance with such market practice, in each case, as applicable.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Committed Borrowing to the Administrative Agent, then the amount so paid shall constitute such Lender’s Committed Loan included in such Committed Borrowing. Any payment by such Borrower shall be without prejudice to any claim such Borrower may have against a Lender that shall have failed to make such payment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Payments by Borrowers; Presumptions by Administrative Agent.</w:t>
      </w:r>
      <w:r>
        <w:rPr>
          <w:rFonts w:ascii="Times New Roman" w:hAnsi="Times New Roman"/>
          <w:sz w:val="20"/>
        </w:rPr>
        <w:t xml:space="preserve"> Unless the Administrative Agent shall have received notice from a Borrower prior to the date on which any payment is due to the Administrative Agent for the account of the Lenders hereunder that such Borrower will not make such payment, the Administrative Agent may assume that such Borrower has made such payment on such date in accordance herewith and may, in reliance upon such assumption, distribute to the Lenders the amount due. In such event, if such (x) Borrower has not in fact made such payment, (y) the Administrative Agent has made a payment in excess of the amount so paid by such Borrower (whether or not then owed); or (z) the Administrative agent has for any reason otherwise erroneously made such payment (any payment satisfying any of the foregoing conditions referred to as the “</w:t>
      </w:r>
      <w:r>
        <w:rPr>
          <w:rFonts w:ascii="Times New Roman" w:hAnsi="Times New Roman"/>
          <w:sz w:val="20"/>
          <w:u w:val="single"/>
        </w:rPr>
        <w:t>Rescindable Amount</w:t>
      </w:r>
      <w:r>
        <w:rPr>
          <w:rFonts w:ascii="Times New Roman" w:hAnsi="Times New Roman"/>
          <w:sz w:val="20"/>
        </w:rPr>
        <w:t xml:space="preserve">”), then each of the Lenders severally agrees to repay to the Administrative Agent forthwith on demand the amount so distributed to such Lender, in Same Day Funds with interest thereon, for each day from and including the date such amount is distributed to it to but excluding the date of payment to the Administrative Agent, at the Overnight Rate. </w:t>
      </w:r>
    </w:p>
    <w:p>
      <w:pPr>
        <w:pStyle w:val="TextBody"/>
        <w:bidi w:val="0"/>
        <w:spacing w:before="240" w:after="0"/>
        <w:jc w:val="left"/>
        <w:rPr>
          <w:rFonts w:ascii="Times New Roman" w:hAnsi="Times New Roman"/>
          <w:sz w:val="20"/>
        </w:rPr>
      </w:pPr>
      <w:r>
        <w:rPr>
          <w:rFonts w:ascii="Times New Roman" w:hAnsi="Times New Roman"/>
          <w:sz w:val="20"/>
        </w:rPr>
        <w:t xml:space="preserve">A notice of the Administrative Agent to any Lender or Borrower with respect to any amount owing under this </w:t>
      </w:r>
      <w:r>
        <w:rPr>
          <w:rFonts w:ascii="Times New Roman" w:hAnsi="Times New Roman"/>
          <w:sz w:val="20"/>
          <w:u w:val="single"/>
        </w:rPr>
        <w:t>clause (b)</w:t>
      </w:r>
      <w:r>
        <w:rPr>
          <w:rFonts w:ascii="Times New Roman" w:hAnsi="Times New Roman"/>
          <w:sz w:val="20"/>
        </w:rPr>
        <w:t xml:space="preserve">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Failure to Satisfy Conditions Precedent.</w:t>
      </w:r>
      <w:r>
        <w:rPr>
          <w:rFonts w:ascii="Times New Roman" w:hAnsi="Times New Roman"/>
          <w:sz w:val="20"/>
        </w:rPr>
        <w:t xml:space="preserve"> If any Lender makes available to the Administrative Agent funds for any Loan to be made by such Lender to any Borrower as provided in the foregoing provisions of this </w:t>
      </w:r>
      <w:r>
        <w:rPr>
          <w:rFonts w:ascii="Times New Roman" w:hAnsi="Times New Roman"/>
          <w:sz w:val="20"/>
          <w:u w:val="single"/>
        </w:rPr>
        <w:t>Article II</w:t>
      </w:r>
      <w:r>
        <w:rPr>
          <w:rFonts w:ascii="Times New Roman" w:hAnsi="Times New Roman"/>
          <w:sz w:val="20"/>
        </w:rPr>
        <w:t xml:space="preserve">, and such funds are not made available to such Borrower by the Administrative Agent because the conditions to the applicable Committed Borrowing set forth in </w:t>
      </w:r>
      <w:r>
        <w:rPr>
          <w:rFonts w:ascii="Times New Roman" w:hAnsi="Times New Roman"/>
          <w:sz w:val="20"/>
          <w:u w:val="single"/>
        </w:rPr>
        <w:t>Article IV</w:t>
      </w:r>
      <w:r>
        <w:rPr>
          <w:rFonts w:ascii="Times New Roman" w:hAnsi="Times New Roman"/>
          <w:sz w:val="20"/>
        </w:rPr>
        <w:t xml:space="preserve"> are not satisfied or waived in accordance with the terms hereof, the Administrative Agent shall return such funds (in like funds as received from such Lender) to such Lender,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Obligations of Lenders Several.</w:t>
      </w:r>
      <w:r>
        <w:rPr>
          <w:rFonts w:ascii="Times New Roman" w:hAnsi="Times New Roman"/>
          <w:sz w:val="20"/>
        </w:rPr>
        <w:t xml:space="preserve"> The obligations of the Lenders hereunder to make Committed Loans and to make payments pursuant to </w:t>
      </w:r>
      <w:r>
        <w:rPr>
          <w:rFonts w:ascii="Times New Roman" w:hAnsi="Times New Roman"/>
          <w:sz w:val="20"/>
          <w:u w:val="single"/>
        </w:rPr>
        <w:t>Section 10.04(c)</w:t>
      </w:r>
      <w:r>
        <w:rPr>
          <w:rFonts w:ascii="Times New Roman" w:hAnsi="Times New Roman"/>
          <w:sz w:val="20"/>
        </w:rPr>
        <w:t xml:space="preserve"> are several and not joint. The failure of any Lender to make any Committed Loan, to fund any such participation or to make any payment under </w:t>
      </w:r>
      <w:r>
        <w:rPr>
          <w:rFonts w:ascii="Times New Roman" w:hAnsi="Times New Roman"/>
          <w:sz w:val="20"/>
          <w:u w:val="single"/>
        </w:rPr>
        <w:t>Section 10.04(c)</w:t>
      </w:r>
      <w:r>
        <w:rPr>
          <w:rFonts w:ascii="Times New Roman" w:hAnsi="Times New Roman"/>
          <w:sz w:val="20"/>
        </w:rPr>
        <w:t xml:space="preserve"> on any date required hereunder shall not relieve any other Lender of its corresponding obligation to do so on such date, and, except as provided in </w:t>
      </w:r>
      <w:r>
        <w:rPr>
          <w:rFonts w:ascii="Times New Roman" w:hAnsi="Times New Roman"/>
          <w:sz w:val="20"/>
          <w:u w:val="single"/>
        </w:rPr>
        <w:t>Section 2.17</w:t>
      </w:r>
      <w:r>
        <w:rPr>
          <w:rFonts w:ascii="Times New Roman" w:hAnsi="Times New Roman"/>
          <w:sz w:val="20"/>
        </w:rPr>
        <w:t xml:space="preserve">, no Lender shall be responsible for the failure of any other Lender to so make its Committed Loan, to purchase its participation or to make its payment under </w:t>
      </w:r>
      <w:r>
        <w:rPr>
          <w:rFonts w:ascii="Times New Roman" w:hAnsi="Times New Roman"/>
          <w:sz w:val="20"/>
          <w:u w:val="single"/>
        </w:rPr>
        <w:t>Section 10.04(c)</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35</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Funding Source.</w:t>
      </w:r>
      <w:r>
        <w:rPr>
          <w:rFonts w:ascii="Times New Roman" w:hAnsi="Times New Roman"/>
          <w:sz w:val="20"/>
        </w:rPr>
        <w:t xml:space="preserve"> Nothing herein shall be deemed to obligate any Lender to obtain the funds for any Loan in any particular place or manner or to constitute a representation by any Lender that it has obtained or will obtain the funds for any Loan in any particular place or manner. </w:t>
      </w:r>
    </w:p>
    <w:p>
      <w:pPr>
        <w:pStyle w:val="TextBody"/>
        <w:bidi w:val="0"/>
        <w:spacing w:before="240" w:after="0"/>
        <w:jc w:val="left"/>
        <w:rPr>
          <w:rFonts w:ascii="Times New Roman" w:hAnsi="Times New Roman"/>
          <w:sz w:val="20"/>
        </w:rPr>
      </w:pPr>
      <w:r>
        <w:rPr>
          <w:rFonts w:ascii="Times New Roman" w:hAnsi="Times New Roman"/>
          <w:b/>
          <w:sz w:val="20"/>
        </w:rPr>
        <w:t>2.13</w:t>
      </w:r>
      <w:r>
        <w:rPr>
          <w:rFonts w:ascii="Times New Roman" w:hAnsi="Times New Roman"/>
          <w:sz w:val="20"/>
        </w:rPr>
        <w:t xml:space="preserve"> </w:t>
      </w:r>
      <w:r>
        <w:rPr>
          <w:rFonts w:ascii="Times New Roman" w:hAnsi="Times New Roman"/>
          <w:b/>
          <w:sz w:val="20"/>
          <w:u w:val="single"/>
        </w:rPr>
        <w:t>Sharing of Payments by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Lender shall, by exercising any right of setoff or counterclaim or otherwise, obtain payment in respect of any principal of or interest on any of the Committed Loans made by it, resulting in such Lender’s receiving payment of a proportion of the aggregate amount of such Committed Loans or participations and accrued interest thereon greater than its pro rata share thereof as provided herein, then the Lender receiving such greater proportion shall (a) notify the Administrative Agent of such fact, and (b) purchase (for cash at face value) participations in the Committed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if any such participations or subparticipations are purchased and all or any portion of the payment giving rise thereto is recovered, such participations or subparticipations shall be rescinded and the purchase price restored to the extent of such recovery, without interest; and </w:t>
      </w:r>
    </w:p>
    <w:p>
      <w:pPr>
        <w:pStyle w:val="TextBody"/>
        <w:bidi w:val="0"/>
        <w:spacing w:before="120" w:after="0"/>
        <w:jc w:val="left"/>
        <w:rPr>
          <w:rFonts w:ascii="Times New Roman" w:hAnsi="Times New Roman"/>
          <w:sz w:val="20"/>
        </w:rPr>
      </w:pPr>
      <w:r>
        <w:rPr>
          <w:rFonts w:ascii="Times New Roman" w:hAnsi="Times New Roman"/>
          <w:sz w:val="20"/>
        </w:rPr>
        <w:t xml:space="preserve">(ii) the provisions of this </w:t>
      </w:r>
      <w:r>
        <w:rPr>
          <w:rFonts w:ascii="Times New Roman" w:hAnsi="Times New Roman"/>
          <w:sz w:val="20"/>
          <w:u w:val="single"/>
        </w:rPr>
        <w:t>Section 2.13</w:t>
      </w:r>
      <w:r>
        <w:rPr>
          <w:rFonts w:ascii="Times New Roman" w:hAnsi="Times New Roman"/>
          <w:sz w:val="20"/>
        </w:rPr>
        <w:t xml:space="preserve"> shall not be construed to apply to (x) any payment made by or on behalf of a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Committed Loans to any assignee or participant, other than to the Company or any Subsidiary (as to which the provisions of this </w:t>
      </w:r>
      <w:r>
        <w:rPr>
          <w:rFonts w:ascii="Times New Roman" w:hAnsi="Times New Roman"/>
          <w:sz w:val="20"/>
          <w:u w:val="single"/>
        </w:rPr>
        <w:t>Section 2.13</w:t>
      </w:r>
      <w:r>
        <w:rPr>
          <w:rFonts w:ascii="Times New Roman" w:hAnsi="Times New Roman"/>
          <w:sz w:val="20"/>
        </w:rPr>
        <w:t xml:space="preserve"> shall apply). </w:t>
      </w:r>
    </w:p>
    <w:p>
      <w:pPr>
        <w:pStyle w:val="TextBody"/>
        <w:bidi w:val="0"/>
        <w:spacing w:before="240" w:after="0"/>
        <w:jc w:val="left"/>
        <w:rPr>
          <w:rFonts w:ascii="Times New Roman" w:hAnsi="Times New Roman"/>
          <w:sz w:val="20"/>
        </w:rPr>
      </w:pPr>
      <w:r>
        <w:rPr>
          <w:rFonts w:ascii="Times New Roman" w:hAnsi="Times New Roman"/>
          <w:sz w:val="20"/>
        </w:rPr>
        <w:t xml:space="preserve">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 </w:t>
      </w:r>
    </w:p>
    <w:p>
      <w:pPr>
        <w:pStyle w:val="TextBody"/>
        <w:bidi w:val="0"/>
        <w:spacing w:before="240" w:after="0"/>
        <w:jc w:val="left"/>
        <w:rPr>
          <w:rFonts w:ascii="Times New Roman" w:hAnsi="Times New Roman"/>
          <w:sz w:val="20"/>
        </w:rPr>
      </w:pPr>
      <w:r>
        <w:rPr>
          <w:rFonts w:ascii="Times New Roman" w:hAnsi="Times New Roman"/>
          <w:b/>
          <w:sz w:val="20"/>
        </w:rPr>
        <w:t>2.14</w:t>
      </w:r>
      <w:r>
        <w:rPr>
          <w:rFonts w:ascii="Times New Roman" w:hAnsi="Times New Roman"/>
          <w:sz w:val="20"/>
        </w:rPr>
        <w:t xml:space="preserve"> </w:t>
      </w:r>
      <w:r>
        <w:rPr>
          <w:rFonts w:ascii="Times New Roman" w:hAnsi="Times New Roman"/>
          <w:b/>
          <w:sz w:val="20"/>
          <w:u w:val="single"/>
        </w:rPr>
        <w:t>Extension of Maturity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Requests for Extension</w:t>
      </w:r>
      <w:r>
        <w:rPr>
          <w:rFonts w:ascii="Times New Roman" w:hAnsi="Times New Roman"/>
          <w:sz w:val="20"/>
        </w:rPr>
        <w:t>. The Company may, by notice to the Administrative Agent (who shall promptly notify the Lenders) not more than 90 days and not less than 45 days prior to the Maturity Date, request that each Lender extend such Lender’s Maturity Date for an additional year from the Maturity Date then in effect (each such date, an “</w:t>
      </w:r>
      <w:r>
        <w:rPr>
          <w:rFonts w:ascii="Times New Roman" w:hAnsi="Times New Roman"/>
          <w:sz w:val="20"/>
          <w:u w:val="single"/>
        </w:rPr>
        <w:t>Existing Maturity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there shall be no limit on the number of such extension requests that shall be permitted during the term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Lender Elections to Extend</w:t>
      </w:r>
      <w:r>
        <w:rPr>
          <w:rFonts w:ascii="Times New Roman" w:hAnsi="Times New Roman"/>
          <w:sz w:val="20"/>
        </w:rPr>
        <w:t>. Each Lender, acting in its sole and individual discretion, shall, by notice to the Administrative Agent given not more than 30 days prior to the Existing Maturity Date and not less than the date (the “</w:t>
      </w:r>
      <w:r>
        <w:rPr>
          <w:rFonts w:ascii="Times New Roman" w:hAnsi="Times New Roman"/>
          <w:sz w:val="20"/>
          <w:u w:val="single"/>
        </w:rPr>
        <w:t>Notice Date</w:t>
      </w:r>
      <w:r>
        <w:rPr>
          <w:rFonts w:ascii="Times New Roman" w:hAnsi="Times New Roman"/>
          <w:sz w:val="20"/>
        </w:rPr>
        <w:t>”) that is 15 days prior to the Existing Maturity Date, advise the Administrative Agent whether or not such Lender agrees to such extension (and each Lender that determines not to so extend its Existing Maturity Date (a “</w:t>
      </w:r>
      <w:r>
        <w:rPr>
          <w:rFonts w:ascii="Times New Roman" w:hAnsi="Times New Roman"/>
          <w:sz w:val="20"/>
          <w:u w:val="single"/>
        </w:rPr>
        <w:t>Non-Extending Lender</w:t>
      </w:r>
      <w:r>
        <w:rPr>
          <w:rFonts w:ascii="Times New Roman" w:hAnsi="Times New Roman"/>
          <w:sz w:val="20"/>
        </w:rPr>
        <w:t xml:space="preserve">”) shall notify the Administrative Agent of such fact 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36</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Notification by Administrative Agent</w:t>
      </w:r>
      <w:r>
        <w:rPr>
          <w:rFonts w:ascii="Times New Roman" w:hAnsi="Times New Roman"/>
          <w:sz w:val="20"/>
        </w:rPr>
        <w:t xml:space="preserve">. The Administrative Agent shall notify the Company of each Lender’s determination under this </w:t>
      </w:r>
      <w:r>
        <w:rPr>
          <w:rFonts w:ascii="Times New Roman" w:hAnsi="Times New Roman"/>
          <w:sz w:val="20"/>
          <w:u w:val="single"/>
        </w:rPr>
        <w:t>Section 2.14</w:t>
      </w:r>
      <w:r>
        <w:rPr>
          <w:rFonts w:ascii="Times New Roman" w:hAnsi="Times New Roman"/>
          <w:sz w:val="20"/>
        </w:rPr>
        <w:t xml:space="preserve"> no later than the date 15 days prior to the Existing Maturity Date (or, if such date is not a Business Day, on the next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Additional Commitment Lenders</w:t>
      </w:r>
      <w:r>
        <w:rPr>
          <w:rFonts w:ascii="Times New Roman" w:hAnsi="Times New Roman"/>
          <w:sz w:val="20"/>
        </w:rPr>
        <w:t>. The Company shall have the right at any time to replace each Non-Extending Lender with, and add as a “Lender” under this Agreement in place thereof, one or more Eligible Assignees (each, an “</w:t>
      </w:r>
      <w:r>
        <w:rPr>
          <w:rFonts w:ascii="Times New Roman" w:hAnsi="Times New Roman"/>
          <w:sz w:val="20"/>
          <w:u w:val="single"/>
        </w:rPr>
        <w:t>Additional Commitment Lender</w:t>
      </w:r>
      <w:r>
        <w:rPr>
          <w:rFonts w:ascii="Times New Roman" w:hAnsi="Times New Roman"/>
          <w:sz w:val="20"/>
        </w:rPr>
        <w:t xml:space="preserve">”) as provided in </w:t>
      </w:r>
      <w:r>
        <w:rPr>
          <w:rFonts w:ascii="Times New Roman" w:hAnsi="Times New Roman"/>
          <w:sz w:val="20"/>
          <w:u w:val="single"/>
        </w:rPr>
        <w:t>Section 10.13</w:t>
      </w:r>
      <w:r>
        <w:rPr>
          <w:rFonts w:ascii="Times New Roman" w:hAnsi="Times New Roman"/>
          <w:sz w:val="20"/>
        </w:rPr>
        <w:t>;</w:t>
      </w:r>
      <w:r>
        <w:rPr>
          <w:rFonts w:ascii="Times New Roman" w:hAnsi="Times New Roman"/>
          <w:sz w:val="20"/>
          <w:u w:val="single"/>
        </w:rPr>
        <w:t xml:space="preserve"> provided</w:t>
      </w:r>
      <w:r>
        <w:rPr>
          <w:rFonts w:ascii="Times New Roman" w:hAnsi="Times New Roman"/>
          <w:sz w:val="20"/>
        </w:rPr>
        <w:t xml:space="preserve"> that each of such Additional Commitment Lenders shall enter into an Assignment and Assumption pursuant to which such Additional Commitment Lender shall, effective no later than the Existing Maturity Date, undertake a Commitment (and, if any such Additional Commitment Lender is already a Lender, its Commitment shall be in addition to such Lender’s Commitment hereunder on such date).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Minimum Extension Requirement</w:t>
      </w:r>
      <w:r>
        <w:rPr>
          <w:rFonts w:ascii="Times New Roman" w:hAnsi="Times New Roman"/>
          <w:sz w:val="20"/>
        </w:rPr>
        <w:t>. If (and only if) the total of the Commitments of the Lenders that have agreed so to extend their Existing Maturity Date (each, an “</w:t>
      </w:r>
      <w:r>
        <w:rPr>
          <w:rFonts w:ascii="Times New Roman" w:hAnsi="Times New Roman"/>
          <w:sz w:val="20"/>
          <w:u w:val="single"/>
        </w:rPr>
        <w:t>Extending Lender</w:t>
      </w:r>
      <w:r>
        <w:rPr>
          <w:rFonts w:ascii="Times New Roman" w:hAnsi="Times New Roman"/>
          <w:sz w:val="20"/>
        </w:rPr>
        <w:t xml:space="preserve">”) and the additional Commitments of the Additional Commitment Lenders shall be more than 50% of the aggregate amount of the Commitments in effect immediately prior to the Existing Maturity Date, then, effective as of the Existing Maturity Date, the Maturity Date of each Extending Lender and of each Additional Commitment Lender shall be extended to the date falling one year after the Existing Maturity Date (except that, if such date is not a Business Day, such Maturity Date as so extended shall be the next preceding Business Day) and each Additional Commitment Lender shall thereupon become a “Lender”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Conditions to Effectiveness of Extensions</w:t>
      </w:r>
      <w:r>
        <w:rPr>
          <w:rFonts w:ascii="Times New Roman" w:hAnsi="Times New Roman"/>
          <w:sz w:val="20"/>
        </w:rPr>
        <w:t>. As a condition precedent to such extension, the Company shall deliver to the Administrative Agent a certificate of the Company dated as of the Existing Maturity Date (in sufficient copies for each Extending Lender and each Additional Commitment Lender) signed by a Responsible Officer of the Company (i) certifying and attaching the resolutions adopted by the Company approving or consenting to such extension and (ii) certifying that, before and after giving effect to such extension, (A) the representations and warranties contained in Article</w:t>
      </w:r>
      <w:r>
        <w:rPr>
          <w:rFonts w:ascii="Times New Roman" w:hAnsi="Times New Roman"/>
          <w:sz w:val="20"/>
          <w:u w:val="single"/>
        </w:rPr>
        <w:t xml:space="preserve"> V</w:t>
      </w:r>
      <w:r>
        <w:rPr>
          <w:rFonts w:ascii="Times New Roman" w:hAnsi="Times New Roman"/>
          <w:sz w:val="20"/>
        </w:rPr>
        <w:t xml:space="preserve"> and the other Loan Documents are true and correct (1) in the case of the representations and warranties qualified as to materiality, in all respects and (2) otherwise, in all material respects on and as of the Existing Maturity Date, except in each case to the extent that such representations and warranties specifically refer to an earlier date, in which case they are true and correct as of such earlier date, and except that for purposes of this </w:t>
      </w:r>
      <w:r>
        <w:rPr>
          <w:rFonts w:ascii="Times New Roman" w:hAnsi="Times New Roman"/>
          <w:sz w:val="20"/>
          <w:u w:val="single"/>
        </w:rPr>
        <w:t>Section 2.14</w:t>
      </w:r>
      <w:r>
        <w:rPr>
          <w:rFonts w:ascii="Times New Roman" w:hAnsi="Times New Roman"/>
          <w:sz w:val="20"/>
        </w:rPr>
        <w:t xml:space="preserve">, the representations and warranties contained in </w:t>
      </w:r>
      <w:r>
        <w:rPr>
          <w:rFonts w:ascii="Times New Roman" w:hAnsi="Times New Roman"/>
          <w:sz w:val="20"/>
          <w:u w:val="single"/>
        </w:rPr>
        <w:t>clause (a)</w:t>
      </w:r>
      <w:r>
        <w:rPr>
          <w:rFonts w:ascii="Times New Roman" w:hAnsi="Times New Roman"/>
          <w:sz w:val="20"/>
        </w:rPr>
        <w:t xml:space="preserve"> of </w:t>
      </w:r>
      <w:r>
        <w:rPr>
          <w:rFonts w:ascii="Times New Roman" w:hAnsi="Times New Roman"/>
          <w:sz w:val="20"/>
          <w:u w:val="single"/>
        </w:rPr>
        <w:t>Section 5.05</w:t>
      </w:r>
      <w:r>
        <w:rPr>
          <w:rFonts w:ascii="Times New Roman" w:hAnsi="Times New Roman"/>
          <w:sz w:val="20"/>
        </w:rPr>
        <w:t xml:space="preserve"> shall be deemed to refer to the most recent statements furnished pursuant to </w:t>
      </w:r>
      <w:r>
        <w:rPr>
          <w:rFonts w:ascii="Times New Roman" w:hAnsi="Times New Roman"/>
          <w:sz w:val="20"/>
          <w:u w:val="single"/>
        </w:rPr>
        <w:t>Section 6.01</w:t>
      </w:r>
      <w:r>
        <w:rPr>
          <w:rFonts w:ascii="Times New Roman" w:hAnsi="Times New Roman"/>
          <w:sz w:val="20"/>
        </w:rPr>
        <w:t xml:space="preserve">, and (B) no Default exists. In addition, on the Existing Maturity Date applicable to any Non-Extending Lender, the Borrowers shall prepay any Committed Loans outstanding on such date (and pay any additional amounts required pursuant to </w:t>
      </w:r>
      <w:r>
        <w:rPr>
          <w:rFonts w:ascii="Times New Roman" w:hAnsi="Times New Roman"/>
          <w:sz w:val="20"/>
          <w:u w:val="single"/>
        </w:rPr>
        <w:t>Section 3.05</w:t>
      </w:r>
      <w:r>
        <w:rPr>
          <w:rFonts w:ascii="Times New Roman" w:hAnsi="Times New Roman"/>
          <w:sz w:val="20"/>
        </w:rPr>
        <w:t xml:space="preserve">) to the extent necessary to keep outstanding Committed Loans ratable with any revised Applicable Percentages of the respective Lenders effective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Conflicting Provisions</w:t>
      </w:r>
      <w:r>
        <w:rPr>
          <w:rFonts w:ascii="Times New Roman" w:hAnsi="Times New Roman"/>
          <w:sz w:val="20"/>
        </w:rPr>
        <w:t xml:space="preserve">. This Section 2.14 shall supersede any provisions in Section 2.13 or 10.01 to the contrary.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37</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2.15</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2.16</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2.17</w:t>
      </w:r>
      <w:r>
        <w:rPr>
          <w:rFonts w:ascii="Times New Roman" w:hAnsi="Times New Roman"/>
          <w:sz w:val="20"/>
        </w:rPr>
        <w:t xml:space="preserve"> </w:t>
      </w:r>
      <w:r>
        <w:rPr>
          <w:rFonts w:ascii="Times New Roman" w:hAnsi="Times New Roman"/>
          <w:b/>
          <w:sz w:val="20"/>
          <w:u w:val="single"/>
        </w:rPr>
        <w:t>Defaulting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Adjustments</w:t>
      </w:r>
      <w:r>
        <w:rPr>
          <w:rFonts w:ascii="Times New Roman" w:hAnsi="Times New Roman"/>
          <w:sz w:val="20"/>
        </w:rPr>
        <w:t xml:space="preserve">. Notwithstanding anything to the contrary contained in this Agreement, if any Lender becomes a Defaulting Lender, then, until such time as that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Waivers and Amendment.</w:t>
      </w:r>
      <w:r>
        <w:rPr>
          <w:rFonts w:ascii="Times New Roman" w:hAnsi="Times New Roman"/>
          <w:sz w:val="20"/>
        </w:rPr>
        <w:t xml:space="preserve"> Such Defaulting Lender’s right to approve or disapprove any amendment, waiver or consent with respect to this Agreement shall be restricted as set forth in the definition of “Required Lenders” and </w:t>
      </w:r>
      <w:r>
        <w:rPr>
          <w:rFonts w:ascii="Times New Roman" w:hAnsi="Times New Roman"/>
          <w:sz w:val="20"/>
          <w:u w:val="single"/>
        </w:rPr>
        <w:t>Section 10.01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Defaulting Lender Waterfall.</w:t>
      </w:r>
      <w:r>
        <w:rPr>
          <w:rFonts w:ascii="Times New Roman" w:hAnsi="Times New Roman"/>
          <w:sz w:val="20"/>
        </w:rPr>
        <w:t xml:space="preserve"> Any payment of principal, interest, fees or other amount received by the Administrative Agent for the account of such Defaulting Lender (whether voluntary or mandatory, at maturity, pursuant to </w:t>
      </w:r>
      <w:r>
        <w:rPr>
          <w:rFonts w:ascii="Times New Roman" w:hAnsi="Times New Roman"/>
          <w:sz w:val="20"/>
          <w:u w:val="single"/>
        </w:rPr>
        <w:t>Article VIII</w:t>
      </w:r>
      <w:r>
        <w:rPr>
          <w:rFonts w:ascii="Times New Roman" w:hAnsi="Times New Roman"/>
          <w:sz w:val="20"/>
        </w:rPr>
        <w:t xml:space="preserve"> or otherwise) or received by the Administrative Agent from a Defaulting Lender pursuant to </w:t>
      </w:r>
      <w:r>
        <w:rPr>
          <w:rFonts w:ascii="Times New Roman" w:hAnsi="Times New Roman"/>
          <w:sz w:val="20"/>
          <w:u w:val="single"/>
        </w:rPr>
        <w:t>Section 10.08</w:t>
      </w:r>
      <w:r>
        <w:rPr>
          <w:rFonts w:ascii="Times New Roman" w:hAnsi="Times New Roman"/>
          <w:sz w:val="20"/>
        </w:rPr>
        <w:t xml:space="preserve">), shall be applied at such time or times as may be determined by the Administrative Agent as follows: </w:t>
      </w:r>
      <w:r>
        <w:rPr>
          <w:rFonts w:ascii="Times New Roman" w:hAnsi="Times New Roman"/>
          <w:sz w:val="20"/>
          <w:u w:val="single"/>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sz w:val="20"/>
          <w:u w:val="single"/>
        </w:rPr>
        <w:t>second,</w:t>
      </w:r>
      <w:r>
        <w:rPr>
          <w:rFonts w:ascii="Times New Roman" w:hAnsi="Times New Roman"/>
          <w:sz w:val="20"/>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sz w:val="20"/>
          <w:u w:val="single"/>
        </w:rPr>
        <w:t>third</w:t>
      </w:r>
      <w:r>
        <w:rPr>
          <w:rFonts w:ascii="Times New Roman" w:hAnsi="Times New Roman"/>
          <w:sz w:val="20"/>
        </w:rPr>
        <w:t xml:space="preserve">, if so determined by the Administrative Agent and the Company, to be held in a deposit account and released pro rata in order to satisfy such Defaulting Lender’s potential future funding obligations with respect to Committed Loans under this Agreement; </w:t>
      </w:r>
      <w:r>
        <w:rPr>
          <w:rFonts w:ascii="Times New Roman" w:hAnsi="Times New Roman"/>
          <w:sz w:val="20"/>
          <w:u w:val="single"/>
        </w:rPr>
        <w:t>fourth</w:t>
      </w:r>
      <w:r>
        <w:rPr>
          <w:rFonts w:ascii="Times New Roman" w:hAnsi="Times New Roman"/>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hAnsi="Times New Roman"/>
          <w:sz w:val="20"/>
          <w:u w:val="single"/>
        </w:rPr>
        <w:t>fifth</w:t>
      </w:r>
      <w:r>
        <w:rPr>
          <w:rFonts w:ascii="Times New Roman" w:hAnsi="Times New Roman"/>
          <w:sz w:val="20"/>
        </w:rPr>
        <w:t xml:space="preserve">, so long as no Default or Event of Default exists, to the payment of any amounts owing to any Borrower as a result of any judgment of a court of competent jurisdiction obtained by such Borrower against that Defaulting Lender as a result of that Defaulting Lender’s breach of its obligations under this Agreement; and </w:t>
      </w:r>
      <w:r>
        <w:rPr>
          <w:rFonts w:ascii="Times New Roman" w:hAnsi="Times New Roman"/>
          <w:sz w:val="20"/>
          <w:u w:val="single"/>
        </w:rPr>
        <w:t>sixth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Times New Roman" w:hAnsi="Times New Roman"/>
          <w:sz w:val="20"/>
          <w:u w:val="single"/>
        </w:rPr>
        <w:t>Section 4.02</w:t>
      </w:r>
      <w:r>
        <w:rPr>
          <w:rFonts w:ascii="Times New Roman" w:hAnsi="Times New Roman"/>
          <w:sz w:val="20"/>
        </w:rPr>
        <w:t xml:space="preserve"> were satisfied or waived, such payment shall be applied solely to the pay the Loans of all Non-Defaulting Lenders on a pro rata basis prior to being applied to the payment of any Loans of such Defaulting Lender until such time as all Committed Loans are held by the Lenders pro rata in accordance with the Commitments hereunder without giving effect to </w:t>
      </w:r>
      <w:r>
        <w:rPr>
          <w:rFonts w:ascii="Times New Roman" w:hAnsi="Times New Roman"/>
          <w:sz w:val="20"/>
          <w:u w:val="single"/>
        </w:rPr>
        <w:t xml:space="preserve">Section </w:t>
      </w:r>
      <w:r>
        <w:rPr>
          <w:rFonts w:ascii="Times New Roman" w:hAnsi="Times New Roman"/>
          <w:b/>
          <w:sz w:val="20"/>
          <w:u w:val="single"/>
        </w:rPr>
        <w:t>Error! Reference source not found.</w:t>
      </w:r>
      <w:r>
        <w:rPr>
          <w:rFonts w:ascii="Times New Roman" w:hAnsi="Times New Roman"/>
          <w:sz w:val="20"/>
        </w:rPr>
        <w:t xml:space="preserve">. Any payments, prepayments or other amounts paid or payable to a Defaulting Lender that are applied (or held) to pay amounts owed by a Defaulting Lender shall be deemed paid to and redirected by such Defaulting Lender, and each Lender irrevocably consents hereto. </w:t>
      </w:r>
    </w:p>
    <w:p>
      <w:pPr>
        <w:pStyle w:val="TextBody"/>
        <w:bidi w:val="0"/>
        <w:spacing w:before="120" w:after="0"/>
        <w:jc w:val="left"/>
        <w:rPr>
          <w:rFonts w:ascii="Times New Roman" w:hAnsi="Times New Roman"/>
          <w:sz w:val="20"/>
        </w:rPr>
      </w:pPr>
      <w:r>
        <w:rPr>
          <w:rFonts w:ascii="Times New Roman" w:hAnsi="Times New Roman"/>
          <w:sz w:val="20"/>
        </w:rPr>
        <w:t>(iii) Certain Fees. Each Defaulting Lender shall be entitled to receive fees payable under</w:t>
      </w:r>
      <w:r>
        <w:rPr>
          <w:rFonts w:ascii="Times New Roman" w:hAnsi="Times New Roman"/>
          <w:sz w:val="20"/>
          <w:u w:val="single"/>
        </w:rPr>
        <w:t xml:space="preserve"> Section 2.09(a)</w:t>
      </w:r>
      <w:r>
        <w:rPr>
          <w:rFonts w:ascii="Times New Roman" w:hAnsi="Times New Roman"/>
          <w:sz w:val="20"/>
        </w:rPr>
        <w:t xml:space="preserve"> for any period during which that Lender is a Defaulting Lender only to extent allocable to the outstanding principal amount of the Committed Loans funded by it.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Cure</w:t>
      </w:r>
      <w:r>
        <w:rPr>
          <w:rFonts w:ascii="Times New Roman" w:hAnsi="Times New Roman"/>
          <w:sz w:val="20"/>
        </w:rPr>
        <w:t xml:space="preserve">. If the Company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38</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Lenders or take such other actions as the Administrative Agent may determine to be necessary to cause the Loans to be held on a pro rata basis by the Lenders in accordance with their Applicable Percentages (without giving effect to </w:t>
      </w:r>
      <w:r>
        <w:rPr>
          <w:rFonts w:ascii="Times New Roman" w:hAnsi="Times New Roman"/>
          <w:sz w:val="20"/>
          <w:u w:val="single"/>
        </w:rPr>
        <w:t xml:space="preserve">Section </w:t>
      </w:r>
      <w:r>
        <w:rPr>
          <w:rFonts w:ascii="Times New Roman" w:hAnsi="Times New Roman"/>
          <w:b/>
          <w:sz w:val="20"/>
          <w:u w:val="single"/>
        </w:rPr>
        <w:t>Error! Reference source not found.</w:t>
      </w:r>
      <w:r>
        <w:rPr>
          <w:rFonts w:ascii="Times New Roman" w:hAnsi="Times New Roman"/>
          <w:sz w:val="20"/>
        </w:rPr>
        <w:t xml:space="preserve">), whereupon such Lender will cease to be a Defaulting Lender;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any Borrower while that Lender was a Defaulting Lender; </w:t>
      </w:r>
      <w:r>
        <w:rPr>
          <w:rFonts w:ascii="Times New Roman" w:hAnsi="Times New Roman"/>
          <w:sz w:val="20"/>
          <w:u w:val="single"/>
        </w:rPr>
        <w:t>provided 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 having been a Defaulting Lender. </w:t>
      </w:r>
    </w:p>
    <w:p>
      <w:pPr>
        <w:pStyle w:val="TextBody"/>
        <w:bidi w:val="0"/>
        <w:spacing w:before="240" w:after="0"/>
        <w:jc w:val="left"/>
        <w:rPr>
          <w:rFonts w:ascii="Times New Roman" w:hAnsi="Times New Roman"/>
          <w:sz w:val="20"/>
        </w:rPr>
      </w:pPr>
      <w:r>
        <w:rPr>
          <w:rFonts w:ascii="Times New Roman" w:hAnsi="Times New Roman"/>
          <w:b/>
          <w:sz w:val="20"/>
        </w:rPr>
        <w:t>2.18</w:t>
      </w:r>
      <w:r>
        <w:rPr>
          <w:rFonts w:ascii="Times New Roman" w:hAnsi="Times New Roman"/>
          <w:sz w:val="20"/>
        </w:rPr>
        <w:t xml:space="preserve"> </w:t>
      </w:r>
      <w:r>
        <w:rPr>
          <w:rFonts w:ascii="Times New Roman" w:hAnsi="Times New Roman"/>
          <w:b/>
          <w:sz w:val="20"/>
          <w:u w:val="single"/>
        </w:rPr>
        <w:t>Designated Borrowers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Designated Borrowers</w:t>
      </w:r>
      <w:r>
        <w:rPr>
          <w:rFonts w:ascii="Times New Roman" w:hAnsi="Times New Roman"/>
          <w:sz w:val="20"/>
        </w:rPr>
        <w:t>. The Company may at any time, upon not less than fifteen Business Days’ notice from the Company to the Administrative Agent (or such shorter period as may be agreed by the Administrative Agent in its sole discretion), request to designate any wholly-owned Subsidiary of the Company (an “</w:t>
      </w:r>
      <w:r>
        <w:rPr>
          <w:rFonts w:ascii="Times New Roman" w:hAnsi="Times New Roman"/>
          <w:sz w:val="20"/>
          <w:u w:val="single"/>
        </w:rPr>
        <w:t>Applicant Borrower</w:t>
      </w:r>
      <w:r>
        <w:rPr>
          <w:rFonts w:ascii="Times New Roman" w:hAnsi="Times New Roman"/>
          <w:sz w:val="20"/>
        </w:rPr>
        <w:t xml:space="preserve">”) as a Designated Borrower to receive Committed Loans hereunder by delivering to the Administrative Agent (which shall promptly deliver counterparts thereof to each Lender) a duly executed notice and agreement in substantially the form of </w:t>
      </w:r>
      <w:r>
        <w:rPr>
          <w:rFonts w:ascii="Times New Roman" w:hAnsi="Times New Roman"/>
          <w:sz w:val="20"/>
          <w:u w:val="single"/>
        </w:rPr>
        <w:t>EXHIBIT 2.18(a)</w:t>
      </w:r>
      <w:r>
        <w:rPr>
          <w:rFonts w:ascii="Times New Roman" w:hAnsi="Times New Roman"/>
          <w:sz w:val="20"/>
        </w:rPr>
        <w:t xml:space="preserve"> (a “</w:t>
      </w:r>
      <w:r>
        <w:rPr>
          <w:rFonts w:ascii="Times New Roman" w:hAnsi="Times New Roman"/>
          <w:sz w:val="20"/>
          <w:u w:val="single"/>
        </w:rPr>
        <w:t>Designated Borrower Request and Assumption Agreement</w:t>
      </w:r>
      <w:r>
        <w:rPr>
          <w:rFonts w:ascii="Times New Roman" w:hAnsi="Times New Roman"/>
          <w:sz w:val="20"/>
        </w:rPr>
        <w:t xml:space="preserve">”). The parties hereto acknowledge and agree that, prior to any Applicant Borrower becoming a Designated Borrower hereunder and being entitled to utilize the credit facility provided for herein (i) the Administrative Agent and each Lender must agree to such Applicant Borrower (other than any Applicant Borrower organized under the laws of Ireland, but subject to the other requirements of this </w:t>
      </w:r>
      <w:r>
        <w:rPr>
          <w:rFonts w:ascii="Times New Roman" w:hAnsi="Times New Roman"/>
          <w:sz w:val="20"/>
          <w:u w:val="single"/>
        </w:rPr>
        <w:t>Section 2.18</w:t>
      </w:r>
      <w:r>
        <w:rPr>
          <w:rFonts w:ascii="Times New Roman" w:hAnsi="Times New Roman"/>
          <w:sz w:val="20"/>
        </w:rPr>
        <w:t xml:space="preserve">, including </w:t>
      </w:r>
      <w:r>
        <w:rPr>
          <w:rFonts w:ascii="Times New Roman" w:hAnsi="Times New Roman"/>
          <w:sz w:val="20"/>
          <w:u w:val="single"/>
        </w:rPr>
        <w:t>clause (iii)</w:t>
      </w:r>
      <w:r>
        <w:rPr>
          <w:rFonts w:ascii="Times New Roman" w:hAnsi="Times New Roman"/>
          <w:sz w:val="20"/>
        </w:rPr>
        <w:t xml:space="preserve"> below), becoming a Designated Borrower, (ii) the Administrative Agent and each Lender shall have received the Company Guaranty and such supporting resolutions, incumbency certificates, opinions of counsel and other documents or information, in form, content and scope reasonably satisfactory to the Administrative Agent, as may be required by the Administrative Agent, and Notes signed by such Applicant Borrower to the extent any Lender so requires and (iii) upon the reasonable request of any Lender, the Applicant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the Beneficial Ownership Regulation (the requirements in </w:t>
      </w:r>
      <w:r>
        <w:rPr>
          <w:rFonts w:ascii="Times New Roman" w:hAnsi="Times New Roman"/>
          <w:sz w:val="20"/>
          <w:u w:val="single"/>
        </w:rPr>
        <w:t>clauses (i)</w:t>
      </w:r>
      <w:r>
        <w:rPr>
          <w:rFonts w:ascii="Times New Roman" w:hAnsi="Times New Roman"/>
          <w:sz w:val="20"/>
        </w:rPr>
        <w:t>, (ii) and (</w:t>
      </w:r>
      <w:r>
        <w:rPr>
          <w:rFonts w:ascii="Times New Roman" w:hAnsi="Times New Roman"/>
          <w:sz w:val="20"/>
          <w:u w:val="single"/>
        </w:rPr>
        <w:t>iii)</w:t>
      </w:r>
      <w:r>
        <w:rPr>
          <w:rFonts w:ascii="Times New Roman" w:hAnsi="Times New Roman"/>
          <w:sz w:val="20"/>
        </w:rPr>
        <w:t> hereof, the “</w:t>
      </w:r>
      <w:r>
        <w:rPr>
          <w:rFonts w:ascii="Times New Roman" w:hAnsi="Times New Roman"/>
          <w:sz w:val="20"/>
          <w:u w:val="single"/>
        </w:rPr>
        <w:t>Designated Borrower Requirements</w:t>
      </w:r>
      <w:r>
        <w:rPr>
          <w:rFonts w:ascii="Times New Roman" w:hAnsi="Times New Roman"/>
          <w:sz w:val="20"/>
        </w:rPr>
        <w:t xml:space="preserve">”). If the Designated Borrower Requirements are met, the Administrative Agent shall send a notice in substantially the form of </w:t>
      </w:r>
      <w:r>
        <w:rPr>
          <w:rFonts w:ascii="Times New Roman" w:hAnsi="Times New Roman"/>
          <w:sz w:val="20"/>
          <w:u w:val="single"/>
        </w:rPr>
        <w:t>EXHIBIT 2.18(b)</w:t>
      </w:r>
      <w:r>
        <w:rPr>
          <w:rFonts w:ascii="Times New Roman" w:hAnsi="Times New Roman"/>
          <w:sz w:val="20"/>
        </w:rPr>
        <w:t xml:space="preserve"> (a “</w:t>
      </w:r>
      <w:r>
        <w:rPr>
          <w:rFonts w:ascii="Times New Roman" w:hAnsi="Times New Roman"/>
          <w:sz w:val="20"/>
          <w:u w:val="single"/>
        </w:rPr>
        <w:t>Designated Borrower Notice</w:t>
      </w:r>
      <w:r>
        <w:rPr>
          <w:rFonts w:ascii="Times New Roman" w:hAnsi="Times New Roman"/>
          <w:sz w:val="20"/>
        </w:rPr>
        <w:t xml:space="preserve">”) to the Company and the Lenders specifying the effective date upon which the Applicant Borrower shall constitute a Designated Borrower for purposes hereof, whereupon each of the Lenders agrees to permit such Designated Borrower to receive Committed Loans hereunder, on the terms and conditions set forth herein, and each of the parties agrees that such Designated Borrower otherwise shall be a Borrower for all purposes of this Agreement; </w:t>
      </w:r>
      <w:r>
        <w:rPr>
          <w:rFonts w:ascii="Times New Roman" w:hAnsi="Times New Roman"/>
          <w:sz w:val="20"/>
          <w:u w:val="single"/>
        </w:rPr>
        <w:t>provided</w:t>
      </w:r>
      <w:r>
        <w:rPr>
          <w:rFonts w:ascii="Times New Roman" w:hAnsi="Times New Roman"/>
          <w:sz w:val="20"/>
        </w:rPr>
        <w:t xml:space="preserve"> that no Committed Loan Notice may be submitted by or on behalf of such Designated Borrower until the date five (5) Business Days after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Obligations</w:t>
      </w:r>
      <w:r>
        <w:rPr>
          <w:rFonts w:ascii="Times New Roman" w:hAnsi="Times New Roman"/>
          <w:sz w:val="20"/>
        </w:rPr>
        <w:t xml:space="preserve">. The Company shall guarantee in favor of the Administrative Agent and the Lenders the Obligations of any Designated Borrowers in the form of a Company Guaranty. The Obligations of the Company and each of the Designated Borrowers shall be several and not joint in nature. For the avoidance of doubt, the Obligations owed by a Designated Borrower that is a Foreign Subsidiary shall be several and not joint with the Obligations of the Company or of any Designated Borrower.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Appointment</w:t>
      </w:r>
      <w:r>
        <w:rPr>
          <w:rFonts w:ascii="Times New Roman" w:hAnsi="Times New Roman"/>
          <w:sz w:val="20"/>
        </w:rPr>
        <w:t xml:space="preserve">. Each Subsidiary of the Company that is or becomes a “Designated Borrower” pursuant to this </w:t>
      </w:r>
      <w:r>
        <w:rPr>
          <w:rFonts w:ascii="Times New Roman" w:hAnsi="Times New Roman"/>
          <w:sz w:val="20"/>
          <w:u w:val="single"/>
        </w:rPr>
        <w:t>Section 2.18</w:t>
      </w:r>
      <w:r>
        <w:rPr>
          <w:rFonts w:ascii="Times New Roman" w:hAnsi="Times New Roman"/>
          <w:sz w:val="20"/>
        </w:rPr>
        <w:t xml:space="preserve"> hereby irrevocably appoints the Company to act as its agent for all purposes of this Agreement and the other Loan Documents and agrees that (i) the Company may execute such documents on behalf of such Designated Borrower as the Company deems appropriate in its sole discretion and each Designated Borrower shall be obligated by all of the terms of any such document executed on 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39</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behalf, (ii) any notice or communication delivered by the Administrative Agent or the Lender to the Company shall be deemed delivered to each Designated Borrower and (iii) the Administrative Agent or the Lenders may accept, and be permitted to rely on, any document, instrument or agreement executed by the Company on behalf of each of the Loan Parties. </w:t>
      </w:r>
    </w:p>
    <w:p>
      <w:pPr>
        <w:pStyle w:val="TextBody"/>
        <w:bidi w:val="0"/>
        <w:spacing w:before="240" w:after="0"/>
        <w:jc w:val="left"/>
        <w:rPr>
          <w:rFonts w:ascii="Times New Roman" w:hAnsi="Times New Roman"/>
          <w:b/>
          <w:sz w:val="20"/>
        </w:rPr>
      </w:pPr>
      <w:r>
        <w:rPr>
          <w:rFonts w:ascii="Times New Roman" w:hAnsi="Times New Roman"/>
          <w:b/>
          <w:sz w:val="20"/>
        </w:rPr>
        <w:t xml:space="preserve">2.19 Term-Out Option. </w:t>
      </w:r>
    </w:p>
    <w:p>
      <w:pPr>
        <w:pStyle w:val="TextBody"/>
        <w:bidi w:val="0"/>
        <w:spacing w:before="240" w:after="0"/>
        <w:jc w:val="left"/>
        <w:rPr>
          <w:rFonts w:ascii="Times New Roman" w:hAnsi="Times New Roman"/>
          <w:sz w:val="20"/>
        </w:rPr>
      </w:pPr>
      <w:r>
        <w:rPr>
          <w:rFonts w:ascii="Times New Roman" w:hAnsi="Times New Roman"/>
          <w:sz w:val="20"/>
        </w:rPr>
        <w:t>(a) The Company may, upon delivery of a Term-Out Notice (a “</w:t>
      </w:r>
      <w:r>
        <w:rPr>
          <w:rFonts w:ascii="Times New Roman" w:hAnsi="Times New Roman"/>
          <w:sz w:val="20"/>
          <w:u w:val="single"/>
        </w:rPr>
        <w:t>Term-Out Election</w:t>
      </w:r>
      <w:r>
        <w:rPr>
          <w:rFonts w:ascii="Times New Roman" w:hAnsi="Times New Roman"/>
          <w:sz w:val="20"/>
        </w:rPr>
        <w:t xml:space="preserve">”) to the Administrative Agent not later than three Business Days prior to the Maturity Date and satisfaction of the conditions specified in </w:t>
      </w:r>
      <w:r>
        <w:rPr>
          <w:rFonts w:ascii="Times New Roman" w:hAnsi="Times New Roman"/>
          <w:sz w:val="20"/>
          <w:u w:val="single"/>
        </w:rPr>
        <w:t>Section 2.19(b)</w:t>
      </w:r>
      <w:r>
        <w:rPr>
          <w:rFonts w:ascii="Times New Roman" w:hAnsi="Times New Roman"/>
          <w:sz w:val="20"/>
        </w:rPr>
        <w:t>, elect to have all or a portion of the principal amount of the Loans outstanding on the Maturity Date converted into non-revolving term loans (collectively, the “</w:t>
      </w:r>
      <w:r>
        <w:rPr>
          <w:rFonts w:ascii="Times New Roman" w:hAnsi="Times New Roman"/>
          <w:sz w:val="20"/>
          <w:u w:val="single"/>
        </w:rPr>
        <w:t>Term Loans</w:t>
      </w:r>
      <w:r>
        <w:rPr>
          <w:rFonts w:ascii="Times New Roman" w:hAnsi="Times New Roman"/>
          <w:sz w:val="20"/>
        </w:rPr>
        <w:t>”) on the Maturity Date, which Term Loans shall be repaid in full ratably to the Lenders on the date that is one year after the Maturity Date (the “</w:t>
      </w:r>
      <w:r>
        <w:rPr>
          <w:rFonts w:ascii="Times New Roman" w:hAnsi="Times New Roman"/>
          <w:sz w:val="20"/>
          <w:u w:val="single"/>
        </w:rPr>
        <w:t>Extended Maturity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Company may submit no more than one Term-Out Election during the term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Upon the effectiveness of the Term-Out Election, the Commitments shall be permanently terminated. All Loans converted into Term Loans pursuant to this </w:t>
      </w:r>
      <w:r>
        <w:rPr>
          <w:rFonts w:ascii="Times New Roman" w:hAnsi="Times New Roman"/>
          <w:sz w:val="20"/>
          <w:u w:val="single"/>
        </w:rPr>
        <w:t>Section 2.19</w:t>
      </w:r>
      <w:r>
        <w:rPr>
          <w:rFonts w:ascii="Times New Roman" w:hAnsi="Times New Roman"/>
          <w:sz w:val="20"/>
        </w:rPr>
        <w:t xml:space="preserve"> shall continue to constitute Loans except that the Borrowers may not reborrow after all or any portion of such Loan have been prepaid or repaid. The effectiveness of the Term-Out Election is subject to the satisfaction of the following conditions: (i) the representations and warranties contained in Article</w:t>
      </w:r>
      <w:r>
        <w:rPr>
          <w:rFonts w:ascii="Times New Roman" w:hAnsi="Times New Roman"/>
          <w:sz w:val="20"/>
          <w:u w:val="single"/>
        </w:rPr>
        <w:t xml:space="preserve"> V</w:t>
      </w:r>
      <w:r>
        <w:rPr>
          <w:rFonts w:ascii="Times New Roman" w:hAnsi="Times New Roman"/>
          <w:sz w:val="20"/>
        </w:rPr>
        <w:t xml:space="preserve"> (other than </w:t>
      </w:r>
      <w:r>
        <w:rPr>
          <w:rFonts w:ascii="Times New Roman" w:hAnsi="Times New Roman"/>
          <w:sz w:val="20"/>
          <w:u w:val="single"/>
        </w:rPr>
        <w:t>Section 5.05(b)</w:t>
      </w:r>
      <w:r>
        <w:rPr>
          <w:rFonts w:ascii="Times New Roman" w:hAnsi="Times New Roman"/>
          <w:sz w:val="20"/>
        </w:rPr>
        <w:t xml:space="preserve"> or </w:t>
      </w:r>
      <w:r>
        <w:rPr>
          <w:rFonts w:ascii="Times New Roman" w:hAnsi="Times New Roman"/>
          <w:sz w:val="20"/>
          <w:u w:val="single"/>
        </w:rPr>
        <w:t>Section 5.06</w:t>
      </w:r>
      <w:r>
        <w:rPr>
          <w:rFonts w:ascii="Times New Roman" w:hAnsi="Times New Roman"/>
          <w:sz w:val="20"/>
        </w:rPr>
        <w:t xml:space="preserve">) or any other Loan Document or in any document furnished at any time under or in connection herewith or therewith, shall be true and correct (A) in the case of the representations and warranties qualified as to materiality, in all respects and (B) otherwise, in all material respects on and as of the date of such extension and after giving effect thereto, as though made on and as of such date, except to the extent any such representation or warranty is stated to relate solely to an earlier date, in which case such representation or warranty shall have been true and correct on and as of such earlier date, (ii) no Default or Event of Default has occurred and is continuing or would result from the Term-Out Election and (iii) delivery of a customary certificate, signed by a Responsible Officer of the Company, stating that the conditions in </w:t>
      </w:r>
      <w:r>
        <w:rPr>
          <w:rFonts w:ascii="Times New Roman" w:hAnsi="Times New Roman"/>
          <w:sz w:val="20"/>
          <w:u w:val="single"/>
        </w:rPr>
        <w:t>Section 2.19(b)(i)</w:t>
      </w:r>
      <w:r>
        <w:rPr>
          <w:rFonts w:ascii="Times New Roman" w:hAnsi="Times New Roman"/>
          <w:sz w:val="20"/>
        </w:rPr>
        <w:t xml:space="preserve"> and </w:t>
      </w:r>
      <w:r>
        <w:rPr>
          <w:rFonts w:ascii="Times New Roman" w:hAnsi="Times New Roman"/>
          <w:sz w:val="20"/>
          <w:u w:val="single"/>
        </w:rPr>
        <w:t>(b)(ii)</w:t>
      </w:r>
      <w:r>
        <w:rPr>
          <w:rFonts w:ascii="Times New Roman" w:hAnsi="Times New Roman"/>
          <w:sz w:val="20"/>
        </w:rPr>
        <w:t xml:space="preserve"> have been satisfied upon the effectiveness of the Term-Out Election and (iv) a one-time fee equal to 0.50% of the principal amount of the Loans outstanding on the Maturity Date that are being converted to Term Loans (after giving effect to any payments made on such date) has been paid to the Administrative Agent for the account of each Lender whose Loans are being converted to Term Loans.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TAXES, YIELD PROTECTION AND ILLEGALITY </w:t>
      </w:r>
    </w:p>
    <w:p>
      <w:pPr>
        <w:pStyle w:val="TextBody"/>
        <w:bidi w:val="0"/>
        <w:spacing w:before="240" w:after="0"/>
        <w:jc w:val="left"/>
        <w:rPr>
          <w:rFonts w:ascii="Times New Roman" w:hAnsi="Times New Roman"/>
          <w:sz w:val="20"/>
        </w:rPr>
      </w:pPr>
      <w:r>
        <w:rPr>
          <w:rFonts w:ascii="Times New Roman" w:hAnsi="Times New Roman"/>
          <w:b/>
          <w:sz w:val="20"/>
        </w:rPr>
        <w:t>3.01</w:t>
      </w:r>
      <w:r>
        <w:rPr>
          <w:rFonts w:ascii="Times New Roman" w:hAnsi="Times New Roman"/>
          <w:sz w:val="20"/>
        </w:rPr>
        <w:t xml:space="preserve"> </w:t>
      </w:r>
      <w:r>
        <w:rPr>
          <w:rFonts w:ascii="Times New Roman" w:hAnsi="Times New Roman"/>
          <w:b/>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Free of Taxes; Obligation to Withhold; Payments on Account of Taxes</w:t>
      </w:r>
      <w:r>
        <w:rPr>
          <w:rFonts w:ascii="Times New Roman" w:hAnsi="Times New Roman"/>
          <w:sz w:val="20"/>
        </w:rPr>
        <w:t xml:space="preserve">. (i) 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or the applicable Loan Party, as applicable) require the deduction or withholding of any Tax from any such payment by the Administrative Agent or the applicable Loan Party, then the Administrative Agent or the applicable Loan Party shall be entitled to make such deduction or withholding, upon the basis of the information and documentation to be delivered pursuant to </w:t>
      </w:r>
      <w:r>
        <w:rPr>
          <w:rFonts w:ascii="Times New Roman" w:hAnsi="Times New Roman"/>
          <w:sz w:val="20"/>
          <w:u w:val="single"/>
        </w:rPr>
        <w:t>clause (e)</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(ii) If any Loan Party or the Administrative Agent shall be required by applicable Law to withhold or deduct any Taxes, including both United States Federal backup withholding and withholding Taxes, from any payment, then (A) the Administrative Agent shall withhold or make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40</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such deductions as are determined by the Administrative Agent to be required based upon the information and documentation it has received pursuant to </w:t>
      </w:r>
      <w:r>
        <w:rPr>
          <w:rFonts w:ascii="Times New Roman" w:hAnsi="Times New Roman"/>
          <w:sz w:val="20"/>
          <w:u w:val="single"/>
        </w:rPr>
        <w:t>clause (e)</w:t>
      </w:r>
      <w:r>
        <w:rPr>
          <w:rFonts w:ascii="Times New Roman" w:hAnsi="Times New Roman"/>
          <w:sz w:val="20"/>
        </w:rPr>
        <w:t xml:space="preserve"> below, (B) the Administrative Agent shall timely pay the full amount withheld or deducted to the relevant Governmental Authority in accordance with applicable Law,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hAnsi="Times New Roman"/>
          <w:sz w:val="20"/>
          <w:u w:val="single"/>
        </w:rPr>
        <w:t>Section 3.01</w:t>
      </w:r>
      <w:r>
        <w:rPr>
          <w:rFonts w:ascii="Times New Roman" w:hAnsi="Times New Roman"/>
          <w:sz w:val="20"/>
        </w:rPr>
        <w:t xml:space="preserve">) the applicable Recipient receives an amount equal to the sum it would have received had no such withholding or deduction of Indemnified Taxes been made.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Other Taxes by the Loan Parties</w:t>
      </w:r>
      <w:r>
        <w:rPr>
          <w:rFonts w:ascii="Times New Roman" w:hAnsi="Times New Roman"/>
          <w:sz w:val="20"/>
        </w:rPr>
        <w:t xml:space="preserve">. Without limiting the provisions of </w:t>
      </w:r>
      <w:r>
        <w:rPr>
          <w:rFonts w:ascii="Times New Roman" w:hAnsi="Times New Roman"/>
          <w:sz w:val="20"/>
          <w:u w:val="single"/>
        </w:rPr>
        <w:t>clause (a)</w:t>
      </w:r>
      <w:r>
        <w:rPr>
          <w:rFonts w:ascii="Times New Roman" w:hAnsi="Times New Roman"/>
          <w:sz w:val="20"/>
        </w:rPr>
        <w:t xml:space="preserve"> above, the Loan Parties shall timely pay to the relevant Governmental Authority in accordance with applicable Law, or at the option of the Administrative Agent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 Indemnifications</w:t>
      </w:r>
      <w:r>
        <w:rPr>
          <w:rFonts w:ascii="Times New Roman" w:hAnsi="Times New Roman"/>
          <w:sz w:val="20"/>
        </w:rPr>
        <w:t xml:space="preserve">. (i) The Loan Parties shall, and do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hAnsi="Times New Roman"/>
          <w:sz w:val="20"/>
          <w:u w:val="single"/>
        </w:rPr>
        <w:t>Section 3.01</w:t>
      </w:r>
      <w:r>
        <w:rPr>
          <w:rFonts w:ascii="Times New Roman" w:hAnsi="Times New Roman"/>
          <w:sz w:val="20"/>
        </w:rPr>
        <w:t xml:space="preserve">) payable or paid by such Recipient or required to be withheld or deducted from a payment to such Recipient, and any penalties, interest and reasonable expenses arising therefrom or with respect thereto, other than penalties, interest or reasonable expenses arising from the gross negligence or willful misconduct on the part of the Recipient as determined by a court of competent jurisdiction by final and nonappealable judgment,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 The Loan Parties shall, and do hereby indemnify the Administrative Agent, and shall make payment in respect thereof within 10 days after demand therefor, for any amount which a Lender for any reason fails to pay indefeasibly to the Administrative Agent as required pursuant to </w:t>
      </w:r>
      <w:r>
        <w:rPr>
          <w:rFonts w:ascii="Times New Roman" w:hAnsi="Times New Roman"/>
          <w:sz w:val="20"/>
          <w:u w:val="single"/>
        </w:rPr>
        <w:t>Section 3.01(c)(ii)</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(ii) Each Lender shall, and does hereby, severally indemnify, and shall make payment in respect thereof within 10 days after demand therefor, (x) the Administrative Agent against any Indemnified Taxes attributable to such Lender (but only to the extent that no Borrower has already indemnified the Administrative Agent for such Indemnified Taxes and without limiting the obligation of the Borrowers to do so), (y) the Administrative Agent against any Taxes attributable to such Lender’s failure to comply with the provisions of </w:t>
      </w:r>
      <w:r>
        <w:rPr>
          <w:rFonts w:ascii="Times New Roman" w:hAnsi="Times New Roman"/>
          <w:sz w:val="20"/>
          <w:u w:val="single"/>
        </w:rPr>
        <w:t>Section 10.06(d)</w:t>
      </w:r>
      <w:r>
        <w:rPr>
          <w:rFonts w:ascii="Times New Roman" w:hAnsi="Times New Roman"/>
          <w:sz w:val="20"/>
        </w:rPr>
        <w:t xml:space="preserve"> relating to the maintenance of a Participant Register and (z) the Administrative Agent and the Borrowers, as applicable, against any Excluded Taxes attributable to such Lender, in each case, that are payable or paid by the Administrative Agent or any Borrower in connection with any Loan Document, and any penalties, interest and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Times New Roman" w:hAnsi="Times New Roman"/>
          <w:sz w:val="20"/>
          <w:u w:val="single"/>
        </w:rPr>
        <w:t>clause (ii)</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41</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Evidence of Payments</w:t>
      </w:r>
      <w:r>
        <w:rPr>
          <w:rFonts w:ascii="Times New Roman" w:hAnsi="Times New Roman"/>
          <w:sz w:val="20"/>
        </w:rPr>
        <w:t xml:space="preserve">. Upon request by a Loan Party or the Administrative Agent, as the case may be, after any payment of Taxes by such Loan Party or by the Administrative Agent to a Governmental Authority as provided in this </w:t>
      </w:r>
      <w:r>
        <w:rPr>
          <w:rFonts w:ascii="Times New Roman" w:hAnsi="Times New Roman"/>
          <w:sz w:val="20"/>
          <w:u w:val="single"/>
        </w:rPr>
        <w:t>Section 3.01</w:t>
      </w:r>
      <w:r>
        <w:rPr>
          <w:rFonts w:ascii="Times New Roman" w:hAnsi="Times New Roman"/>
          <w:sz w:val="20"/>
        </w:rPr>
        <w:t xml:space="preserve">,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the requesting Loan Party or the Administrative Agent,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Status of Lenders; Tax Documentation</w:t>
      </w:r>
      <w:r>
        <w:rPr>
          <w:rFonts w:ascii="Times New Roman" w:hAnsi="Times New Roman"/>
          <w:sz w:val="20"/>
        </w:rPr>
        <w:t xml:space="preserve">.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sz w:val="20"/>
          <w:u w:val="single"/>
        </w:rPr>
        <w:t>Section 3.01(e)(i)(A)</w:t>
      </w:r>
      <w:r>
        <w:rPr>
          <w:rFonts w:ascii="Times New Roman" w:hAnsi="Times New Roman"/>
          <w:sz w:val="20"/>
        </w:rPr>
        <w:t xml:space="preserve">, </w:t>
      </w:r>
      <w:r>
        <w:rPr>
          <w:rFonts w:ascii="Times New Roman" w:hAnsi="Times New Roman"/>
          <w:sz w:val="20"/>
          <w:u w:val="single"/>
        </w:rPr>
        <w:t>(i)(B)</w:t>
      </w:r>
      <w:r>
        <w:rPr>
          <w:rFonts w:ascii="Times New Roman" w:hAnsi="Times New Roman"/>
          <w:sz w:val="20"/>
        </w:rPr>
        <w:t xml:space="preserve">, </w:t>
      </w:r>
      <w:r>
        <w:rPr>
          <w:rFonts w:ascii="Times New Roman" w:hAnsi="Times New Roman"/>
          <w:sz w:val="20"/>
          <w:u w:val="single"/>
        </w:rPr>
        <w:t>(i)(D),</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 Without limiting the generality of the foregoing, in the event that a Borrower is a U.S. Person: </w:t>
      </w:r>
    </w:p>
    <w:p>
      <w:pPr>
        <w:pStyle w:val="TextBody"/>
        <w:bidi w:val="0"/>
        <w:spacing w:before="120" w:after="0"/>
        <w:jc w:val="left"/>
        <w:rPr>
          <w:rFonts w:ascii="Times New Roman" w:hAnsi="Times New Roman"/>
          <w:sz w:val="20"/>
        </w:rPr>
      </w:pPr>
      <w:r>
        <w:rPr>
          <w:rFonts w:ascii="Times New Roman" w:hAnsi="Times New Roman"/>
          <w:sz w:val="20"/>
        </w:rPr>
        <w:t xml:space="preserve">(A) any Lender that is a U.S. Person shall deliver to the Company and the Administrative Agent on or prior to the date on which such Lender becomes a Lender under this Agreement (and from time to time thereafter upon the reasonable request of the Company or the Administrative Agent), copies of IRS Form W-9 certifying that such Lender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Foreign Lender claiming the benefits of an income tax treaty to which the United States is a party (x) with respect to payments of interest under any Loan Document,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(2) copies of IRS Form W-8ECI;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42</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u w:val="single"/>
        </w:rPr>
        <w:t>(3)</w:t>
      </w:r>
      <w:r>
        <w:rPr>
          <w:rFonts w:ascii="Times New Roman" w:hAnsi="Times New Roman"/>
          <w:sz w:val="20"/>
        </w:rPr>
        <w:t xml:space="preserve"> in the case of a Foreign Lender claiming the benefits of the exemption for portfolio interest under Section 881(c) of the Code, (x) a certificate substantially in the form of </w:t>
      </w:r>
      <w:r>
        <w:rPr>
          <w:rFonts w:ascii="Times New Roman" w:hAnsi="Times New Roman"/>
          <w:sz w:val="20"/>
          <w:u w:val="single"/>
        </w:rPr>
        <w:t>Exhibit 3.01(a)</w:t>
      </w:r>
      <w:r>
        <w:rPr>
          <w:rFonts w:ascii="Times New Roman" w:hAnsi="Times New Roman"/>
          <w:sz w:val="20"/>
        </w:rPr>
        <w:t xml:space="preserve"> to the effect that such Foreign Lender is not a “bank” within the meaning of Section 881(c)(3)(A) of the Code, a “10 percent shareholder” of the applicable Borrower within the meaning of Section 881(c)(3)(B) of the Code, or a “controlled foreign corporation” described in Section 881(c)(3)(C) of the Code (a “</w:t>
      </w:r>
      <w:r>
        <w:rPr>
          <w:rFonts w:ascii="Times New Roman" w:hAnsi="Times New Roman"/>
          <w:sz w:val="20"/>
          <w:u w:val="single"/>
        </w:rPr>
        <w:t>U.S. Tax Compliance Certificate</w:t>
      </w:r>
      <w:r>
        <w:rPr>
          <w:rFonts w:ascii="Times New Roman" w:hAnsi="Times New Roman"/>
          <w:sz w:val="20"/>
        </w:rPr>
        <w:t xml:space="preserve">”) and (y) copies of IRS Form W-8BEN or IRS Form W-8BEN-E, as applicable; or </w:t>
      </w:r>
    </w:p>
    <w:p>
      <w:pPr>
        <w:pStyle w:val="TextBody"/>
        <w:bidi w:val="0"/>
        <w:spacing w:before="120" w:after="0"/>
        <w:jc w:val="left"/>
        <w:rPr>
          <w:rFonts w:ascii="Times New Roman" w:hAnsi="Times New Roman"/>
          <w:sz w:val="20"/>
        </w:rPr>
      </w:pPr>
      <w:r>
        <w:rPr>
          <w:rFonts w:ascii="Times New Roman" w:hAnsi="Times New Roman"/>
          <w:sz w:val="20"/>
          <w:u w:val="single"/>
        </w:rPr>
        <w:t>(4)</w:t>
      </w:r>
      <w:r>
        <w:rPr>
          <w:rFonts w:ascii="Times New Roman" w:hAnsi="Times New Roman"/>
          <w:sz w:val="20"/>
        </w:rPr>
        <w:t xml:space="preserve"> to the extent a Foreign Lender is not the beneficial owner, copies of IRS Form W-8IMY, accompanied by IRS Form W-8ECI, IRS Form W-8BEN or IRS Form W-8BEN-E, as applicable, a U.S. Tax Compliance Certificate substantially in the form of </w:t>
      </w:r>
      <w:r>
        <w:rPr>
          <w:rFonts w:ascii="Times New Roman" w:hAnsi="Times New Roman"/>
          <w:sz w:val="20"/>
          <w:u w:val="single"/>
        </w:rPr>
        <w:t>Exhibit 3.01(b)</w:t>
      </w:r>
      <w:r>
        <w:rPr>
          <w:rFonts w:ascii="Times New Roman" w:hAnsi="Times New Roman"/>
          <w:sz w:val="20"/>
        </w:rPr>
        <w:t xml:space="preserve"> or </w:t>
      </w:r>
      <w:r>
        <w:rPr>
          <w:rFonts w:ascii="Times New Roman" w:hAnsi="Times New Roman"/>
          <w:sz w:val="20"/>
          <w:u w:val="single"/>
        </w:rPr>
        <w:t>Exhibit 3.01(c)</w:t>
      </w:r>
      <w:r>
        <w:rPr>
          <w:rFonts w:ascii="Times New Roman" w:hAnsi="Times New Roman"/>
          <w:sz w:val="20"/>
        </w:rPr>
        <w:t xml:space="preserve">, IRS Form W-9, and/or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sz w:val="20"/>
          <w:u w:val="single"/>
        </w:rPr>
        <w:t>Exhibit 3.01(d)</w:t>
      </w:r>
      <w:r>
        <w:rPr>
          <w:rFonts w:ascii="Times New Roman" w:hAnsi="Times New Roman"/>
          <w:sz w:val="20"/>
        </w:rPr>
        <w:t xml:space="preserve">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 </w:t>
      </w:r>
    </w:p>
    <w:p>
      <w:pPr>
        <w:pStyle w:val="TextBody"/>
        <w:bidi w:val="0"/>
        <w:spacing w:before="120" w:after="0"/>
        <w:jc w:val="left"/>
        <w:rPr>
          <w:rFonts w:ascii="Times New Roman" w:hAnsi="Times New Roman"/>
          <w:sz w:val="20"/>
        </w:rPr>
      </w:pPr>
      <w:r>
        <w:rPr>
          <w:rFonts w:ascii="Times New Roman" w:hAnsi="Times New Roman"/>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hAnsi="Times New Roman"/>
          <w:sz w:val="20"/>
          <w:u w:val="single"/>
        </w:rPr>
        <w:t>clause (D)</w:t>
      </w:r>
      <w:r>
        <w:rPr>
          <w:rFonts w:ascii="Times New Roman" w:hAnsi="Times New Roman"/>
          <w:sz w:val="20"/>
        </w:rPr>
        <w:t xml:space="preserve">, “FATCA” shall include any amendments made to FATCA after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in the event that a Borrower is organized under the laws of Ireland or a political subdivision thereof: </w:t>
      </w:r>
    </w:p>
    <w:p>
      <w:pPr>
        <w:pStyle w:val="TextBody"/>
        <w:bidi w:val="0"/>
        <w:spacing w:before="120" w:after="0"/>
        <w:jc w:val="left"/>
        <w:rPr>
          <w:rFonts w:ascii="Times New Roman" w:hAnsi="Times New Roman"/>
          <w:sz w:val="20"/>
        </w:rPr>
      </w:pPr>
      <w:r>
        <w:rPr>
          <w:rFonts w:ascii="Times New Roman" w:hAnsi="Times New Roman"/>
          <w:sz w:val="20"/>
        </w:rPr>
        <w:t xml:space="preserve">(A) each Lender shall deliver to such Borrower, upon the request of such Borrower or the Administrative Agent, a representation and warranty that it is </w:t>
      </w:r>
    </w:p>
    <w:p>
      <w:pPr>
        <w:pStyle w:val="TextBody"/>
        <w:bidi w:val="0"/>
        <w:spacing w:before="120" w:after="0"/>
        <w:jc w:val="left"/>
        <w:rPr>
          <w:rFonts w:ascii="Times New Roman" w:hAnsi="Times New Roman"/>
          <w:sz w:val="20"/>
        </w:rPr>
      </w:pPr>
      <w:r>
        <w:rPr>
          <w:rFonts w:ascii="Times New Roman" w:hAnsi="Times New Roman"/>
          <w:sz w:val="20"/>
        </w:rPr>
        <w:t xml:space="preserve">(1) a Qualifying Lender (other than a Treaty Lender); </w:t>
      </w:r>
    </w:p>
    <w:p>
      <w:pPr>
        <w:pStyle w:val="TextBody"/>
        <w:bidi w:val="0"/>
        <w:spacing w:before="120" w:after="0"/>
        <w:jc w:val="left"/>
        <w:rPr>
          <w:rFonts w:ascii="Times New Roman" w:hAnsi="Times New Roman"/>
          <w:sz w:val="20"/>
        </w:rPr>
      </w:pPr>
      <w:r>
        <w:rPr>
          <w:rFonts w:ascii="Times New Roman" w:hAnsi="Times New Roman"/>
          <w:sz w:val="20"/>
        </w:rPr>
        <w:t xml:space="preserve">(2) a Treaty Lender; or </w:t>
      </w:r>
    </w:p>
    <w:p>
      <w:pPr>
        <w:pStyle w:val="TextBody"/>
        <w:bidi w:val="0"/>
        <w:spacing w:before="120" w:after="0"/>
        <w:jc w:val="left"/>
        <w:rPr>
          <w:rFonts w:ascii="Times New Roman" w:hAnsi="Times New Roman"/>
          <w:sz w:val="20"/>
        </w:rPr>
      </w:pPr>
      <w:r>
        <w:rPr>
          <w:rFonts w:ascii="Times New Roman" w:hAnsi="Times New Roman"/>
          <w:sz w:val="20"/>
        </w:rPr>
        <w:t xml:space="preserve">(3) not a Qualifying Lender;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43</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(B) each Lender shall promptly notify such Borrower in writing if it becomes aware that there has been a change in its status as a Qualifying Lender since the date such Lender provided the representation or warranty described in paragraph (</w:t>
      </w:r>
      <w:r>
        <w:rPr>
          <w:rFonts w:ascii="Times New Roman" w:hAnsi="Times New Roman"/>
          <w:sz w:val="20"/>
          <w:u w:val="single"/>
        </w:rPr>
        <w:t>A)</w:t>
      </w:r>
      <w:r>
        <w:rPr>
          <w:rFonts w:ascii="Times New Roman" w:hAnsi="Times New Roman"/>
          <w:sz w:val="20"/>
        </w:rPr>
        <w:t xml:space="preserve"> above; and </w:t>
      </w:r>
    </w:p>
    <w:p>
      <w:pPr>
        <w:pStyle w:val="TextBody"/>
        <w:bidi w:val="0"/>
        <w:spacing w:before="120" w:after="0"/>
        <w:jc w:val="left"/>
        <w:rPr>
          <w:rFonts w:ascii="Times New Roman" w:hAnsi="Times New Roman"/>
          <w:sz w:val="20"/>
        </w:rPr>
      </w:pPr>
      <w:r>
        <w:rPr>
          <w:rFonts w:ascii="Times New Roman" w:hAnsi="Times New Roman"/>
          <w:sz w:val="20"/>
        </w:rPr>
        <w:t xml:space="preserve">(C) following a request from such Borrower, each Lender shall as soon as reasonably practicable provide such information to such Borrower as may be required for the Borrower to comply with its obligations under sections 891A, 891E, 891F and 891G of the TCA (and any regulations made pursuant to those sections). </w:t>
      </w:r>
    </w:p>
    <w:p>
      <w:pPr>
        <w:pStyle w:val="TextBody"/>
        <w:bidi w:val="0"/>
        <w:spacing w:before="240" w:after="0"/>
        <w:jc w:val="left"/>
        <w:rPr>
          <w:rFonts w:ascii="Times New Roman" w:hAnsi="Times New Roman"/>
          <w:sz w:val="20"/>
        </w:rPr>
      </w:pPr>
      <w:r>
        <w:rPr>
          <w:rFonts w:ascii="Times New Roman" w:hAnsi="Times New Roman"/>
          <w:sz w:val="20"/>
        </w:rPr>
        <w:t xml:space="preserve">Each Lender agrees that if any form or certification it previously delivered pursuant to this </w:t>
      </w:r>
      <w:r>
        <w:rPr>
          <w:rFonts w:ascii="Times New Roman" w:hAnsi="Times New Roman"/>
          <w:sz w:val="20"/>
          <w:u w:val="single"/>
        </w:rPr>
        <w:t>Section 3.01</w:t>
      </w:r>
      <w:r>
        <w:rPr>
          <w:rFonts w:ascii="Times New Roman" w:hAnsi="Times New Roman"/>
          <w:sz w:val="20"/>
        </w:rPr>
        <w:t xml:space="preserve"> expires or becomes obsolete or inaccurate in any respect, it shall update such form or certification or promptly notify the Company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Treatment of Certain Refunds</w:t>
      </w:r>
      <w:r>
        <w:rPr>
          <w:rFonts w:ascii="Times New Roman" w:hAnsi="Times New Roman"/>
          <w:sz w:val="20"/>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 Borrower or with respect to which a Borrower has paid additional amounts pursuant to this </w:t>
      </w:r>
      <w:r>
        <w:rPr>
          <w:rFonts w:ascii="Times New Roman" w:hAnsi="Times New Roman"/>
          <w:sz w:val="20"/>
          <w:u w:val="single"/>
        </w:rPr>
        <w:t>Section 3.01</w:t>
      </w:r>
      <w:r>
        <w:rPr>
          <w:rFonts w:ascii="Times New Roman" w:hAnsi="Times New Roman"/>
          <w:sz w:val="20"/>
        </w:rPr>
        <w:t xml:space="preserve">, it shall pay to such Borrower an amount equal to such refund (but only to the extent of indemnity payments made, or additional amounts paid, by such Borrower under this </w:t>
      </w:r>
      <w:r>
        <w:rPr>
          <w:rFonts w:ascii="Times New Roman" w:hAnsi="Times New Roman"/>
          <w:sz w:val="20"/>
          <w:u w:val="single"/>
        </w:rPr>
        <w:t>Section 3.01</w:t>
      </w:r>
      <w:r>
        <w:rPr>
          <w:rFonts w:ascii="Times New Roman" w:hAnsi="Times New Roman"/>
          <w:sz w:val="20"/>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such Borrower, upon the request of the Recipient, agrees to repay the amount paid over to such Borrower (plus any penalties, interest or other charges imposed by the relevant Governmental Authority, other than any penalties, interest, or other charges attributable to the gross negligence or willful misconduct on the part of the Recipient as determined by a court of competent jurisdiction by final and nonappealable judgment) to the Recipient in the event the Recipient is required to repay such refund to such Governmental Authority. Notwithstanding anything to the contrary in this subsection, in no event will the applicable Recipient be required to pay any amount to a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Company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Survival</w:t>
      </w:r>
      <w:r>
        <w:rPr>
          <w:rFonts w:ascii="Times New Roman" w:hAnsi="Times New Roman"/>
          <w:sz w:val="20"/>
        </w:rPr>
        <w:t xml:space="preserve">. Each party’s obligations under this </w:t>
      </w:r>
      <w:r>
        <w:rPr>
          <w:rFonts w:ascii="Times New Roman" w:hAnsi="Times New Roman"/>
          <w:sz w:val="20"/>
          <w:u w:val="single"/>
        </w:rPr>
        <w:t>Section 3.01</w:t>
      </w:r>
      <w:r>
        <w:rPr>
          <w:rFonts w:ascii="Times New Roman" w:hAnsi="Times New Roman"/>
          <w:sz w:val="20"/>
        </w:rPr>
        <w:t xml:space="preserve"> shall survive the resignation or replacement of the Administrative Agent or any assignment of rights by, or the replacement of, a Lender, the termination of the Commitments and the repayment, satisfaction or discharge of all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Defined Terms</w:t>
      </w:r>
      <w:r>
        <w:rPr>
          <w:rFonts w:ascii="Times New Roman" w:hAnsi="Times New Roman"/>
          <w:sz w:val="20"/>
        </w:rPr>
        <w:t xml:space="preserve">. For purposes of this </w:t>
      </w:r>
      <w:r>
        <w:rPr>
          <w:rFonts w:ascii="Times New Roman" w:hAnsi="Times New Roman"/>
          <w:sz w:val="20"/>
          <w:u w:val="single"/>
        </w:rPr>
        <w:t>Section 3.01</w:t>
      </w:r>
      <w:r>
        <w:rPr>
          <w:rFonts w:ascii="Times New Roman" w:hAnsi="Times New Roman"/>
          <w:sz w:val="20"/>
        </w:rPr>
        <w:t xml:space="preserve">, the term “applicable Law” or “applicable Laws” includes FATCA.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FATCA</w:t>
      </w:r>
      <w:r>
        <w:rPr>
          <w:rFonts w:ascii="Times New Roman" w:hAnsi="Times New Roman"/>
          <w:sz w:val="20"/>
        </w:rPr>
        <w:t xml:space="preserve">. For purposes of determining withholding Taxes imposed under FATCA, from and after the Closing Date, the Company and the Administrative Agent shall treat (and the Lenders hereby authorize the Administrative Agent to treat) this Agreement as not qualifying as a “grandfathered obligation” within the meaning of Treasury Regulation Section 1.1471-2(b)(2)(i).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44</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3.02</w:t>
      </w:r>
      <w:r>
        <w:rPr>
          <w:rFonts w:ascii="Times New Roman" w:hAnsi="Times New Roman"/>
          <w:sz w:val="20"/>
        </w:rPr>
        <w:t xml:space="preserve"> </w:t>
      </w:r>
      <w:r>
        <w:rPr>
          <w:rFonts w:ascii="Times New Roman" w:hAnsi="Times New Roman"/>
          <w:b/>
          <w:sz w:val="20"/>
          <w:u w:val="single"/>
        </w:rPr>
        <w:t>Illegality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Lender determines that any Law has made it unlawful, or that any Governmental Authority has asserted that it is unlawful, for any Lender or its applicable Lending Office to make, maintain or fund Committed Loans whose interest is determined by reference to a Relevant Rate, or to determine or charge interest rates based upon a Relevant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make or continue Term SOFR Loans and/or Alternative Currency Loans in the affected currency or currencies or to convert Base Rate Committed Loans to Term SOFR Loans shall be suspended and (ii) if such notice asserts the illegality of such Lender making or maintaining Base Rate Committed Loans the interest rate on which is determined by reference to the Term SOFR component of the Base Rate, the interest rate on which Base Rate Committed Loans of such Lender shall, if necessary to avoid such illegality, be determined by the Administrative Agent without reference to the Term SOFR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in full or convert all such Term SOFR Loans of such Lender to Base Rate Committed Loans (the interest rate on which Base Rate Committed Loans of such Lender shall, if necessary to avoid such illegality, be determined by the Administrative Agent without reference to the Term SOFR component of the Base Rate), (1) immediately, in the case of an Alternative Currency Daily Rate Loan, or (2) on the last day of the applicable Interest Period, in the case of a Term SOFR Loan or an Alternative Currency Term Rate Loan, if such Lender may lawfully continue to maintain such Term SOFR Loans or Alternative Currency Term Rate Loan to such day, or immediately, if such Lender may not lawfully continue to maintain such Term SOFR Loans or Alternative Currency Term Rate Loan and (y)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the Term SOFR. Upon any such prepayment or conversion, the applicable Borrower shall also pay accrued interest on the amount so prepaid or converted, together with any additional amounts required pursuant to </w:t>
      </w:r>
      <w:r>
        <w:rPr>
          <w:rFonts w:ascii="Times New Roman" w:hAnsi="Times New Roman"/>
          <w:sz w:val="20"/>
          <w:u w:val="single"/>
        </w:rPr>
        <w:t>Section 3.05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in any applicable jurisdiction, the Administrative Agent or any Lender determines that any Law has made it unlawful, or that any Governmental Authority has asserted that it is unlawful, for the Administrative Agent or any Lender to (i) perform any of its obligations hereunder or under any other Loan Document, (ii) to fund or maintain its participation in any Loan or (iii) issue, make, maintain, fund or charge interest or fees, in each case, with respect to any Committed Borrowing to any Designated Borrower who is organized under the laws of a jurisdiction other than the United States, a State thereof or the District of Columbia such Person shall promptly notify the Administrative Agent, then, upon the Administrative Agent notifying the Company, and until such notice by such Person is revoked, any obligation of such Person to issue, make, maintain, fund or charge interest or fees with respect to any such Committed Borrowing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45</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3.03</w:t>
      </w:r>
      <w:r>
        <w:rPr>
          <w:rFonts w:ascii="Times New Roman" w:hAnsi="Times New Roman"/>
          <w:sz w:val="20"/>
        </w:rPr>
        <w:t xml:space="preserve"> </w:t>
      </w:r>
      <w:r>
        <w:rPr>
          <w:rFonts w:ascii="Times New Roman" w:hAnsi="Times New Roman"/>
          <w:b/>
          <w:sz w:val="20"/>
          <w:u w:val="single"/>
        </w:rPr>
        <w:t>Inability to Determine Rates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in connection with any request for a Term SOFR Loan, an Alternative Currency Loan or a conversion to or continuation thereof, (i) the Administrative Agent determines (which determination shall be conclusive absent manifest error) that (A) no Successor Rate for the Relevant Rate for the applicable Agreed Currency has been determined in accordance with </w:t>
      </w:r>
      <w:r>
        <w:rPr>
          <w:rFonts w:ascii="Times New Roman" w:hAnsi="Times New Roman"/>
          <w:sz w:val="20"/>
          <w:u w:val="single"/>
        </w:rPr>
        <w:t>Section 3.03</w:t>
      </w:r>
      <w:r>
        <w:rPr>
          <w:rFonts w:ascii="Times New Roman" w:hAnsi="Times New Roman"/>
          <w:sz w:val="20"/>
        </w:rPr>
        <w:t xml:space="preserve">(b) or </w:t>
      </w:r>
      <w:r>
        <w:rPr>
          <w:rFonts w:ascii="Times New Roman" w:hAnsi="Times New Roman"/>
          <w:sz w:val="20"/>
          <w:u w:val="single"/>
        </w:rPr>
        <w:t>Section 3.03</w:t>
      </w:r>
      <w:r>
        <w:rPr>
          <w:rFonts w:ascii="Times New Roman" w:hAnsi="Times New Roman"/>
          <w:sz w:val="20"/>
        </w:rPr>
        <w:t xml:space="preserve">(c), and the circumstances under clause (i) of </w:t>
      </w:r>
      <w:r>
        <w:rPr>
          <w:rFonts w:ascii="Times New Roman" w:hAnsi="Times New Roman"/>
          <w:sz w:val="20"/>
          <w:u w:val="single"/>
        </w:rPr>
        <w:t>Section 3.03(b)</w:t>
      </w:r>
      <w:r>
        <w:rPr>
          <w:rFonts w:ascii="Times New Roman" w:hAnsi="Times New Roman"/>
          <w:sz w:val="20"/>
        </w:rPr>
        <w:t xml:space="preserve"> or </w:t>
      </w:r>
      <w:r>
        <w:rPr>
          <w:rFonts w:ascii="Times New Roman" w:hAnsi="Times New Roman"/>
          <w:sz w:val="20"/>
          <w:u w:val="single"/>
        </w:rPr>
        <w:t>Section 3.03</w:t>
      </w:r>
      <w:r>
        <w:rPr>
          <w:rFonts w:ascii="Times New Roman" w:hAnsi="Times New Roman"/>
          <w:sz w:val="20"/>
        </w:rPr>
        <w:t xml:space="preserve">(c) have occurred with respect to such Relevant Rate (as applicable), or (B) adequate and reasonable means do not otherwise exist for determining the Relevant Rate for the applicable currency for any determination date(s) or any requested Interest Period, as applicable, with respect to a proposed Term SOFR Loan and/or Alternative Currency Loan, as applicable or in connection with an existing or proposed Base Rate Loan, or (i) the Administrative Agent or the Required Lenders determine that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Company and each Lender. </w:t>
      </w:r>
    </w:p>
    <w:p>
      <w:pPr>
        <w:pStyle w:val="TextBody"/>
        <w:bidi w:val="0"/>
        <w:spacing w:before="120" w:after="0"/>
        <w:jc w:val="left"/>
        <w:rPr>
          <w:rFonts w:ascii="Times New Roman" w:hAnsi="Times New Roman"/>
          <w:sz w:val="20"/>
        </w:rPr>
      </w:pPr>
      <w:r>
        <w:rPr>
          <w:rFonts w:ascii="Times New Roman" w:hAnsi="Times New Roman"/>
          <w:sz w:val="20"/>
        </w:rPr>
        <w:t xml:space="preserve">Thereafter, (x) the obligation of the Lenders to make or maintain Loans in the affected currency or currencies shall be suspended (to the extent of the affected Term SOFR Loans, Alternative Currency Loans or Interest Periods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hAnsi="Times New Roman"/>
          <w:sz w:val="20"/>
          <w:u w:val="single"/>
        </w:rPr>
        <w:t>Section 3.03(a)</w:t>
      </w:r>
      <w:r>
        <w:rPr>
          <w:rFonts w:ascii="Times New Roman" w:hAnsi="Times New Roman"/>
          <w:sz w:val="20"/>
        </w:rPr>
        <w:t xml:space="preserve">, until the Administrative Agent upon instruction of the Required Lenders) revokes such notice. Upon receipt of such notice, the Company may revoke any pending request for a Committed Borrowing of, conversion to or continuation of Term SOFR Loans and/or Alternative Currency Loans, as applicable in the affected currency or currencies (to the extent of the affected Term SOFR Loans, Alternative Currency Loans or Interest Periods or determination date(s), as applicable) or, failing that, will be deemed to have converted such request into a request for a Committed Borrowing of Base Rate Loans in Dollars in the Dollar Equivalent of the amount specified therein, and (A) any outstanding Term SOFR Loans shall be deemed to have been converted to Base Rate Loans immediately and (B) any outstanding affected Alternative Currency Loans, at the Company’s election, shall either (1) be converted into a Committed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(x) immediately, in the case of an Alternative Currency Daily Rate Loan or (y) by the last day of the current Interest Period for the applicable Alternative Currency Term Rate Loan, in the case of an Alternative Currency Term Rate Loan; </w:t>
      </w:r>
      <w:r>
        <w:rPr>
          <w:rFonts w:ascii="Times New Roman" w:hAnsi="Times New Roman"/>
          <w:sz w:val="20"/>
          <w:u w:val="single"/>
        </w:rPr>
        <w:t>provided</w:t>
      </w:r>
      <w:r>
        <w:rPr>
          <w:rFonts w:ascii="Times New Roman" w:hAnsi="Times New Roman"/>
          <w:sz w:val="20"/>
        </w:rPr>
        <w:t xml:space="preserve"> that if no election is made by the Company by the date that is three Business Days after receipt by the Company of such notice, the Company (x) in the case of an Alternative Currency Daily Rate Loan, by the date that is three Business Days after receipt by the Company of such notice or (y) in the case of an Alternative Currency Term Rate Loan, by the last day of the current Interest Period for the applicable Alternative Currency Term Rate Loan, the Company shall be deemed to have elected clause (1) above.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herein or in any other Loan Document,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46</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 </w:t>
      </w:r>
    </w:p>
    <w:p>
      <w:pPr>
        <w:pStyle w:val="TextBody"/>
        <w:bidi w:val="0"/>
        <w:spacing w:before="120" w:after="0"/>
        <w:jc w:val="left"/>
        <w:rPr>
          <w:rFonts w:ascii="Times New Roman" w:hAnsi="Times New Roman"/>
          <w:sz w:val="20"/>
        </w:rPr>
      </w:pPr>
      <w:r>
        <w:rPr>
          <w:rFonts w:ascii="Times New Roman" w:hAnsi="Times New Roman"/>
          <w:sz w:val="20"/>
        </w:rPr>
        <w:t>(ii)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each of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 w:hAnsi="Times New Roman"/>
          <w:sz w:val="20"/>
          <w:u w:val="single"/>
        </w:rPr>
        <w:t>Scheduled Unavailability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then, on a date and time determined by the Administrative Agent (any such date, the “</w:t>
      </w:r>
      <w:r>
        <w:rPr>
          <w:rFonts w:ascii="Times New Roman" w:hAnsi="Times New Roman"/>
          <w:sz w:val="20"/>
          <w:u w:val="single"/>
        </w:rPr>
        <w:t>Term SOFR Replacement Date</w:t>
      </w:r>
      <w:r>
        <w:rPr>
          <w:rFonts w:ascii="Times New Roman" w:hAnsi="Times New Roman"/>
          <w:sz w:val="20"/>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hAnsi="Times New Roman"/>
          <w:sz w:val="20"/>
          <w:u w:val="single"/>
        </w:rPr>
        <w:t>Successor Rate</w:t>
      </w:r>
      <w:r>
        <w:rPr>
          <w:rFonts w:ascii="Times New Roman" w:hAnsi="Times New Roman"/>
          <w:sz w:val="20"/>
        </w:rPr>
        <w:t>”</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herein or in any other Loan Document,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 </w:t>
      </w:r>
    </w:p>
    <w:p>
      <w:pPr>
        <w:pStyle w:val="TextBody"/>
        <w:bidi w:val="0"/>
        <w:spacing w:before="120" w:after="0"/>
        <w:jc w:val="left"/>
        <w:rPr>
          <w:rFonts w:ascii="Times New Roman" w:hAnsi="Times New Roman"/>
          <w:sz w:val="20"/>
        </w:rPr>
      </w:pPr>
      <w:r>
        <w:rPr>
          <w:rFonts w:ascii="Times New Roman" w:hAnsi="Times New Roman"/>
          <w:sz w:val="20"/>
        </w:rPr>
        <w:t xml:space="preserve">(i) adequate and reasonable means do not exist for ascertaining the Relevant Rate (other than Term SOFR) for an Agreed Currency (other than Dollars) because none of the tenors of such Relevant Rate (other than SOFR) under this Agreement is available or published on a current basis, and such circumstances are unlikely to be temporary; or </w:t>
      </w:r>
    </w:p>
    <w:p>
      <w:pPr>
        <w:pStyle w:val="TextBody"/>
        <w:bidi w:val="0"/>
        <w:spacing w:before="120" w:after="0"/>
        <w:jc w:val="left"/>
        <w:rPr>
          <w:rFonts w:ascii="Times New Roman" w:hAnsi="Times New Roman"/>
          <w:sz w:val="20"/>
        </w:rPr>
      </w:pPr>
      <w:r>
        <w:rPr>
          <w:rFonts w:ascii="Times New Roman" w:hAnsi="Times New Roman"/>
          <w:sz w:val="20"/>
        </w:rPr>
        <w:t>(ii) the Applicable Authority has made a public statement identifying a specific date after which all tenors of the Relevant Rate (other than SOFR)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SOFR) for such Agreed Currency (other than Dollars) (the latest date on which all tenors of the Relevant Rate for such Agreed Currency (other than Dollars) under this Agreement are no longer representative or available permanently or indefinitely, the “</w:t>
      </w:r>
      <w:r>
        <w:rPr>
          <w:rFonts w:ascii="Times New Roman" w:hAnsi="Times New Roman"/>
          <w:sz w:val="20"/>
          <w:u w:val="single"/>
        </w:rPr>
        <w:t>Scheduled Unavailability Date</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47</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or if the events or circumstances of the type described in </w:t>
      </w:r>
      <w:r>
        <w:rPr>
          <w:rFonts w:ascii="Times New Roman" w:hAnsi="Times New Roman"/>
          <w:sz w:val="20"/>
          <w:u w:val="single"/>
        </w:rPr>
        <w:t>Section 3.03(c)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have occurred with respect to the Successor Rate then in effect, then, the Administrative Agent and the Borrower may amend this Agreement solely for the purpose of replacing the Relevant Rate for an Agreed Currency or any then current Successor Rate for an Agreed Currency in accordance with this </w:t>
      </w:r>
      <w:r>
        <w:rPr>
          <w:rFonts w:ascii="Times New Roman" w:hAnsi="Times New Roman"/>
          <w:sz w:val="20"/>
          <w:u w:val="single"/>
        </w:rPr>
        <w:t>Section 3.03</w:t>
      </w:r>
      <w:r>
        <w:rPr>
          <w:rFonts w:ascii="Times New Roman" w:hAnsi="Times New Roman"/>
          <w:sz w:val="20"/>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 w:hAnsi="Times New Roman"/>
          <w:sz w:val="20"/>
          <w:u w:val="single"/>
        </w:rPr>
        <w:t>Non-SOFR Successor Rate</w:t>
      </w:r>
      <w:r>
        <w:rPr>
          <w:rFonts w:ascii="Times New Roman" w:hAnsi="Times New Roman"/>
          <w:sz w:val="20"/>
        </w:rPr>
        <w:t>”, and collectively with the SOFR Successor Rate, each a “</w:t>
      </w:r>
      <w:r>
        <w:rPr>
          <w:rFonts w:ascii="Times New Roman" w:hAnsi="Times New Roman"/>
          <w:sz w:val="20"/>
          <w:u w:val="single"/>
        </w:rPr>
        <w:t>Successor Rate</w:t>
      </w:r>
      <w:r>
        <w:rPr>
          <w:rFonts w:ascii="Times New Roman" w:hAnsi="Times New Roman"/>
          <w:sz w:val="20"/>
        </w:rPr>
        <w:t xml:space="preserve">”),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(d) If the Successor Rate is Daily Simple SOFR, all interest payments will be payable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hAnsi="Times New Roman"/>
          <w:sz w:val="20"/>
          <w:u w:val="single"/>
        </w:rPr>
        <w:t>Section 3.03(b)(i)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 w:hAnsi="Times New Roman"/>
          <w:sz w:val="20"/>
          <w:u w:val="single"/>
        </w:rPr>
        <w:t>Section 3.03</w:t>
      </w:r>
      <w:r>
        <w:rPr>
          <w:rFonts w:ascii="Times New Roman" w:hAnsi="Times New Roman"/>
          <w:sz w:val="20"/>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Times New Roman" w:hAnsi="Times New Roman"/>
          <w:sz w:val="20"/>
          <w:u w:val="single"/>
        </w:rPr>
        <w:t>Successor Rate</w:t>
      </w:r>
      <w:r>
        <w:rPr>
          <w:rFonts w:ascii="Times New Roman" w:hAnsi="Times New Roman"/>
          <w:sz w:val="20"/>
        </w:rPr>
        <w:t xml:space="preserv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(f) The Administrative Agent will promptly (in one or more notices) notify the Borrower and each Lender of the implementation of any Successor Rate. </w:t>
      </w:r>
    </w:p>
    <w:p>
      <w:pPr>
        <w:pStyle w:val="TextBody"/>
        <w:bidi w:val="0"/>
        <w:spacing w:before="240" w:after="0"/>
        <w:jc w:val="left"/>
        <w:rPr>
          <w:rFonts w:ascii="Times New Roman" w:hAnsi="Times New Roman"/>
          <w:sz w:val="20"/>
        </w:rPr>
      </w:pPr>
      <w:r>
        <w:rPr>
          <w:rFonts w:ascii="Times New Roman" w:hAnsi="Times New Roman"/>
          <w:sz w:val="20"/>
        </w:rPr>
        <w:t xml:space="preserve">(g) Any Successor Rate shall be applied in a manner consistent with market practice; </w:t>
      </w:r>
      <w:r>
        <w:rPr>
          <w:rFonts w:ascii="Times New Roman" w:hAnsi="Times New Roman"/>
          <w:sz w:val="20"/>
          <w:u w:val="single"/>
        </w:rPr>
        <w:t>provided</w:t>
      </w:r>
      <w:r>
        <w:rPr>
          <w:rFonts w:ascii="Times New Roman" w:hAnsi="Times New Roman"/>
          <w:sz w:val="20"/>
        </w:rPr>
        <w:t xml:space="preserve"> that to the extent such market practice is not administratively feasible for the Administrative Agent, such Successor Rate shall be applied in a manner as otherwise reasonably determined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else herein, if at any time any Successor Rate as so determined would otherwise be less than zero%, the Successor Rate will be deemed to be zero% for the purposes of this Agreement and the other Loan Documents.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48</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 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hAnsi="Times New Roman"/>
          <w:sz w:val="20"/>
          <w:u w:val="single"/>
        </w:rPr>
        <w:t>provided</w:t>
      </w:r>
      <w:r>
        <w:rPr>
          <w:rFonts w:ascii="Times New Roman" w:hAnsi="Times New Roman"/>
          <w:sz w:val="20"/>
        </w:rPr>
        <w:t xml:space="preserve"> that, with respect to any such amendment effected, the Administrative Agent shall post each such amendment implementing such Conforming Changes to the Borrower and the Lenders reasonably promptly after such amendment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(j) For purposes of this </w:t>
      </w:r>
      <w:r>
        <w:rPr>
          <w:rFonts w:ascii="Times New Roman" w:hAnsi="Times New Roman"/>
          <w:sz w:val="20"/>
          <w:u w:val="single"/>
        </w:rPr>
        <w:t>Section 3.03</w:t>
      </w:r>
      <w:r>
        <w:rPr>
          <w:rFonts w:ascii="Times New Roman" w:hAnsi="Times New Roman"/>
          <w:sz w:val="20"/>
        </w:rPr>
        <w:t xml:space="preserve">, those Lenders that either have not made, or do not have an obligation under this Agreement to make, the relevant Loans in Dollars or Alternative Currency (as applicable) shall be excluded from any determination of Required Lenders. </w:t>
      </w:r>
    </w:p>
    <w:p>
      <w:pPr>
        <w:pStyle w:val="TextBody"/>
        <w:bidi w:val="0"/>
        <w:spacing w:before="240" w:after="0"/>
        <w:jc w:val="left"/>
        <w:rPr>
          <w:rFonts w:ascii="Times New Roman" w:hAnsi="Times New Roman"/>
          <w:sz w:val="20"/>
        </w:rPr>
      </w:pPr>
      <w:r>
        <w:rPr>
          <w:rFonts w:ascii="Times New Roman" w:hAnsi="Times New Roman"/>
          <w:b/>
          <w:sz w:val="20"/>
        </w:rPr>
        <w:t>3.04</w:t>
      </w:r>
      <w:r>
        <w:rPr>
          <w:rFonts w:ascii="Times New Roman" w:hAnsi="Times New Roman"/>
          <w:sz w:val="20"/>
        </w:rPr>
        <w:t xml:space="preserve"> </w:t>
      </w:r>
      <w:r>
        <w:rPr>
          <w:rFonts w:ascii="Times New Roman" w:hAnsi="Times New Roman"/>
          <w:b/>
          <w:sz w:val="20"/>
          <w:u w:val="single"/>
        </w:rPr>
        <w:t>Increased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Increased Costs Generally</w:t>
      </w:r>
      <w:r>
        <w:rPr>
          <w:rFonts w:ascii="Times New Roman" w:hAnsi="Times New Roman"/>
          <w:sz w:val="20"/>
        </w:rPr>
        <w:t xml:space="preserve">.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or participated in by, any Lender; </w:t>
      </w:r>
    </w:p>
    <w:p>
      <w:pPr>
        <w:pStyle w:val="TextBody"/>
        <w:bidi w:val="0"/>
        <w:spacing w:before="120" w:after="0"/>
        <w:jc w:val="left"/>
        <w:rPr>
          <w:rFonts w:ascii="Times New Roman" w:hAnsi="Times New Roman"/>
          <w:sz w:val="20"/>
        </w:rPr>
      </w:pPr>
      <w:r>
        <w:rPr>
          <w:rFonts w:ascii="Times New Roman" w:hAnsi="Times New Roman"/>
          <w:sz w:val="20"/>
        </w:rPr>
        <w:t xml:space="preserve">(ii) subject any Recipient to any Taxes (other than (A) Indemnified Taxes and (B) the imposition of, or any change in the rate of, any Excluded Tax) on its loans, loan principal, letters of credit, commitments, or other obligations, or its deposits, reserves, other liabilities or capital attributable thereto;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Lender or the London interbank market any other condition, cost or expense (other than Taxes) affecting this Agreement or Term SOFR Loans and/or Alternative Currency Loans made by such Lender or participation therein;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of making, maintaining, continuing or converting to any Term SOFR Loan, Alternative Currency Loans (or of maintaining its obligation to make any such Loan), or to increase the cost to such Lender, or to reduce the amount of any sum received or receivable by such Lender hereunder (whether of principal, interest or any other amount), then, upon request of such Lender, the Company will pay (or cause the applicable Designated Borrower to pay) to such Lender such additional amount or amounts as will compensate such Lender for such additional costs incurred or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Capital Requirements</w:t>
      </w:r>
      <w:r>
        <w:rPr>
          <w:rFonts w:ascii="Times New Roman" w:hAnsi="Times New Roman"/>
          <w:sz w:val="20"/>
        </w:rPr>
        <w:t xml:space="preserve">.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would have achieved but for such Change in Law (taking into consideration such Lender’s policies and the policies of such Lender’s holding company, if any, with respect to capital adequacy and liquidity), then from time to time the Company will pay (or cause the applicable Designated Borrower to pay) to such Lender such additional amount or amounts as will compensate such Lender or such Lender’s holding company for any such reduction suffered.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49</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Certificates for Reimbursement</w:t>
      </w:r>
      <w:r>
        <w:rPr>
          <w:rFonts w:ascii="Times New Roman" w:hAnsi="Times New Roman"/>
          <w:sz w:val="20"/>
        </w:rPr>
        <w:t xml:space="preserve">. A certificate of a Lender setting forth the amount or amounts necessary to compensate such Lender or its holding company, as the case may be, as specified in </w:t>
      </w:r>
      <w:r>
        <w:rPr>
          <w:rFonts w:ascii="Times New Roman" w:hAnsi="Times New Roman"/>
          <w:sz w:val="20"/>
          <w:u w:val="single"/>
        </w:rPr>
        <w:t>clause (a)</w:t>
      </w:r>
      <w:r>
        <w:rPr>
          <w:rFonts w:ascii="Times New Roman" w:hAnsi="Times New Roman"/>
          <w:sz w:val="20"/>
        </w:rPr>
        <w:t> or (</w:t>
      </w:r>
      <w:r>
        <w:rPr>
          <w:rFonts w:ascii="Times New Roman" w:hAnsi="Times New Roman"/>
          <w:sz w:val="20"/>
          <w:u w:val="single"/>
        </w:rPr>
        <w:t>b)</w:t>
      </w:r>
      <w:r>
        <w:rPr>
          <w:rFonts w:ascii="Times New Roman" w:hAnsi="Times New Roman"/>
          <w:sz w:val="20"/>
        </w:rPr>
        <w:t xml:space="preserve"> of this </w:t>
      </w:r>
      <w:r>
        <w:rPr>
          <w:rFonts w:ascii="Times New Roman" w:hAnsi="Times New Roman"/>
          <w:sz w:val="20"/>
          <w:u w:val="single"/>
        </w:rPr>
        <w:t>Section 3.04</w:t>
      </w:r>
      <w:r>
        <w:rPr>
          <w:rFonts w:ascii="Times New Roman" w:hAnsi="Times New Roman"/>
          <w:sz w:val="20"/>
        </w:rPr>
        <w:t xml:space="preserve"> and delivered to the Company shall be conclusive absent manifest error. The Company shall pay (or cause the applicable Designated Borrower to pay) such Lender the amount shown as due on any such certificate within 10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Delay in Requests</w:t>
      </w:r>
      <w:r>
        <w:rPr>
          <w:rFonts w:ascii="Times New Roman" w:hAnsi="Times New Roman"/>
          <w:sz w:val="20"/>
        </w:rPr>
        <w:t xml:space="preserve">. Failure or delay on the part of any Lender to demand compensation pursuant to the foregoing provisions of this </w:t>
      </w:r>
      <w:r>
        <w:rPr>
          <w:rFonts w:ascii="Times New Roman" w:hAnsi="Times New Roman"/>
          <w:sz w:val="20"/>
          <w:u w:val="single"/>
        </w:rPr>
        <w:t>Section 3.04</w:t>
      </w:r>
      <w:r>
        <w:rPr>
          <w:rFonts w:ascii="Times New Roman" w:hAnsi="Times New Roman"/>
          <w:sz w:val="20"/>
        </w:rPr>
        <w:t xml:space="preserve"> shall not constitute a waiver of such Lender’s right to demand such compensation; </w:t>
      </w:r>
      <w:r>
        <w:rPr>
          <w:rFonts w:ascii="Times New Roman" w:hAnsi="Times New Roman"/>
          <w:sz w:val="20"/>
          <w:u w:val="single"/>
        </w:rPr>
        <w:t>provided</w:t>
      </w:r>
      <w:r>
        <w:rPr>
          <w:rFonts w:ascii="Times New Roman" w:hAnsi="Times New Roman"/>
          <w:sz w:val="20"/>
        </w:rPr>
        <w:t xml:space="preserve"> that no Borrower shall be required to compensate a Lender pursuant to the foregoing provisions of this </w:t>
      </w:r>
      <w:r>
        <w:rPr>
          <w:rFonts w:ascii="Times New Roman" w:hAnsi="Times New Roman"/>
          <w:sz w:val="20"/>
          <w:u w:val="single"/>
        </w:rPr>
        <w:t>Section 3.04</w:t>
      </w:r>
      <w:r>
        <w:rPr>
          <w:rFonts w:ascii="Times New Roman" w:hAnsi="Times New Roman"/>
          <w:sz w:val="20"/>
        </w:rPr>
        <w:t xml:space="preserve"> for any increased costs incurred or reductions suffered more than six months prior to the date that such Lender notifies the Company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(e) [Reserved]. </w:t>
      </w:r>
    </w:p>
    <w:p>
      <w:pPr>
        <w:pStyle w:val="TextBody"/>
        <w:bidi w:val="0"/>
        <w:spacing w:before="240" w:after="0"/>
        <w:jc w:val="left"/>
        <w:rPr>
          <w:rFonts w:ascii="Times New Roman" w:hAnsi="Times New Roman"/>
          <w:sz w:val="20"/>
        </w:rPr>
      </w:pPr>
      <w:r>
        <w:rPr>
          <w:rFonts w:ascii="Times New Roman" w:hAnsi="Times New Roman"/>
          <w:b/>
          <w:sz w:val="20"/>
        </w:rPr>
        <w:t>3.05</w:t>
      </w:r>
      <w:r>
        <w:rPr>
          <w:rFonts w:ascii="Times New Roman" w:hAnsi="Times New Roman"/>
          <w:sz w:val="20"/>
        </w:rPr>
        <w:t xml:space="preserve"> </w:t>
      </w:r>
      <w:r>
        <w:rPr>
          <w:rFonts w:ascii="Times New Roman" w:hAnsi="Times New Roman"/>
          <w:b/>
          <w:sz w:val="20"/>
          <w:u w:val="single"/>
        </w:rPr>
        <w:t>Compensation for Losses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demand of any Lender (with a copy to the Administrative Agent) from time to time, the Company shall promptly compensate (or cause the applicable Designated Borrower to compensate) such Lender for and hold such Lender harmless from any loss, cost or expense (but not loss of anticipated profits or margin) incurred by it as a result of: </w:t>
      </w:r>
    </w:p>
    <w:p>
      <w:pPr>
        <w:pStyle w:val="TextBody"/>
        <w:bidi w:val="0"/>
        <w:spacing w:before="120" w:after="0"/>
        <w:jc w:val="left"/>
        <w:rPr>
          <w:rFonts w:ascii="Times New Roman" w:hAnsi="Times New Roman"/>
          <w:sz w:val="20"/>
        </w:rPr>
      </w:pPr>
      <w:r>
        <w:rPr>
          <w:rFonts w:ascii="Times New Roman" w:hAnsi="Times New Roman"/>
          <w:sz w:val="20"/>
        </w:rPr>
        <w:t xml:space="preserve">(a) any continuation, conversion, payment or prepayment of any Loan other than a Base Rate or Alternative Currency Daily Rate Loan on a day other than the last day of the Interest Period for such Loan (whether voluntary, mandatory, automatic, by reason of acceleration,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any failure by any Borrower (for a reason other than the failure of such Lender to make a Loan) to prepay, borrow, continue or convert any Loan other than a Base Rate Loan on the date or in the amount notified by the Company or the applicable Designated Borrower (whether or not such notice may be withdrawn in accordance herewith); or </w:t>
      </w:r>
    </w:p>
    <w:p>
      <w:pPr>
        <w:pStyle w:val="TextBody"/>
        <w:bidi w:val="0"/>
        <w:spacing w:before="240" w:after="0"/>
        <w:jc w:val="left"/>
        <w:rPr>
          <w:rFonts w:ascii="Times New Roman" w:hAnsi="Times New Roman"/>
          <w:sz w:val="20"/>
        </w:rPr>
      </w:pPr>
      <w:r>
        <w:rPr>
          <w:rFonts w:ascii="Times New Roman" w:hAnsi="Times New Roman"/>
          <w:sz w:val="20"/>
        </w:rPr>
        <w:t xml:space="preserve">(c) any assignment of a Term SOFR Loan or an Alternative Currency Term Rate Loan on a day other than the last day of the Interest Period therefor as a result of a request by the Company pursuant to </w:t>
      </w:r>
      <w:r>
        <w:rPr>
          <w:rFonts w:ascii="Times New Roman" w:hAnsi="Times New Roman"/>
          <w:sz w:val="20"/>
          <w:u w:val="single"/>
        </w:rPr>
        <w:t>Section 10.13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including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Company shall also pay (or cause the applicable Designated Borrower to pay) any customary administrative fees charged by such Lender in connection with the foregoing. </w:t>
      </w:r>
    </w:p>
    <w:p>
      <w:pPr>
        <w:pStyle w:val="TextBody"/>
        <w:bidi w:val="0"/>
        <w:spacing w:before="240" w:after="0"/>
        <w:jc w:val="left"/>
        <w:rPr>
          <w:rFonts w:ascii="Times New Roman" w:hAnsi="Times New Roman"/>
          <w:sz w:val="20"/>
        </w:rPr>
      </w:pPr>
      <w:r>
        <w:rPr>
          <w:rFonts w:ascii="Times New Roman" w:hAnsi="Times New Roman"/>
          <w:b/>
          <w:sz w:val="20"/>
        </w:rPr>
        <w:t>3.06</w:t>
      </w:r>
      <w:r>
        <w:rPr>
          <w:rFonts w:ascii="Times New Roman" w:hAnsi="Times New Roman"/>
          <w:sz w:val="20"/>
        </w:rPr>
        <w:t xml:space="preserve"> </w:t>
      </w:r>
      <w:r>
        <w:rPr>
          <w:rFonts w:ascii="Times New Roman" w:hAnsi="Times New Roman"/>
          <w:b/>
          <w:sz w:val="20"/>
          <w:u w:val="single"/>
        </w:rPr>
        <w:t>Mitigation Obligations; Replacement of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Designation of a Different Lending Office</w:t>
      </w:r>
      <w:r>
        <w:rPr>
          <w:rFonts w:ascii="Times New Roman" w:hAnsi="Times New Roman"/>
          <w:sz w:val="20"/>
        </w:rPr>
        <w:t>. If any Lender requests compensation under</w:t>
      </w:r>
      <w:r>
        <w:rPr>
          <w:rFonts w:ascii="Times New Roman" w:hAnsi="Times New Roman"/>
          <w:sz w:val="20"/>
          <w:u w:val="single"/>
        </w:rPr>
        <w:t xml:space="preserve"> Section 3.04</w:t>
      </w:r>
      <w:r>
        <w:rPr>
          <w:rFonts w:ascii="Times New Roman" w:hAnsi="Times New Roman"/>
          <w:sz w:val="20"/>
        </w:rPr>
        <w:t xml:space="preserve">, or any Borrower is required to pay any Indemnified Taxes or additional amounts to any Lender or any Governmental Authority for the account of any Lender pursuant to </w:t>
      </w:r>
      <w:r>
        <w:rPr>
          <w:rFonts w:ascii="Times New Roman" w:hAnsi="Times New Roman"/>
          <w:sz w:val="20"/>
          <w:u w:val="single"/>
        </w:rPr>
        <w:t>Section 3.01</w:t>
      </w:r>
      <w:r>
        <w:rPr>
          <w:rFonts w:ascii="Times New Roman" w:hAnsi="Times New Roman"/>
          <w:sz w:val="20"/>
        </w:rPr>
        <w:t xml:space="preserve">, or if any Lender gives a notice pursuant to </w:t>
      </w:r>
      <w:r>
        <w:rPr>
          <w:rFonts w:ascii="Times New Roman" w:hAnsi="Times New Roman"/>
          <w:sz w:val="20"/>
          <w:u w:val="single"/>
        </w:rPr>
        <w:t>Section 3.02</w:t>
      </w:r>
      <w:r>
        <w:rPr>
          <w:rFonts w:ascii="Times New Roman" w:hAnsi="Times New Roman"/>
          <w:sz w:val="20"/>
        </w:rPr>
        <w:t xml:space="preserve">, then at the request of such Borrower or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amounts payable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50</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pursuant to</w:t>
      </w:r>
      <w:r>
        <w:rPr>
          <w:rFonts w:ascii="Times New Roman" w:hAnsi="Times New Roman"/>
          <w:sz w:val="20"/>
          <w:u w:val="single"/>
        </w:rPr>
        <w:t xml:space="preserve"> Section 3.01</w:t>
      </w:r>
      <w:r>
        <w:rPr>
          <w:rFonts w:ascii="Times New Roman" w:hAnsi="Times New Roman"/>
          <w:sz w:val="20"/>
        </w:rPr>
        <w:t xml:space="preserve"> or </w:t>
      </w:r>
      <w:r>
        <w:rPr>
          <w:rFonts w:ascii="Times New Roman" w:hAnsi="Times New Roman"/>
          <w:sz w:val="20"/>
          <w:u w:val="single"/>
        </w:rPr>
        <w:t>3.04</w:t>
      </w:r>
      <w:r>
        <w:rPr>
          <w:rFonts w:ascii="Times New Roman" w:hAnsi="Times New Roman"/>
          <w:sz w:val="20"/>
        </w:rPr>
        <w:t>, as the case may be, in the future, or eliminate the need for the notice pursuant to</w:t>
      </w:r>
      <w:r>
        <w:rPr>
          <w:rFonts w:ascii="Times New Roman" w:hAnsi="Times New Roman"/>
          <w:sz w:val="20"/>
          <w:u w:val="single"/>
        </w:rPr>
        <w:t xml:space="preserve"> Section 3.02</w:t>
      </w:r>
      <w:r>
        <w:rPr>
          <w:rFonts w:ascii="Times New Roman" w:hAnsi="Times New Roman"/>
          <w:sz w:val="20"/>
        </w:rPr>
        <w:t xml:space="preserve">, as applicable, and (ii) in each case, would not subject such Lender to any unreimbursed cost or expense and would not otherwise be disadvantageous to such Lender. The Company hereby agrees to pay (or cause the applicable Designated Borrower to pay) all reasonable costs and expenses incurred by any Lender in connection with any such designation or assignment.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Replacement of Lenders</w:t>
      </w:r>
      <w:r>
        <w:rPr>
          <w:rFonts w:ascii="Times New Roman" w:hAnsi="Times New Roman"/>
          <w:sz w:val="20"/>
        </w:rPr>
        <w:t xml:space="preserve">. If any Lender requests compensation under </w:t>
      </w:r>
      <w:r>
        <w:rPr>
          <w:rFonts w:ascii="Times New Roman" w:hAnsi="Times New Roman"/>
          <w:sz w:val="20"/>
          <w:u w:val="single"/>
        </w:rPr>
        <w:t>Section 3.04</w:t>
      </w:r>
      <w:r>
        <w:rPr>
          <w:rFonts w:ascii="Times New Roman" w:hAnsi="Times New Roman"/>
          <w:sz w:val="20"/>
        </w:rPr>
        <w:t xml:space="preserve">, or if any Borrower is required to pay any Indemnified Taxes or additional amounts to any Lender or any Governmental Authority for the account of any Lender pursuant to </w:t>
      </w:r>
      <w:r>
        <w:rPr>
          <w:rFonts w:ascii="Times New Roman" w:hAnsi="Times New Roman"/>
          <w:sz w:val="20"/>
          <w:u w:val="single"/>
        </w:rPr>
        <w:t>Section 3.01</w:t>
      </w:r>
      <w:r>
        <w:rPr>
          <w:rFonts w:ascii="Times New Roman" w:hAnsi="Times New Roman"/>
          <w:sz w:val="20"/>
        </w:rPr>
        <w:t xml:space="preserve"> or, if any Lender shall have delivered a notice pursuant to </w:t>
      </w:r>
      <w:r>
        <w:rPr>
          <w:rFonts w:ascii="Times New Roman" w:hAnsi="Times New Roman"/>
          <w:sz w:val="20"/>
          <w:u w:val="single"/>
        </w:rPr>
        <w:t>Section 3.02</w:t>
      </w:r>
      <w:r>
        <w:rPr>
          <w:rFonts w:ascii="Times New Roman" w:hAnsi="Times New Roman"/>
          <w:sz w:val="20"/>
        </w:rPr>
        <w:t xml:space="preserve">, and, in each case, such Lender has declined or is unable to designate a different Lending Office or to assign its rights and obligations to another of its offices, branches or Affiliates, in each case, in accordance with </w:t>
      </w:r>
      <w:r>
        <w:rPr>
          <w:rFonts w:ascii="Times New Roman" w:hAnsi="Times New Roman"/>
          <w:sz w:val="20"/>
          <w:u w:val="single"/>
        </w:rPr>
        <w:t>Section 3.06(a)</w:t>
      </w:r>
      <w:r>
        <w:rPr>
          <w:rFonts w:ascii="Times New Roman" w:hAnsi="Times New Roman"/>
          <w:sz w:val="20"/>
        </w:rPr>
        <w:t xml:space="preserve">, then the Company may replace such Lender in accordance with </w:t>
      </w:r>
      <w:r>
        <w:rPr>
          <w:rFonts w:ascii="Times New Roman" w:hAnsi="Times New Roman"/>
          <w:sz w:val="20"/>
          <w:u w:val="single"/>
        </w:rPr>
        <w:t>Section 10.13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3.07</w:t>
      </w:r>
      <w:r>
        <w:rPr>
          <w:rFonts w:ascii="Times New Roman" w:hAnsi="Times New Roman"/>
          <w:sz w:val="20"/>
        </w:rPr>
        <w:t xml:space="preserve"> </w:t>
      </w:r>
      <w:r>
        <w:rPr>
          <w:rFonts w:ascii="Times New Roman" w:hAnsi="Times New Roman"/>
          <w:b/>
          <w:sz w:val="20"/>
          <w:u w:val="single"/>
        </w:rPr>
        <w:t>Survival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All of the Borrowers’ obligations under this Article</w:t>
      </w:r>
      <w:r>
        <w:rPr>
          <w:rFonts w:ascii="Times New Roman" w:hAnsi="Times New Roman"/>
          <w:sz w:val="20"/>
          <w:u w:val="single"/>
        </w:rPr>
        <w:t xml:space="preserve"> III</w:t>
      </w:r>
      <w:r>
        <w:rPr>
          <w:rFonts w:ascii="Times New Roman" w:hAnsi="Times New Roman"/>
          <w:sz w:val="20"/>
        </w:rPr>
        <w:t xml:space="preserve"> shall survive termination of the Aggregate Commitments, repayment of all other Obligations hereunder and resignation of the Administrative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CONDITIONS PRECEDENT </w:t>
      </w:r>
    </w:p>
    <w:p>
      <w:pPr>
        <w:pStyle w:val="TextBody"/>
        <w:bidi w:val="0"/>
        <w:spacing w:before="240" w:after="0"/>
        <w:jc w:val="left"/>
        <w:rPr>
          <w:rFonts w:ascii="Times New Roman" w:hAnsi="Times New Roman"/>
          <w:sz w:val="20"/>
        </w:rPr>
      </w:pPr>
      <w:r>
        <w:rPr>
          <w:rFonts w:ascii="Times New Roman" w:hAnsi="Times New Roman"/>
          <w:b/>
          <w:sz w:val="20"/>
        </w:rPr>
        <w:t>4.01</w:t>
      </w:r>
      <w:r>
        <w:rPr>
          <w:rFonts w:ascii="Times New Roman" w:hAnsi="Times New Roman"/>
          <w:sz w:val="20"/>
        </w:rPr>
        <w:t xml:space="preserve"> </w:t>
      </w:r>
      <w:r>
        <w:rPr>
          <w:rFonts w:ascii="Times New Roman" w:hAnsi="Times New Roman"/>
          <w:b/>
          <w:sz w:val="20"/>
          <w:u w:val="single"/>
        </w:rPr>
        <w:t>Conditions to Effectiveness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effective upon satisfaction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Loan Documents</w:t>
      </w:r>
      <w:r>
        <w:rPr>
          <w:rFonts w:ascii="Times New Roman" w:hAnsi="Times New Roman"/>
          <w:sz w:val="20"/>
        </w:rPr>
        <w:t xml:space="preserve">. Receipt by the Administrative Agent of executed counterparts of this Agreement, and any Notes in favor of each Lender requesting Notes, each properly executed by a Responsible Officer of each Loan Party and, in the case of this Agreement, by each Lender.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Opinions of Counsel</w:t>
      </w:r>
      <w:r>
        <w:rPr>
          <w:rFonts w:ascii="Times New Roman" w:hAnsi="Times New Roman"/>
          <w:sz w:val="20"/>
        </w:rPr>
        <w:t xml:space="preserve">. Receipt by the Administrative Agent of favorable opinions of legal counsel to the Borrowers, addressed to the Administrative Agent and each Lender, dated as of the Closing Date, and in form and substance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Adverse Change</w:t>
      </w:r>
      <w:r>
        <w:rPr>
          <w:rFonts w:ascii="Times New Roman" w:hAnsi="Times New Roman"/>
          <w:sz w:val="20"/>
        </w:rPr>
        <w:t xml:space="preserve">. There shall not have occurred since November 1, 2025, any event or condition that has had or could be reasonably expected, either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Organization Documents, Resolutions, Etc</w:t>
      </w:r>
      <w:r>
        <w:rPr>
          <w:rFonts w:ascii="Times New Roman" w:hAnsi="Times New Roman"/>
          <w:sz w:val="20"/>
        </w:rPr>
        <w:t xml:space="preserve">. Receipt by the Administrative Agent of the following,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copies of the certificate of incorporation of each Loan Party certified to be true and complete as of a recent date by the appropriate Governmental Authority of the state of its incorporation and the bylaws of each Loan Party certified by a secretary or assistant secretary of Loan Party to be true and correct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 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51</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(iii) such documents and certifications as the Administrative Agent may reasonably require to evidence that such Loan Party is duly organized or formed, and is validly existing, in good standing and qualified to engage in business in its state of organization or formation.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Officer’s Closing Certificate</w:t>
      </w:r>
      <w:r>
        <w:rPr>
          <w:rFonts w:ascii="Times New Roman" w:hAnsi="Times New Roman"/>
          <w:sz w:val="20"/>
        </w:rPr>
        <w:t xml:space="preserve">. Receipt by the Administrative Agent of a certificate signed by a Responsible Officer of each Borrower certifying that the conditions specified in </w:t>
      </w:r>
      <w:r>
        <w:rPr>
          <w:rFonts w:ascii="Times New Roman" w:hAnsi="Times New Roman"/>
          <w:sz w:val="20"/>
          <w:u w:val="single"/>
        </w:rPr>
        <w:t>Section 4.01(c)</w:t>
      </w:r>
      <w:r>
        <w:rPr>
          <w:rFonts w:ascii="Times New Roman" w:hAnsi="Times New Roman"/>
          <w:sz w:val="20"/>
        </w:rPr>
        <w:t>,</w:t>
      </w:r>
      <w:r>
        <w:rPr>
          <w:rFonts w:ascii="Times New Roman" w:hAnsi="Times New Roman"/>
          <w:sz w:val="20"/>
          <w:u w:val="single"/>
        </w:rPr>
        <w:t xml:space="preserve"> Section 4.01(f)</w:t>
      </w:r>
      <w:r>
        <w:rPr>
          <w:rFonts w:ascii="Times New Roman" w:hAnsi="Times New Roman"/>
          <w:sz w:val="20"/>
        </w:rPr>
        <w:t xml:space="preserve">, </w:t>
      </w:r>
      <w:r>
        <w:rPr>
          <w:rFonts w:ascii="Times New Roman" w:hAnsi="Times New Roman"/>
          <w:sz w:val="20"/>
          <w:u w:val="single"/>
        </w:rPr>
        <w:t>Sections 4.02(a)</w:t>
      </w:r>
      <w:r>
        <w:rPr>
          <w:rFonts w:ascii="Times New Roman" w:hAnsi="Times New Roman"/>
          <w:sz w:val="20"/>
        </w:rPr>
        <w:t xml:space="preserve"> (but without giving effect to the parenthetical therein) and </w:t>
      </w:r>
      <w:r>
        <w:rPr>
          <w:rFonts w:ascii="Times New Roman" w:hAnsi="Times New Roman"/>
          <w:sz w:val="20"/>
          <w:u w:val="single"/>
        </w:rPr>
        <w:t>Section 4.02(b)</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Pending Action</w:t>
      </w:r>
      <w:r>
        <w:rPr>
          <w:rFonts w:ascii="Times New Roman" w:hAnsi="Times New Roman"/>
          <w:sz w:val="20"/>
        </w:rPr>
        <w:t xml:space="preserve">. There shall be no actions, suits or proceedings pending (of which the Company or any of its Subsidiaries has received notice) or, to the knowledge of the Company, expressly threatened in writing, at law, in equity, in arbitration or before any Governmental Authority, by or against the Company or any of its Subsidiaries or against any of their properties or revenues that either individually or in the aggregate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KYC</w:t>
      </w:r>
      <w:r>
        <w:rPr>
          <w:rFonts w:ascii="Times New Roman" w:hAnsi="Times New Roman"/>
          <w:sz w:val="20"/>
        </w:rPr>
        <w:t xml:space="preserve">. Upon the reasonable request of any Lender,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USA PATRIOT Act, in each case at least five days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Fees</w:t>
      </w:r>
      <w:r>
        <w:rPr>
          <w:rFonts w:ascii="Times New Roman" w:hAnsi="Times New Roman"/>
          <w:sz w:val="20"/>
        </w:rPr>
        <w:t xml:space="preserve">. Receipt by the Administrative Agent, the Arrangers and the Lenders of any fees required to be paid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Attorney Costs</w:t>
      </w:r>
      <w:r>
        <w:rPr>
          <w:rFonts w:ascii="Times New Roman" w:hAnsi="Times New Roman"/>
          <w:sz w:val="20"/>
        </w:rPr>
        <w:t>. Unless waived by the Administrative Agent, the Company shall have paid all reasonable fees, charges and disbursements of counsel to the Administrative Agent (directly to such counsel if requested by the Administrative Agent) required to be paid by the Company pursuant to the Loan Documents to the extent invoiced at least two (2) Business Days prior to or on the Closing Date, plus such additional amounts of such fees, charges and disbursements as shall constitute its reasonable estimate of such fees, charges and disbursements incurred or to be incurred by it through the closing proceedings (</w:t>
      </w:r>
      <w:r>
        <w:rPr>
          <w:rFonts w:ascii="Times New Roman" w:hAnsi="Times New Roman"/>
          <w:sz w:val="20"/>
          <w:u w:val="single"/>
        </w:rPr>
        <w:t>provided</w:t>
      </w:r>
      <w:r>
        <w:rPr>
          <w:rFonts w:ascii="Times New Roman" w:hAnsi="Times New Roman"/>
          <w:sz w:val="20"/>
        </w:rPr>
        <w:t xml:space="preserve"> that such estimate shall not thereafter preclude a final settling of accounts between the Company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provisions of the last paragraph of </w:t>
      </w:r>
      <w:r>
        <w:rPr>
          <w:rFonts w:ascii="Times New Roman" w:hAnsi="Times New Roman"/>
          <w:sz w:val="20"/>
          <w:u w:val="single"/>
        </w:rPr>
        <w:t>Section 9.03</w:t>
      </w:r>
      <w:r>
        <w:rPr>
          <w:rFonts w:ascii="Times New Roman" w:hAnsi="Times New Roman"/>
          <w:sz w:val="20"/>
        </w:rPr>
        <w:t xml:space="preserve">, for purposes of determining compliance with the conditions specified in this </w:t>
      </w:r>
      <w:r>
        <w:rPr>
          <w:rFonts w:ascii="Times New Roman" w:hAnsi="Times New Roman"/>
          <w:sz w:val="20"/>
          <w:u w:val="single"/>
        </w:rPr>
        <w:t>Section 4.01</w:t>
      </w:r>
      <w:r>
        <w:rPr>
          <w:rFonts w:ascii="Times New Roman" w:hAnsi="Times New Roman"/>
          <w:sz w:val="20"/>
        </w:rPr>
        <w:t xml:space="preserv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w:t>
      </w:r>
    </w:p>
    <w:p>
      <w:pPr>
        <w:pStyle w:val="TextBody"/>
        <w:bidi w:val="0"/>
        <w:spacing w:before="240" w:after="0"/>
        <w:jc w:val="left"/>
        <w:rPr>
          <w:rFonts w:ascii="Times New Roman" w:hAnsi="Times New Roman"/>
          <w:sz w:val="20"/>
        </w:rPr>
      </w:pPr>
      <w:r>
        <w:rPr>
          <w:rFonts w:ascii="Times New Roman" w:hAnsi="Times New Roman"/>
          <w:b/>
          <w:sz w:val="20"/>
        </w:rPr>
        <w:t>4.02</w:t>
      </w:r>
      <w:r>
        <w:rPr>
          <w:rFonts w:ascii="Times New Roman" w:hAnsi="Times New Roman"/>
          <w:sz w:val="20"/>
        </w:rPr>
        <w:t xml:space="preserve"> </w:t>
      </w:r>
      <w:r>
        <w:rPr>
          <w:rFonts w:ascii="Times New Roman" w:hAnsi="Times New Roman"/>
          <w:b/>
          <w:sz w:val="20"/>
          <w:u w:val="single"/>
        </w:rPr>
        <w:t>Conditions to all Committed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 of each Lender to honor any Committed Loan Notice (other than a Committed Loan Notice requesting only a conversion of Committed Loans to the other Type, or a continuation of Term SOFR Loans or Alternative Currency Term Rate Loans) is subject to the following conditions precedent: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52</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(a) The representations and warranties of (i) the Borrowers contained in Article</w:t>
      </w:r>
      <w:r>
        <w:rPr>
          <w:rFonts w:ascii="Times New Roman" w:hAnsi="Times New Roman"/>
          <w:sz w:val="20"/>
          <w:u w:val="single"/>
        </w:rPr>
        <w:t xml:space="preserve"> V</w:t>
      </w:r>
      <w:r>
        <w:rPr>
          <w:rFonts w:ascii="Times New Roman" w:hAnsi="Times New Roman"/>
          <w:sz w:val="20"/>
        </w:rPr>
        <w:t xml:space="preserve"> (other than, after the Closing Date, </w:t>
      </w:r>
      <w:r>
        <w:rPr>
          <w:rFonts w:ascii="Times New Roman" w:hAnsi="Times New Roman"/>
          <w:sz w:val="20"/>
          <w:u w:val="single"/>
        </w:rPr>
        <w:t>Sections 5.05(b)</w:t>
      </w:r>
      <w:r>
        <w:rPr>
          <w:rFonts w:ascii="Times New Roman" w:hAnsi="Times New Roman"/>
          <w:sz w:val="20"/>
        </w:rPr>
        <w:t xml:space="preserve"> or 5.06) and (ii) each Loan Party contained in each other Loan Document or in any document furnished at any time under or in connection herewith or therewith, shall be true and correct (A) in the case of the representations and warranties qualified as to materiality, in all respects and (B) otherwise, in all material respects on and as of the date of the Committed Borrowing requested thereby, except (x) to the extent that such representations and warranties specifically refer to an earlier date, in which case they shall be true and correct as of such earlier date and (y) that for purposes of this </w:t>
      </w:r>
      <w:r>
        <w:rPr>
          <w:rFonts w:ascii="Times New Roman" w:hAnsi="Times New Roman"/>
          <w:sz w:val="20"/>
          <w:u w:val="single"/>
        </w:rPr>
        <w:t>Section 4.02</w:t>
      </w:r>
      <w:r>
        <w:rPr>
          <w:rFonts w:ascii="Times New Roman" w:hAnsi="Times New Roman"/>
          <w:sz w:val="20"/>
        </w:rPr>
        <w:t xml:space="preserve">, the representations and warranties contained in </w:t>
      </w:r>
      <w:r>
        <w:rPr>
          <w:rFonts w:ascii="Times New Roman" w:hAnsi="Times New Roman"/>
          <w:sz w:val="20"/>
          <w:u w:val="single"/>
        </w:rPr>
        <w:t>Section 5.05(a)</w:t>
      </w:r>
      <w:r>
        <w:rPr>
          <w:rFonts w:ascii="Times New Roman" w:hAnsi="Times New Roman"/>
          <w:sz w:val="20"/>
        </w:rPr>
        <w:t xml:space="preserve"> shall be deemed to refer to the most recent statements furnished pursuant to </w:t>
      </w:r>
      <w:r>
        <w:rPr>
          <w:rFonts w:ascii="Times New Roman" w:hAnsi="Times New Roman"/>
          <w:sz w:val="20"/>
          <w:u w:val="single"/>
        </w:rPr>
        <w:t>Section 6.01(a)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 Default shall exist, or would result from such proposed Committed Borrowing or the application of the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shall have received a Committed Loan Notice in accordance with the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(d) If the applicable Borrower is a Designated Borrower, then the conditions of </w:t>
      </w:r>
      <w:r>
        <w:rPr>
          <w:rFonts w:ascii="Times New Roman" w:hAnsi="Times New Roman"/>
          <w:sz w:val="20"/>
          <w:u w:val="single"/>
        </w:rPr>
        <w:t>Section 2.18</w:t>
      </w:r>
      <w:r>
        <w:rPr>
          <w:rFonts w:ascii="Times New Roman" w:hAnsi="Times New Roman"/>
          <w:sz w:val="20"/>
        </w:rPr>
        <w:t xml:space="preserve"> as to the designation of such Borrower as a Designated Borrower shall have been met to the reasonable satisfaction of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In the case of a Committed Borrowing to be denominated in an Alternative Currency, such currency remains an Eligible Currency. </w:t>
      </w:r>
    </w:p>
    <w:p>
      <w:pPr>
        <w:pStyle w:val="TextBody"/>
        <w:bidi w:val="0"/>
        <w:spacing w:before="240" w:after="0"/>
        <w:jc w:val="left"/>
        <w:rPr>
          <w:rFonts w:ascii="Times New Roman" w:hAnsi="Times New Roman"/>
          <w:sz w:val="20"/>
        </w:rPr>
      </w:pPr>
      <w:r>
        <w:rPr>
          <w:rFonts w:ascii="Times New Roman" w:hAnsi="Times New Roman"/>
          <w:sz w:val="20"/>
        </w:rPr>
        <w:t xml:space="preserve">Each Committed Loan Notice (other than a Committed Loan Notice requesting only a conversion of Committed Loans to the other Type or a continuation of Term SOFR Loans or Alternative Currency Term Rate Loans) submitted by the Company shall be deemed to be a representation and warranty that the conditions specified in </w:t>
      </w:r>
      <w:r>
        <w:rPr>
          <w:rFonts w:ascii="Times New Roman" w:hAnsi="Times New Roman"/>
          <w:sz w:val="20"/>
          <w:u w:val="single"/>
        </w:rPr>
        <w:t>Sections 4.02(a)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have been satisfied on and as of the date of the applicable Committed Borrowing.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Each Borrower represents and warrants to the Administrative Agent and the Lenders that: </w:t>
      </w:r>
    </w:p>
    <w:p>
      <w:pPr>
        <w:pStyle w:val="TextBody"/>
        <w:bidi w:val="0"/>
        <w:spacing w:before="120" w:after="0"/>
        <w:jc w:val="left"/>
        <w:rPr>
          <w:rFonts w:ascii="Times New Roman" w:hAnsi="Times New Roman"/>
          <w:sz w:val="20"/>
        </w:rPr>
      </w:pPr>
      <w:r>
        <w:rPr>
          <w:rFonts w:ascii="Times New Roman" w:hAnsi="Times New Roman"/>
          <w:b/>
          <w:sz w:val="20"/>
        </w:rPr>
        <w:t>5.01</w:t>
      </w:r>
      <w:r>
        <w:rPr>
          <w:rFonts w:ascii="Times New Roman" w:hAnsi="Times New Roman"/>
          <w:sz w:val="20"/>
        </w:rPr>
        <w:t xml:space="preserve"> </w:t>
      </w:r>
      <w:r>
        <w:rPr>
          <w:rFonts w:ascii="Times New Roman" w:hAnsi="Times New Roman"/>
          <w:b/>
          <w:sz w:val="20"/>
          <w:u w:val="single"/>
        </w:rPr>
        <w:t>Existence, Qualification and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Loan Party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in which it is currently engaged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hAnsi="Times New Roman"/>
          <w:sz w:val="20"/>
          <w:u w:val="single"/>
        </w:rPr>
        <w:t>clause (b)(i)</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to the extent that failure to do so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5.02</w:t>
      </w:r>
      <w:r>
        <w:rPr>
          <w:rFonts w:ascii="Times New Roman" w:hAnsi="Times New Roman"/>
          <w:sz w:val="20"/>
        </w:rPr>
        <w:t xml:space="preserve"> </w:t>
      </w:r>
      <w:r>
        <w:rPr>
          <w:rFonts w:ascii="Times New Roman" w:hAnsi="Times New Roman"/>
          <w:b/>
          <w:sz w:val="20"/>
          <w:u w:val="single"/>
        </w:rPr>
        <w:t>Authorization; No Contravention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execution, delivery and performance by each Loan Party of each Loan Document to which it is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53</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made under (i) any material Contractual Obligation to which such Person is a party or affecting such Person or the properties such Person or any of its Subsidiaries or (ii) any order, injunction, writ or decree of any Governmental Authority or any arbitral award to which such Person or any of its Subsidiaries or their properties are subject; or (c) violate any Law, except, in each case referred to in </w:t>
      </w:r>
      <w:r>
        <w:rPr>
          <w:rFonts w:ascii="Times New Roman" w:hAnsi="Times New Roman"/>
          <w:sz w:val="20"/>
          <w:u w:val="single"/>
        </w:rPr>
        <w:t>clause (b)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to the extent that such matters, individually or in the aggregate,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5.03</w:t>
      </w:r>
      <w:r>
        <w:rPr>
          <w:rFonts w:ascii="Times New Roman" w:hAnsi="Times New Roman"/>
          <w:sz w:val="20"/>
        </w:rPr>
        <w:t xml:space="preserve"> </w:t>
      </w:r>
      <w:r>
        <w:rPr>
          <w:rFonts w:ascii="Times New Roman" w:hAnsi="Times New Roman"/>
          <w:b/>
          <w:sz w:val="20"/>
          <w:u w:val="single"/>
        </w:rPr>
        <w:t>Governmental Authorization; Other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approval, consent, exemption, authorization, or other action by, or notice to, or filing with, any Governmental Authority or any other Person is necessary or required in connection with the execution, delivery or performance by, or enforcement against, any Borrower of this Agreement or any other Loan Party of any other Loan Document to which it is a party. </w:t>
      </w:r>
    </w:p>
    <w:p>
      <w:pPr>
        <w:pStyle w:val="TextBody"/>
        <w:bidi w:val="0"/>
        <w:spacing w:before="240" w:after="0"/>
        <w:jc w:val="left"/>
        <w:rPr>
          <w:rFonts w:ascii="Times New Roman" w:hAnsi="Times New Roman"/>
          <w:sz w:val="20"/>
        </w:rPr>
      </w:pPr>
      <w:r>
        <w:rPr>
          <w:rFonts w:ascii="Times New Roman" w:hAnsi="Times New Roman"/>
          <w:b/>
          <w:sz w:val="20"/>
        </w:rPr>
        <w:t>5.04</w:t>
      </w:r>
      <w:r>
        <w:rPr>
          <w:rFonts w:ascii="Times New Roman" w:hAnsi="Times New Roman"/>
          <w:sz w:val="20"/>
        </w:rPr>
        <w:t xml:space="preserve"> </w:t>
      </w:r>
      <w:r>
        <w:rPr>
          <w:rFonts w:ascii="Times New Roman" w:hAnsi="Times New Roman"/>
          <w:b/>
          <w:sz w:val="20"/>
          <w:u w:val="single"/>
        </w:rPr>
        <w:t>Binding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has been, and each other Loan Document, when delivered hereunder, will have been, duly executed and delivered by each Loan Party that is a party thereto. This Agreement constitutes, and each other Loan Document when so delivered will constitute, a valid and binding obligation of such Loan Party, enforceable against each Loan Party that is party thereto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w:t>
      </w:r>
    </w:p>
    <w:p>
      <w:pPr>
        <w:pStyle w:val="TextBody"/>
        <w:bidi w:val="0"/>
        <w:spacing w:before="240" w:after="0"/>
        <w:jc w:val="left"/>
        <w:rPr>
          <w:rFonts w:ascii="Times New Roman" w:hAnsi="Times New Roman"/>
          <w:sz w:val="20"/>
        </w:rPr>
      </w:pPr>
      <w:r>
        <w:rPr>
          <w:rFonts w:ascii="Times New Roman" w:hAnsi="Times New Roman"/>
          <w:b/>
          <w:sz w:val="20"/>
        </w:rPr>
        <w:t>5.05</w:t>
      </w:r>
      <w:r>
        <w:rPr>
          <w:rFonts w:ascii="Times New Roman" w:hAnsi="Times New Roman"/>
          <w:sz w:val="20"/>
        </w:rPr>
        <w:t xml:space="preserve"> </w:t>
      </w:r>
      <w:r>
        <w:rPr>
          <w:rFonts w:ascii="Times New Roman" w:hAnsi="Times New Roman"/>
          <w:b/>
          <w:sz w:val="20"/>
          <w:u w:val="single"/>
        </w:rPr>
        <w:t>Financial Statements; No 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Audited Financial Statements and the Unaudited Financial Statements (i) were prepared in accordance with GAAP, consistently applied throughout the periods covered thereby, except as otherwise expressly noted therein and (ii) fairly present in all material respects the financial condition of the Company and its Subsidiaries as of the date thereof and their results of operations and cash flows for the periods covered thereby in accordance with GAAP consistently applied throughout the periods covered thereby, except as otherwise expressly noted therein, subject to normal year-end audit adjustments and the absence of certain footnotes in the case of the Unaudited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 Since the date of the Audited Financial Statements, there has been no event or circumstance, either individually or in the aggregate, that has had or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5.06</w:t>
      </w:r>
      <w:r>
        <w:rPr>
          <w:rFonts w:ascii="Times New Roman" w:hAnsi="Times New Roman"/>
          <w:sz w:val="20"/>
        </w:rPr>
        <w:t xml:space="preserve"> </w:t>
      </w:r>
      <w:r>
        <w:rPr>
          <w:rFonts w:ascii="Times New Roman" w:hAnsi="Times New Roman"/>
          <w:b/>
          <w:sz w:val="20"/>
          <w:u w:val="single"/>
        </w:rPr>
        <w:t>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are no actions, suits, proceedings, claims or disputes pending or, to the knowledge of any Borrower, threatened or contemplated, at law, in equity, in arbitration or before any Governmental Authority, by or against any Loan Party or any of its Subsidiaries or against any of their properties or revenues that (a) could reasonably be expected to affect the legality, validity or enforceability of this Agreement or any other Loan Document, or any of the transactions contemplated hereby, or (b) either individually or in the aggregate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5.07</w:t>
      </w:r>
      <w:r>
        <w:rPr>
          <w:rFonts w:ascii="Times New Roman" w:hAnsi="Times New Roman"/>
          <w:sz w:val="20"/>
        </w:rPr>
        <w:t xml:space="preserve"> </w:t>
      </w:r>
      <w:r>
        <w:rPr>
          <w:rFonts w:ascii="Times New Roman" w:hAnsi="Times New Roman"/>
          <w:b/>
          <w:sz w:val="20"/>
          <w:u w:val="single"/>
        </w:rPr>
        <w:t>No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Default has occurred and is continuing or would result from the consummation of the transactions contemplated by this Agreement or any other Loan Document.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54</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5.08</w:t>
      </w:r>
      <w:r>
        <w:rPr>
          <w:rFonts w:ascii="Times New Roman" w:hAnsi="Times New Roman"/>
          <w:sz w:val="20"/>
        </w:rPr>
        <w:t xml:space="preserve"> </w:t>
      </w:r>
      <w:r>
        <w:rPr>
          <w:rFonts w:ascii="Times New Roman" w:hAnsi="Times New Roman"/>
          <w:b/>
          <w:sz w:val="20"/>
          <w:u w:val="single"/>
        </w:rPr>
        <w:t>Ownership of Property;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No property of any Loan Party or any of its Subsidiaries is subject to Liens, other than Liens permitted by </w:t>
      </w:r>
      <w:r>
        <w:rPr>
          <w:rFonts w:ascii="Times New Roman" w:hAnsi="Times New Roman"/>
          <w:sz w:val="20"/>
          <w:u w:val="single"/>
        </w:rPr>
        <w:t>Section 7.01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5.09</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5.10</w:t>
      </w:r>
      <w:r>
        <w:rPr>
          <w:rFonts w:ascii="Times New Roman" w:hAnsi="Times New Roman"/>
          <w:sz w:val="20"/>
        </w:rPr>
        <w:t xml:space="preserve"> </w:t>
      </w:r>
      <w:r>
        <w:rPr>
          <w:rFonts w:ascii="Times New Roman" w:hAnsi="Times New Roman"/>
          <w:b/>
          <w:sz w:val="20"/>
          <w:u w:val="single"/>
        </w:rPr>
        <w:t>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properties of each Loan Party and its Subsidiaries are insured with insurance companies not Affiliates of such Loan Party (and, to such Loan Party’s knowledge, such insurance companies are financially sound and reputable), in such amounts, with such deductibles and covering such risks as are customarily carried by companies engaged in similar businesses and owning similar properties in localities where the applicable Loan Party or Subsidiary operates. </w:t>
      </w:r>
    </w:p>
    <w:p>
      <w:pPr>
        <w:pStyle w:val="TextBody"/>
        <w:bidi w:val="0"/>
        <w:spacing w:before="240" w:after="0"/>
        <w:jc w:val="left"/>
        <w:rPr>
          <w:rFonts w:ascii="Times New Roman" w:hAnsi="Times New Roman"/>
          <w:sz w:val="20"/>
        </w:rPr>
      </w:pPr>
      <w:r>
        <w:rPr>
          <w:rFonts w:ascii="Times New Roman" w:hAnsi="Times New Roman"/>
          <w:b/>
          <w:sz w:val="20"/>
        </w:rPr>
        <w:t>5.11</w:t>
      </w:r>
      <w:r>
        <w:rPr>
          <w:rFonts w:ascii="Times New Roman" w:hAnsi="Times New Roman"/>
          <w:sz w:val="20"/>
        </w:rPr>
        <w:t xml:space="preserve"> </w:t>
      </w:r>
      <w:r>
        <w:rPr>
          <w:rFonts w:ascii="Times New Roman" w:hAnsi="Times New Roman"/>
          <w:b/>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Loan Party and its Subsidiaries have (a) filed all federal, state and other Tax returns and reports required to be filed, and (b) paid all federal, state and other Taxes, assessments, fees and other governmental charges levied or imposed upon them or their properties, income or assets otherwise due and payable, except, in each case, those which are (i) being contested in good faith by appropriate proceedings diligently conducted and for which adequate reserves have been provided in accordance with GAAP or (ii)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5.12</w:t>
      </w:r>
      <w:r>
        <w:rPr>
          <w:rFonts w:ascii="Times New Roman" w:hAnsi="Times New Roman"/>
          <w:sz w:val="20"/>
        </w:rPr>
        <w:t xml:space="preserve"> </w:t>
      </w:r>
      <w:r>
        <w:rPr>
          <w:rFonts w:ascii="Times New Roman" w:hAnsi="Times New Roman"/>
          <w:b/>
          <w:sz w:val="20"/>
          <w:u w:val="single"/>
        </w:rPr>
        <w:t>ERISA Compliance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Each Plan is in compliance in all material respects with the applicable provisions of ERISA, the Code and other federal or state laws. Each Pension Plan that is intended to be a qualified plan under 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Loan Parties, nothing has occurred that would prevent, or cause the loss of, such Tax-qualified status.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pending or, to the knowledge of the Loan Parties, threatened claims, actions or lawsuits, or action by any Governmental Authority, with respect to any Plan. There has been no prohibited transaction or violation of the fiduciary responsibility rules with respect to any Plan. </w:t>
      </w:r>
    </w:p>
    <w:p>
      <w:pPr>
        <w:pStyle w:val="TextBody"/>
        <w:bidi w:val="0"/>
        <w:spacing w:before="240" w:after="0"/>
        <w:jc w:val="left"/>
        <w:rPr>
          <w:rFonts w:ascii="Times New Roman" w:hAnsi="Times New Roman"/>
          <w:sz w:val="20"/>
        </w:rPr>
      </w:pPr>
      <w:r>
        <w:rPr>
          <w:rFonts w:ascii="Times New Roman" w:hAnsi="Times New Roman"/>
          <w:sz w:val="20"/>
        </w:rPr>
        <w:t xml:space="preserve">(c) (i) No ERISA Event has occurred and neither the Company nor any ERISA Affiliate is aware of any fact, event or circumstance that could reasonably be expected to constitute or result in an ERISA Event with respect to any Pension Plan; (ii) the Company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sixty percent (60%) or higher and neither the Company nor any ERISA Affiliate knows of any facts or circumstances that could reasonably be expected to cause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55</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funding target attainment percentage for any such plan to drop below sixty percent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is reasonably likely to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 </w:t>
      </w:r>
    </w:p>
    <w:p>
      <w:pPr>
        <w:pStyle w:val="TextBody"/>
        <w:bidi w:val="0"/>
        <w:spacing w:before="240" w:after="0"/>
        <w:jc w:val="left"/>
        <w:rPr>
          <w:rFonts w:ascii="Times New Roman" w:hAnsi="Times New Roman"/>
          <w:sz w:val="20"/>
        </w:rPr>
      </w:pPr>
      <w:r>
        <w:rPr>
          <w:rFonts w:ascii="Times New Roman" w:hAnsi="Times New Roman"/>
          <w:sz w:val="20"/>
        </w:rPr>
        <w:t xml:space="preserve">(d) Neither any Borrower nor any ERISA Affiliate maintains or contributes to, or has any unsatisfied obligation to contribute to, or liability under, any active or terminated Pension Plan other than (A) on the Closing Date, those listed on </w:t>
      </w:r>
      <w:r>
        <w:rPr>
          <w:rFonts w:ascii="Times New Roman" w:hAnsi="Times New Roman"/>
          <w:sz w:val="20"/>
          <w:u w:val="single"/>
        </w:rPr>
        <w:t>Schedule 5.12(d)</w:t>
      </w:r>
      <w:r>
        <w:rPr>
          <w:rFonts w:ascii="Times New Roman" w:hAnsi="Times New Roman"/>
          <w:sz w:val="20"/>
        </w:rPr>
        <w:t xml:space="preserve"> hereto and (B) thereafter, Pension Plans not otherwise prohibited by this Agreement. </w:t>
      </w:r>
    </w:p>
    <w:p>
      <w:pPr>
        <w:pStyle w:val="TextBody"/>
        <w:bidi w:val="0"/>
        <w:spacing w:before="240" w:after="0"/>
        <w:jc w:val="left"/>
        <w:rPr>
          <w:rFonts w:ascii="Times New Roman" w:hAnsi="Times New Roman"/>
          <w:sz w:val="20"/>
        </w:rPr>
      </w:pPr>
      <w:r>
        <w:rPr>
          <w:rFonts w:ascii="Times New Roman" w:hAnsi="Times New Roman"/>
          <w:b/>
          <w:sz w:val="20"/>
        </w:rPr>
        <w:t>5.13</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5.14</w:t>
      </w:r>
      <w:r>
        <w:rPr>
          <w:rFonts w:ascii="Times New Roman" w:hAnsi="Times New Roman"/>
          <w:sz w:val="20"/>
        </w:rPr>
        <w:t xml:space="preserve"> </w:t>
      </w:r>
      <w:r>
        <w:rPr>
          <w:rFonts w:ascii="Times New Roman" w:hAnsi="Times New Roman"/>
          <w:b/>
          <w:sz w:val="20"/>
          <w:u w:val="single"/>
        </w:rPr>
        <w:t>Margin Regulations; 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Borrower is engaged and does not intend to engage, principally or as one of its important activities, in the business of purchasing or carrying margin stock (within the meaning of Regulation U issued by the FRB) in violation of Regulation U, or extending credit for the purpose of purchasing or carrying margin stock. The making of Committed Borrowings hereunder and the use of the proceeds thereof will not result in a violation of Regulation U. </w:t>
      </w:r>
    </w:p>
    <w:p>
      <w:pPr>
        <w:pStyle w:val="TextBody"/>
        <w:bidi w:val="0"/>
        <w:spacing w:before="240" w:after="0"/>
        <w:jc w:val="left"/>
        <w:rPr>
          <w:rFonts w:ascii="Times New Roman" w:hAnsi="Times New Roman"/>
          <w:sz w:val="20"/>
        </w:rPr>
      </w:pPr>
      <w:r>
        <w:rPr>
          <w:rFonts w:ascii="Times New Roman" w:hAnsi="Times New Roman"/>
          <w:sz w:val="20"/>
        </w:rPr>
        <w:t xml:space="preserve">(b) None of the Loan Parties is or is required to be registered as an “investment company” under the Investment Company Act of 1940. </w:t>
      </w:r>
    </w:p>
    <w:p>
      <w:pPr>
        <w:pStyle w:val="TextBody"/>
        <w:bidi w:val="0"/>
        <w:spacing w:before="240" w:after="0"/>
        <w:jc w:val="left"/>
        <w:rPr>
          <w:rFonts w:ascii="Times New Roman" w:hAnsi="Times New Roman"/>
          <w:sz w:val="20"/>
        </w:rPr>
      </w:pPr>
      <w:r>
        <w:rPr>
          <w:rFonts w:ascii="Times New Roman" w:hAnsi="Times New Roman"/>
          <w:b/>
          <w:sz w:val="20"/>
          <w:u w:val="single"/>
        </w:rPr>
        <w:t>5.15</w:t>
      </w:r>
      <w:r>
        <w:rPr>
          <w:rFonts w:ascii="Times New Roman" w:hAnsi="Times New Roman"/>
          <w:sz w:val="20"/>
        </w:rPr>
        <w:t xml:space="preserve"> </w:t>
      </w:r>
      <w:r>
        <w:rPr>
          <w:rFonts w:ascii="Times New Roman" w:hAnsi="Times New Roman"/>
          <w:b/>
          <w:sz w:val="20"/>
          <w:u w:val="single"/>
        </w:rPr>
        <w:t>Disclosure</w:t>
      </w:r>
      <w:r>
        <w:rPr>
          <w:rFonts w:ascii="Times New Roman" w:hAnsi="Times New Roman"/>
          <w:sz w:val="20"/>
        </w:rPr>
        <w:t xml:space="preserve">.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when taken together with the information contained in the annual, quarterly and current reports theretofore publicly filed by the Company with the SEC, contains, as of the date of such report, financial statement, certificate or other information, any material misstatement of fact or omits to state any material fact necessary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with respect to projected financial information, the Company represents only that such information was prepared in good faith based upon assumptions believed to be reasonable at the time, it being recognized by the Lenders that such projections and other forward-looking statements are as to future events and are not to be viewed as facts and that actual results during the period or periods covered by any such projections or other forward-looking statements may differ significantly from the projected results and such differences may be material. </w:t>
      </w:r>
    </w:p>
    <w:p>
      <w:pPr>
        <w:pStyle w:val="TextBody"/>
        <w:bidi w:val="0"/>
        <w:spacing w:before="240" w:after="0"/>
        <w:jc w:val="left"/>
        <w:rPr>
          <w:rFonts w:ascii="Times New Roman" w:hAnsi="Times New Roman"/>
          <w:sz w:val="20"/>
        </w:rPr>
      </w:pPr>
      <w:r>
        <w:rPr>
          <w:rFonts w:ascii="Times New Roman" w:hAnsi="Times New Roman"/>
          <w:b/>
          <w:sz w:val="20"/>
        </w:rPr>
        <w:t>5.16</w:t>
      </w:r>
      <w:r>
        <w:rPr>
          <w:rFonts w:ascii="Times New Roman" w:hAnsi="Times New Roman"/>
          <w:sz w:val="20"/>
        </w:rPr>
        <w:t xml:space="preserve"> </w:t>
      </w:r>
      <w:r>
        <w:rPr>
          <w:rFonts w:ascii="Times New Roman" w:hAnsi="Times New Roman"/>
          <w:b/>
          <w:sz w:val="20"/>
          <w:u w:val="single"/>
        </w:rPr>
        <w:t>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Loan Party and each Subsidiary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56</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5.17</w:t>
      </w:r>
      <w:r>
        <w:rPr>
          <w:rFonts w:ascii="Times New Roman" w:hAnsi="Times New Roman"/>
          <w:sz w:val="20"/>
        </w:rPr>
        <w:t xml:space="preserve"> </w:t>
      </w:r>
      <w:r>
        <w:rPr>
          <w:rFonts w:ascii="Times New Roman" w:hAnsi="Times New Roman"/>
          <w:b/>
          <w:sz w:val="20"/>
          <w:u w:val="single"/>
        </w:rPr>
        <w:t>Taxpayer Identification Number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true and correct U.S. taxpayer identification number, or, in the case of any non-U.S. Loan Party that does not have a U.S. taxpayer identification number, its unique identification number issued to it by the jurisdiction of its incorporation or organization, of each Loan Party is set forth on </w:t>
      </w:r>
      <w:r>
        <w:rPr>
          <w:rFonts w:ascii="Times New Roman" w:hAnsi="Times New Roman"/>
          <w:sz w:val="20"/>
          <w:u w:val="single"/>
        </w:rPr>
        <w:t>Schedule 5.17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5.18</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5.19</w:t>
      </w:r>
      <w:r>
        <w:rPr>
          <w:rFonts w:ascii="Times New Roman" w:hAnsi="Times New Roman"/>
          <w:sz w:val="20"/>
        </w:rPr>
        <w:t xml:space="preserve"> </w:t>
      </w:r>
      <w:r>
        <w:rPr>
          <w:rFonts w:ascii="Times New Roman" w:hAnsi="Times New Roman"/>
          <w:b/>
          <w:sz w:val="20"/>
          <w:u w:val="single"/>
        </w:rPr>
        <w:t>Sanctions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Loan Party nor any Subsidiary, nor, to the knowledge of the Loan Parties and their Subsidiaries, any director, officer or employee thereof, is an individual or entity that is, or is owned or controlled by any individuals or entities that are, (i) currently the subject of any Sanctions, (ii) included on OFAC’s List of Specially Designated Nationals or His Majesty’s Treasury’s Consolidated List of Financial Sanctions Targets and the Investment Ban List or (iii) located, organized or resident in a Designated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No Loan, nor the proceeds from any Loan, has been or will be used by any Borrower, directly or indirectly, to lend, contribute, provide or has been or will be otherwise made available to fund any activity or business in any Designated Jurisdiction, or, to the knowledge of the Loan Parties, to fund any activity or business of any Person located, organized or residing in any Designated Jurisdiction or who is the subject of any Sanctions, or, to the knowledge of any Borrower, in any other manner that, in each case, will result in any violation by any Person (including any Lender, any Arranger or the Administrative Agent) of Sanctions. </w:t>
      </w:r>
    </w:p>
    <w:p>
      <w:pPr>
        <w:pStyle w:val="TextBody"/>
        <w:bidi w:val="0"/>
        <w:spacing w:before="240" w:after="0"/>
        <w:jc w:val="left"/>
        <w:rPr>
          <w:rFonts w:ascii="Times New Roman" w:hAnsi="Times New Roman"/>
          <w:sz w:val="20"/>
        </w:rPr>
      </w:pPr>
      <w:r>
        <w:rPr>
          <w:rFonts w:ascii="Times New Roman" w:hAnsi="Times New Roman"/>
          <w:sz w:val="20"/>
        </w:rPr>
        <w:t xml:space="preserve">(c) Each Borrower has policies and procedures in place designed to reasonably ensure compliance with Sanctions. </w:t>
      </w:r>
    </w:p>
    <w:p>
      <w:pPr>
        <w:pStyle w:val="TextBody"/>
        <w:bidi w:val="0"/>
        <w:spacing w:before="240" w:after="0"/>
        <w:jc w:val="left"/>
        <w:rPr>
          <w:rFonts w:ascii="Times New Roman" w:hAnsi="Times New Roman"/>
          <w:sz w:val="20"/>
        </w:rPr>
      </w:pPr>
      <w:r>
        <w:rPr>
          <w:rFonts w:ascii="Times New Roman" w:hAnsi="Times New Roman"/>
          <w:b/>
          <w:sz w:val="20"/>
        </w:rPr>
        <w:t>5.20</w:t>
      </w:r>
      <w:r>
        <w:rPr>
          <w:rFonts w:ascii="Times New Roman" w:hAnsi="Times New Roman"/>
          <w:sz w:val="20"/>
        </w:rPr>
        <w:t xml:space="preserve"> </w:t>
      </w:r>
      <w:r>
        <w:rPr>
          <w:rFonts w:ascii="Times New Roman" w:hAnsi="Times New Roman"/>
          <w:b/>
          <w:sz w:val="20"/>
          <w:u w:val="single"/>
        </w:rPr>
        <w:t>Anti-Corruption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Loan Parties and their Subsidiaries are in compliance in all material respects with the United States Foreign Corrupt Practices Act of 1977, the UK Bribery Act 2010 and other applicable anti-corruption legislation in other jurisdictions (“</w:t>
      </w:r>
      <w:r>
        <w:rPr>
          <w:rFonts w:ascii="Times New Roman" w:hAnsi="Times New Roman"/>
          <w:sz w:val="20"/>
          <w:u w:val="single"/>
        </w:rPr>
        <w:t>Anti-Corruption Laws</w:t>
      </w:r>
      <w:r>
        <w:rPr>
          <w:rFonts w:ascii="Times New Roman" w:hAnsi="Times New Roman"/>
          <w:sz w:val="20"/>
        </w:rPr>
        <w:t xml:space="preserve">”) and have instituted and maintain policies and procedures reasonably designed to promote and achieve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(b) No Loan, nor the proceeds from any Loan, has been used by any Borrower, directly or indirectly, in furtherance of an offer, payment, promise to pay, or authorization of the payment or giving of money, or anything else of value, to any Person in violation of Anti-Corruption Laws. </w:t>
      </w:r>
    </w:p>
    <w:p>
      <w:pPr>
        <w:pStyle w:val="TextBody"/>
        <w:bidi w:val="0"/>
        <w:spacing w:before="240" w:after="0"/>
        <w:jc w:val="left"/>
        <w:rPr>
          <w:rFonts w:ascii="Times New Roman" w:hAnsi="Times New Roman"/>
          <w:sz w:val="20"/>
        </w:rPr>
      </w:pPr>
      <w:r>
        <w:rPr>
          <w:rFonts w:ascii="Times New Roman" w:hAnsi="Times New Roman"/>
          <w:b/>
          <w:sz w:val="20"/>
        </w:rPr>
        <w:t>5.21</w:t>
      </w:r>
      <w:r>
        <w:rPr>
          <w:rFonts w:ascii="Times New Roman" w:hAnsi="Times New Roman"/>
          <w:sz w:val="20"/>
        </w:rPr>
        <w:t xml:space="preserve"> </w:t>
      </w:r>
      <w:r>
        <w:rPr>
          <w:rFonts w:ascii="Times New Roman" w:hAnsi="Times New Roman"/>
          <w:b/>
          <w:sz w:val="20"/>
          <w:u w:val="single"/>
        </w:rPr>
        <w:t>Affected Financial Institutions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Loan Party is an Affected Financial Institution.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Lender shall have any Commitment hereunder, any Loan or other Obligation hereunder shall remain unpaid or unsatisfied, each Borrower shall, and shall (except in the case of the covenants set forth in </w:t>
      </w:r>
      <w:r>
        <w:rPr>
          <w:rFonts w:ascii="Times New Roman" w:hAnsi="Times New Roman"/>
          <w:sz w:val="20"/>
          <w:u w:val="single"/>
        </w:rPr>
        <w:t>Sections 6.01</w:t>
      </w:r>
      <w:r>
        <w:rPr>
          <w:rFonts w:ascii="Times New Roman" w:hAnsi="Times New Roman"/>
          <w:sz w:val="20"/>
        </w:rPr>
        <w:t xml:space="preserve">, </w:t>
      </w:r>
      <w:r>
        <w:rPr>
          <w:rFonts w:ascii="Times New Roman" w:hAnsi="Times New Roman"/>
          <w:sz w:val="20"/>
          <w:u w:val="single"/>
        </w:rPr>
        <w:t>6.02</w:t>
      </w:r>
      <w:r>
        <w:rPr>
          <w:rFonts w:ascii="Times New Roman" w:hAnsi="Times New Roman"/>
          <w:sz w:val="20"/>
        </w:rPr>
        <w:t xml:space="preserve">, and </w:t>
      </w:r>
      <w:r>
        <w:rPr>
          <w:rFonts w:ascii="Times New Roman" w:hAnsi="Times New Roman"/>
          <w:sz w:val="20"/>
          <w:u w:val="single"/>
        </w:rPr>
        <w:t>6.03</w:t>
      </w:r>
      <w:r>
        <w:rPr>
          <w:rFonts w:ascii="Times New Roman" w:hAnsi="Times New Roman"/>
          <w:sz w:val="20"/>
        </w:rPr>
        <w:t xml:space="preserve">) cause each Subsidiary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57</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6.01</w:t>
      </w:r>
      <w:r>
        <w:rPr>
          <w:rFonts w:ascii="Times New Roman" w:hAnsi="Times New Roman"/>
          <w:sz w:val="20"/>
        </w:rPr>
        <w:t xml:space="preserve"> </w:t>
      </w:r>
      <w:r>
        <w:rPr>
          <w:rFonts w:ascii="Times New Roman" w:hAnsi="Times New Roman"/>
          <w:b/>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Deliver to the Administrative Agent (for delivery to each Lender): </w:t>
      </w:r>
    </w:p>
    <w:p>
      <w:pPr>
        <w:pStyle w:val="TextBody"/>
        <w:bidi w:val="0"/>
        <w:spacing w:before="120" w:after="0"/>
        <w:jc w:val="left"/>
        <w:rPr>
          <w:rFonts w:ascii="Times New Roman" w:hAnsi="Times New Roman"/>
          <w:sz w:val="20"/>
        </w:rPr>
      </w:pPr>
      <w:r>
        <w:rPr>
          <w:rFonts w:ascii="Times New Roman" w:hAnsi="Times New Roman"/>
          <w:sz w:val="20"/>
        </w:rPr>
        <w:t xml:space="preserve">(a) as soon as made publicly available, but in any event within 90 days after the end of each fiscal year of the Company, a consolidated balance sheet of the Company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audited and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and </w:t>
      </w:r>
    </w:p>
    <w:p>
      <w:pPr>
        <w:pStyle w:val="TextBody"/>
        <w:bidi w:val="0"/>
        <w:spacing w:before="240" w:after="0"/>
        <w:jc w:val="left"/>
        <w:rPr>
          <w:rFonts w:ascii="Times New Roman" w:hAnsi="Times New Roman"/>
          <w:sz w:val="20"/>
        </w:rPr>
      </w:pPr>
      <w:r>
        <w:rPr>
          <w:rFonts w:ascii="Times New Roman" w:hAnsi="Times New Roman"/>
          <w:sz w:val="20"/>
        </w:rPr>
        <w:t xml:space="preserve">(b) as soon as made publicly available, but in any event within 45 days after the end of each of the first three fiscal quarters of each fiscal year of the Company, a consolidated balance sheet of the Company and its Subsidiaries as at the end of such fiscal quarter, and the related consolidated statements of income or operations, shareholders’ equity and cash flows for such fiscal quarter and for the portion of the Company’s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Company as fairly presenting in all material respects the financial condition, results of operations and cash flows of the Company and its Subsidiaries in accordance with GAAP, subject only to normal year-end audit adjustments and the absence of footnotes;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as to any information contained in materials furnished pursuant to </w:t>
      </w:r>
      <w:r>
        <w:rPr>
          <w:rFonts w:ascii="Times New Roman" w:hAnsi="Times New Roman"/>
          <w:sz w:val="20"/>
          <w:u w:val="single"/>
        </w:rPr>
        <w:t>Section 6.02(b)</w:t>
      </w:r>
      <w:r>
        <w:rPr>
          <w:rFonts w:ascii="Times New Roman" w:hAnsi="Times New Roman"/>
          <w:sz w:val="20"/>
        </w:rPr>
        <w:t xml:space="preserve">, the Company shall not be separately required to furnish such information under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b/>
          <w:sz w:val="20"/>
        </w:rPr>
        <w:t>6.02</w:t>
      </w:r>
      <w:r>
        <w:rPr>
          <w:rFonts w:ascii="Times New Roman" w:hAnsi="Times New Roman"/>
          <w:sz w:val="20"/>
        </w:rPr>
        <w:t xml:space="preserve"> </w:t>
      </w:r>
      <w:r>
        <w:rPr>
          <w:rFonts w:ascii="Times New Roman" w:hAnsi="Times New Roman"/>
          <w:b/>
          <w:sz w:val="20"/>
          <w:u w:val="single"/>
        </w:rPr>
        <w:t>Certificates; Other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Deliver to the Administrative Agent (for delivery to each Lender): </w:t>
      </w:r>
    </w:p>
    <w:p>
      <w:pPr>
        <w:pStyle w:val="TextBody"/>
        <w:bidi w:val="0"/>
        <w:spacing w:before="120" w:after="0"/>
        <w:jc w:val="left"/>
        <w:rPr>
          <w:rFonts w:ascii="Times New Roman" w:hAnsi="Times New Roman"/>
          <w:sz w:val="20"/>
        </w:rPr>
      </w:pPr>
      <w:r>
        <w:rPr>
          <w:rFonts w:ascii="Times New Roman" w:hAnsi="Times New Roman"/>
          <w:sz w:val="20"/>
        </w:rPr>
        <w:t xml:space="preserve">(a) concurrently with the delivery of the financial statements referred to in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 duly completed Compliance Certificate signed by the chief executive officer, chief financial officer, treasurer or controller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that are not otherwise required to be delivered to the Administrative Agent and each Lender pursuant hereto;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the furnishing thereof, copies of any statement or report furnished to any holder of debt securities or loans of the Company or any of its Subsidiaries pursuant to the terms of any indenture, loan or credit or similar agreement that are not otherwise required to be furnished to the Administrative Agent and each Lender pursuant to </w:t>
      </w:r>
      <w:r>
        <w:rPr>
          <w:rFonts w:ascii="Times New Roman" w:hAnsi="Times New Roman"/>
          <w:sz w:val="20"/>
          <w:u w:val="single"/>
        </w:rPr>
        <w:t>Section 6.01</w:t>
      </w:r>
      <w:r>
        <w:rPr>
          <w:rFonts w:ascii="Times New Roman" w:hAnsi="Times New Roman"/>
          <w:sz w:val="20"/>
        </w:rPr>
        <w:t xml:space="preserve"> or any other clause of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promptly, and in any event within five Business Days after receipt thereof by the Company or any of its Subsidiaries, copies of each notice or other correspondence received from the SEC (or comparable agency in any applicable non-U.S. jurisdiction) concerning any investigation or possible investigation or other inquiry by such agency regarding financial or other operational results of the Company or any of its 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58</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 promptly following any request therefor, such information and documentation as may be reasonably requested by the Administrative Agent or any Lender for purposes of compliance with applicable “know your customer” and anti-money-laundering rules and regulations, including, without limitation, the USA PATRIOT Act and the Beneficial Ownership Regulation; and </w:t>
      </w:r>
    </w:p>
    <w:p>
      <w:pPr>
        <w:pStyle w:val="TextBody"/>
        <w:bidi w:val="0"/>
        <w:spacing w:before="240" w:after="0"/>
        <w:jc w:val="left"/>
        <w:rPr>
          <w:rFonts w:ascii="Times New Roman" w:hAnsi="Times New Roman"/>
          <w:sz w:val="20"/>
        </w:rPr>
      </w:pPr>
      <w:r>
        <w:rPr>
          <w:rFonts w:ascii="Times New Roman" w:hAnsi="Times New Roman"/>
          <w:sz w:val="20"/>
        </w:rPr>
        <w:t xml:space="preserve">(f) promptly, such additional information regarding the business, financial or corporate affairs of the Company or any of its Subsidiaries, or compliance with the terms of the Loan Documents, as the Administrative Agent or any Lender may from time to time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Documents required to be delivered pursuant to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Section 6.02(b)</w:t>
      </w:r>
      <w:r>
        <w:rPr>
          <w:rFonts w:ascii="Times New Roman" w:hAnsi="Times New Roman"/>
          <w:sz w:val="20"/>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hAnsi="Times New Roman"/>
          <w:sz w:val="20"/>
          <w:u w:val="single"/>
        </w:rPr>
        <w:t>Schedule 10.02</w:t>
      </w:r>
      <w:r>
        <w:rPr>
          <w:rFonts w:ascii="Times New Roman" w:hAnsi="Times New Roman"/>
          <w:sz w:val="20"/>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hAnsi="Times New Roman"/>
          <w:sz w:val="20"/>
          <w:u w:val="single"/>
        </w:rPr>
        <w:t>provided</w:t>
      </w:r>
      <w:r>
        <w:rPr>
          <w:rFonts w:ascii="Times New Roman" w:hAnsi="Times New Roman"/>
          <w:sz w:val="20"/>
        </w:rPr>
        <w:t xml:space="preserve"> that: (i) the Company shall deliver paper copies of such documents to the Administrative Agent or any Lender that requests the Company to deliver such paper copies until a written request to cease delivering paper copies is given by the Administrative Agent or such Lender and (ii) the Company shall notify the Administrative Agent (by facsimile or electronic mail) of the posting of any such documents and provide to the Administrative Agent by electronic mail electronic versions (</w:t>
      </w:r>
      <w:r>
        <w:rPr>
          <w:rFonts w:ascii="Times New Roman" w:hAnsi="Times New Roman"/>
          <w:sz w:val="20"/>
          <w:u w:val="single"/>
        </w:rPr>
        <w:t>i.e.</w:t>
      </w:r>
      <w:r>
        <w:rPr>
          <w:rFonts w:ascii="Times New Roman" w:hAnsi="Times New Roman"/>
          <w:sz w:val="20"/>
        </w:rPr>
        <w:t xml:space="preserve">, soft copies) of such documents.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 </w:t>
      </w:r>
    </w:p>
    <w:p>
      <w:pPr>
        <w:pStyle w:val="TextBody"/>
        <w:bidi w:val="0"/>
        <w:spacing w:before="240" w:after="0"/>
        <w:jc w:val="left"/>
        <w:rPr>
          <w:rFonts w:ascii="Times New Roman" w:hAnsi="Times New Roman"/>
          <w:sz w:val="20"/>
        </w:rPr>
      </w:pPr>
      <w:r>
        <w:rPr>
          <w:rFonts w:ascii="Times New Roman" w:hAnsi="Times New Roman"/>
          <w:sz w:val="20"/>
        </w:rPr>
        <w:t>Each Borrower hereby acknowledges that (a) the Administrative Agent and/or the Arrangers may, but shall not be obligated to, make available to the Lenders materials and/or information provided by or on behalf of such Borrower hereunder (collectively, “</w:t>
      </w:r>
      <w:r>
        <w:rPr>
          <w:rFonts w:ascii="Times New Roman" w:hAnsi="Times New Roman"/>
          <w:sz w:val="20"/>
          <w:u w:val="single"/>
        </w:rPr>
        <w:t>Borrower Materials</w:t>
      </w:r>
      <w:r>
        <w:rPr>
          <w:rFonts w:ascii="Times New Roman" w:hAnsi="Times New Roman"/>
          <w:sz w:val="20"/>
        </w:rPr>
        <w:t>”) by posting the Borrower Materials on IntraLinks, Debt Domain, Syndtrak or another similar electronic system (the “</w:t>
      </w:r>
      <w:r>
        <w:rPr>
          <w:rFonts w:ascii="Times New Roman" w:hAnsi="Times New Roman"/>
          <w:sz w:val="20"/>
          <w:u w:val="single"/>
        </w:rPr>
        <w:t>Platform</w:t>
      </w:r>
      <w:r>
        <w:rPr>
          <w:rFonts w:ascii="Times New Roman" w:hAnsi="Times New Roman"/>
          <w:sz w:val="20"/>
        </w:rPr>
        <w:t>”) and (b) certain of the Lenders (each, a “</w:t>
      </w:r>
      <w:r>
        <w:rPr>
          <w:rFonts w:ascii="Times New Roman" w:hAnsi="Times New Roman"/>
          <w:sz w:val="20"/>
          <w:u w:val="single"/>
        </w:rPr>
        <w:t>Public Lender</w:t>
      </w:r>
      <w:r>
        <w:rPr>
          <w:rFonts w:ascii="Times New Roman" w:hAnsi="Times New Roman"/>
          <w:sz w:val="20"/>
        </w:rPr>
        <w:t>”) may have personnel who do not wish to receive material non-public information with respect to any of the Borrowers or their Affiliates, or the respective securities of any of the foregoing, and who may be engaged in investment and other market- 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Arrangers and the Lenders to treat such Borrower Materials as not containing any material non-public information (although it may be sensitive and proprietary) with respect to the Company, any of its Subsidiaries or their respective securities of any of the foregoing for purposes of United States federal and state securities laws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such Borrower Materials constitute Information, they shall be treated as set forth in </w:t>
      </w:r>
      <w:r>
        <w:rPr>
          <w:rFonts w:ascii="Times New Roman" w:hAnsi="Times New Roman"/>
          <w:sz w:val="20"/>
          <w:u w:val="single"/>
        </w:rPr>
        <w:t>Section 10.07</w:t>
      </w:r>
      <w:r>
        <w:rPr>
          <w:rFonts w:ascii="Times New Roman" w:hAnsi="Times New Roman"/>
          <w:sz w:val="20"/>
        </w:rPr>
        <w:t xml:space="preserve">);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the Company shall not be under any obligation to mark any Borrower Materials “PUBLIC.”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59</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6.03</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Promptly notify the Administrative Agent (for delivery to each Lender): </w:t>
      </w:r>
    </w:p>
    <w:p>
      <w:pPr>
        <w:pStyle w:val="TextBody"/>
        <w:bidi w:val="0"/>
        <w:spacing w:before="120" w:after="0"/>
        <w:jc w:val="left"/>
        <w:rPr>
          <w:rFonts w:ascii="Times New Roman" w:hAnsi="Times New Roman"/>
          <w:sz w:val="20"/>
        </w:rPr>
      </w:pPr>
      <w:r>
        <w:rPr>
          <w:rFonts w:ascii="Times New Roman" w:hAnsi="Times New Roman"/>
          <w:sz w:val="20"/>
        </w:rPr>
        <w:t xml:space="preserve">(a) of the occurrence of any Default of which a Responsible Officer of any Loan Party has knowledge; </w:t>
      </w:r>
    </w:p>
    <w:p>
      <w:pPr>
        <w:pStyle w:val="TextBody"/>
        <w:bidi w:val="0"/>
        <w:spacing w:before="240" w:after="0"/>
        <w:jc w:val="left"/>
        <w:rPr>
          <w:rFonts w:ascii="Times New Roman" w:hAnsi="Times New Roman"/>
          <w:sz w:val="20"/>
        </w:rPr>
      </w:pPr>
      <w:r>
        <w:rPr>
          <w:rFonts w:ascii="Times New Roman" w:hAnsi="Times New Roman"/>
          <w:sz w:val="20"/>
        </w:rPr>
        <w:t xml:space="preserve">(b) of any announcement by Fitch, Moody’s or S&amp;P of any change in a Debt Rating; </w:t>
      </w:r>
    </w:p>
    <w:p>
      <w:pPr>
        <w:pStyle w:val="TextBody"/>
        <w:bidi w:val="0"/>
        <w:spacing w:before="240" w:after="0"/>
        <w:jc w:val="left"/>
        <w:rPr>
          <w:rFonts w:ascii="Times New Roman" w:hAnsi="Times New Roman"/>
          <w:sz w:val="20"/>
        </w:rPr>
      </w:pPr>
      <w:r>
        <w:rPr>
          <w:rFonts w:ascii="Times New Roman" w:hAnsi="Times New Roman"/>
          <w:sz w:val="20"/>
        </w:rPr>
        <w:t xml:space="preserve">(c) of the occurrence of any ERISA Event; </w:t>
      </w:r>
    </w:p>
    <w:p>
      <w:pPr>
        <w:pStyle w:val="TextBody"/>
        <w:bidi w:val="0"/>
        <w:spacing w:before="240" w:after="0"/>
        <w:jc w:val="left"/>
        <w:rPr>
          <w:rFonts w:ascii="Times New Roman" w:hAnsi="Times New Roman"/>
          <w:sz w:val="20"/>
        </w:rPr>
      </w:pPr>
      <w:r>
        <w:rPr>
          <w:rFonts w:ascii="Times New Roman" w:hAnsi="Times New Roman"/>
          <w:sz w:val="20"/>
        </w:rPr>
        <w:t xml:space="preserve">(d) of any material change in accounting policies or financial reporting practices by the Company or any Subsidiary; and </w:t>
      </w:r>
    </w:p>
    <w:p>
      <w:pPr>
        <w:pStyle w:val="TextBody"/>
        <w:bidi w:val="0"/>
        <w:spacing w:before="240" w:after="0"/>
        <w:jc w:val="left"/>
        <w:rPr>
          <w:rFonts w:ascii="Times New Roman" w:hAnsi="Times New Roman"/>
          <w:sz w:val="20"/>
        </w:rPr>
      </w:pPr>
      <w:r>
        <w:rPr>
          <w:rFonts w:ascii="Times New Roman" w:hAnsi="Times New Roman"/>
          <w:sz w:val="20"/>
        </w:rPr>
        <w:t xml:space="preserve">(e) of any material action, suit, dispute, litigation, investigation, proceeding or suspension involving any Loan Party or any Subsidiary and any Governmental Authority, including any of the foregoing related to any Environmental Law or Environmental Liability, of which a Responsible Officer of any Loan Party has knowledge. </w:t>
      </w:r>
    </w:p>
    <w:p>
      <w:pPr>
        <w:pStyle w:val="TextBody"/>
        <w:bidi w:val="0"/>
        <w:spacing w:before="240" w:after="0"/>
        <w:jc w:val="left"/>
        <w:rPr>
          <w:rFonts w:ascii="Times New Roman" w:hAnsi="Times New Roman"/>
          <w:sz w:val="20"/>
        </w:rPr>
      </w:pPr>
      <w:r>
        <w:rPr>
          <w:rFonts w:ascii="Times New Roman" w:hAnsi="Times New Roman"/>
          <w:sz w:val="20"/>
        </w:rPr>
        <w:t xml:space="preserve">Each notice pursuant to </w:t>
      </w:r>
      <w:r>
        <w:rPr>
          <w:rFonts w:ascii="Times New Roman" w:hAnsi="Times New Roman"/>
          <w:sz w:val="20"/>
          <w:u w:val="single"/>
        </w:rPr>
        <w:t>Section 6.03</w:t>
      </w:r>
      <w:r>
        <w:rPr>
          <w:rFonts w:ascii="Times New Roman" w:hAnsi="Times New Roman"/>
          <w:sz w:val="20"/>
        </w:rPr>
        <w:t xml:space="preserve"> (other than </w:t>
      </w:r>
      <w:r>
        <w:rPr>
          <w:rFonts w:ascii="Times New Roman" w:hAnsi="Times New Roman"/>
          <w:sz w:val="20"/>
          <w:u w:val="single"/>
        </w:rPr>
        <w:t>Section 6.03(b)</w:t>
      </w:r>
      <w:r>
        <w:rPr>
          <w:rFonts w:ascii="Times New Roman" w:hAnsi="Times New Roman"/>
          <w:sz w:val="20"/>
        </w:rPr>
        <w:t xml:space="preserve">) shall (i) be accompanied by a statement of a Responsible Officer of the Company setting forth details of the occurrence referred to therein and stating what action the Company has taken and proposes to take with respect thereto and (ii) describe with particularity any and all provisions of this Agreement and any other Loan Document that have been breached. </w:t>
      </w:r>
    </w:p>
    <w:p>
      <w:pPr>
        <w:pStyle w:val="TextBody"/>
        <w:bidi w:val="0"/>
        <w:spacing w:before="240" w:after="0"/>
        <w:jc w:val="left"/>
        <w:rPr>
          <w:rFonts w:ascii="Times New Roman" w:hAnsi="Times New Roman"/>
          <w:sz w:val="20"/>
        </w:rPr>
      </w:pPr>
      <w:r>
        <w:rPr>
          <w:rFonts w:ascii="Times New Roman" w:hAnsi="Times New Roman"/>
          <w:b/>
          <w:sz w:val="20"/>
        </w:rPr>
        <w:t>6.04</w:t>
      </w:r>
      <w:r>
        <w:rPr>
          <w:rFonts w:ascii="Times New Roman" w:hAnsi="Times New Roman"/>
          <w:sz w:val="20"/>
        </w:rPr>
        <w:t xml:space="preserve"> </w:t>
      </w:r>
      <w:r>
        <w:rPr>
          <w:rFonts w:ascii="Times New Roman" w:hAnsi="Times New Roman"/>
          <w:b/>
          <w:sz w:val="20"/>
          <w:u w:val="single"/>
        </w:rPr>
        <w:t>Payment of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Pay and discharge, as the same shall become due and payable (subject to any grace periods and tax extensions), all Tax liabilities, assessments and governmental charges or levies upon it or its properties or assets, except (a) to the extent that the same are being contested in good faith by appropriate proceedings diligently conducted and adequate reserves in accordance with GAAP are being maintained by the Company or such Subsidiary, or (b) where any failure to do so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6.05</w:t>
      </w:r>
      <w:r>
        <w:rPr>
          <w:rFonts w:ascii="Times New Roman" w:hAnsi="Times New Roman"/>
          <w:sz w:val="20"/>
        </w:rPr>
        <w:t xml:space="preserve"> </w:t>
      </w:r>
      <w:r>
        <w:rPr>
          <w:rFonts w:ascii="Times New Roman" w:hAnsi="Times New Roman"/>
          <w:b/>
          <w:sz w:val="20"/>
          <w:u w:val="single"/>
        </w:rPr>
        <w:t>Preservation of Existence,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Preserve, renew and maintain in full force and effect its legal existence and good standing under the Laws of the jurisdiction of its organization except in a transaction permitted by </w:t>
      </w:r>
      <w:r>
        <w:rPr>
          <w:rFonts w:ascii="Times New Roman" w:hAnsi="Times New Roman"/>
          <w:sz w:val="20"/>
          <w:u w:val="single"/>
        </w:rPr>
        <w:t>Section 7.03</w:t>
      </w:r>
      <w:r>
        <w:rPr>
          <w:rFonts w:ascii="Times New Roman" w:hAnsi="Times New Roman"/>
          <w:sz w:val="20"/>
        </w:rPr>
        <w:t xml:space="preserve"> and except in the case of Subsidiaries (other than any Borrower) where the failure to do so would not, individually or in the aggregate, reasonably be expected to have a Material Adverse Effect; (b) take all reasonable action to maintain all rights, privileges, permits, licenses and franchises necessary or desirable in the normal conduct of its business, except to the extent that failure to do so would not reasonably be expected to have a Material Adverse Effect; and (c) preserve or renew all of its registered copyrights, patents, trademarks, trade names and service marks, the non-preservation of which would have or be reasonably expected to have a Material Adverse Effect.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60</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6.06</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6.07</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6.08</w:t>
      </w:r>
      <w:r>
        <w:rPr>
          <w:rFonts w:ascii="Times New Roman" w:hAnsi="Times New Roman"/>
          <w:sz w:val="20"/>
        </w:rPr>
        <w:t xml:space="preserve"> </w:t>
      </w:r>
      <w:r>
        <w:rPr>
          <w:rFonts w:ascii="Times New Roman" w:hAnsi="Times New Roman"/>
          <w:b/>
          <w:sz w:val="20"/>
          <w:u w:val="single"/>
        </w:rPr>
        <w:t>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Comply in all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6.09</w:t>
      </w:r>
      <w:r>
        <w:rPr>
          <w:rFonts w:ascii="Times New Roman" w:hAnsi="Times New Roman"/>
          <w:sz w:val="20"/>
        </w:rPr>
        <w:t xml:space="preserve"> </w:t>
      </w:r>
      <w:r>
        <w:rPr>
          <w:rFonts w:ascii="Times New Roman" w:hAnsi="Times New Roman"/>
          <w:b/>
          <w:sz w:val="20"/>
          <w:u w:val="single"/>
        </w:rPr>
        <w:t>Books and Records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Maintain proper books of record and account, in which full, true and correct entries in conformity in all material respects with GAAP consistently applied shall be made of all financial transactions and matters involving the assets and business of such Borrower or its Subsidiaries, and </w:t>
      </w:r>
    </w:p>
    <w:p>
      <w:pPr>
        <w:pStyle w:val="TextBody"/>
        <w:bidi w:val="0"/>
        <w:spacing w:before="240" w:after="0"/>
        <w:jc w:val="left"/>
        <w:rPr>
          <w:rFonts w:ascii="Times New Roman" w:hAnsi="Times New Roman"/>
          <w:sz w:val="20"/>
        </w:rPr>
      </w:pPr>
      <w:r>
        <w:rPr>
          <w:rFonts w:ascii="Times New Roman" w:hAnsi="Times New Roman"/>
          <w:sz w:val="20"/>
        </w:rPr>
        <w:t xml:space="preserve">(b) maintain such books of record and account in material conformity with all applicable requirements of any Governmental Authority having regulatory jurisdiction over such Borrower or its Subsidiaries, as the case may be.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u w:val="single"/>
        </w:rPr>
        <w:t>Inspection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Event of Default occurs and is continuing, permit representatives and independent contractors of the Administrative Agent or any Lender to visit and inspect any of its properties, to examine its corporate, financial and operating records, and make copies thereof or abstracts therefrom, and to discuss its affairs, finances and accounts with its directors, officers, and independent public accountants, at such reasonable times during normal business hours and as often as may be reasonably desired, upon reasonable advance notice to the Company and all at the expense of the Company. </w:t>
      </w:r>
    </w:p>
    <w:p>
      <w:pPr>
        <w:pStyle w:val="TextBody"/>
        <w:bidi w:val="0"/>
        <w:spacing w:before="240" w:after="0"/>
        <w:jc w:val="left"/>
        <w:rPr>
          <w:rFonts w:ascii="Times New Roman" w:hAnsi="Times New Roman"/>
          <w:sz w:val="20"/>
        </w:rPr>
      </w:pPr>
      <w:r>
        <w:rPr>
          <w:rFonts w:ascii="Times New Roman" w:hAnsi="Times New Roman"/>
          <w:b/>
          <w:sz w:val="20"/>
        </w:rPr>
        <w:t>6.11</w:t>
      </w:r>
      <w:r>
        <w:rPr>
          <w:rFonts w:ascii="Times New Roman" w:hAnsi="Times New Roman"/>
          <w:sz w:val="20"/>
        </w:rPr>
        <w:t xml:space="preserve"> </w:t>
      </w:r>
      <w:r>
        <w:rPr>
          <w:rFonts w:ascii="Times New Roman" w:hAnsi="Times New Roman"/>
          <w:b/>
          <w:sz w:val="20"/>
          <w:u w:val="single"/>
        </w:rPr>
        <w:t>Use of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Use the proceeds of the Committed Borrowings for stock repurchases, acquisitions, capital expenditures, working capital and other lawful corporate purposes. </w:t>
      </w:r>
    </w:p>
    <w:p>
      <w:pPr>
        <w:pStyle w:val="TextBody"/>
        <w:bidi w:val="0"/>
        <w:spacing w:before="240" w:after="0"/>
        <w:jc w:val="left"/>
        <w:rPr>
          <w:rFonts w:ascii="Times New Roman" w:hAnsi="Times New Roman"/>
          <w:sz w:val="20"/>
        </w:rPr>
      </w:pPr>
      <w:r>
        <w:rPr>
          <w:rFonts w:ascii="Times New Roman" w:hAnsi="Times New Roman"/>
          <w:b/>
          <w:sz w:val="20"/>
        </w:rPr>
        <w:t>6.12</w:t>
      </w:r>
      <w:r>
        <w:rPr>
          <w:rFonts w:ascii="Times New Roman" w:hAnsi="Times New Roman"/>
          <w:sz w:val="20"/>
        </w:rPr>
        <w:t xml:space="preserve"> </w:t>
      </w:r>
      <w:r>
        <w:rPr>
          <w:rFonts w:ascii="Times New Roman" w:hAnsi="Times New Roman"/>
          <w:b/>
          <w:sz w:val="20"/>
          <w:u w:val="single"/>
        </w:rPr>
        <w:t>Anti-Corruption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Conduct its businesses in all material respects in compliance with the Anti-Corruption Laws and maintain policies and procedures reasonably designed to promote and achieve compliance by such Borrower and its Subsidiaries with such Laws.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61</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Lender shall have any Commitment hereunder, any Loan or other Obligation hereunder shall remain unpaid or unsatisfied: </w:t>
      </w:r>
    </w:p>
    <w:p>
      <w:pPr>
        <w:pStyle w:val="TextBody"/>
        <w:bidi w:val="0"/>
        <w:spacing w:before="120" w:after="0"/>
        <w:jc w:val="left"/>
        <w:rPr>
          <w:rFonts w:ascii="Times New Roman" w:hAnsi="Times New Roman"/>
          <w:sz w:val="20"/>
        </w:rPr>
      </w:pPr>
      <w:r>
        <w:rPr>
          <w:rFonts w:ascii="Times New Roman" w:hAnsi="Times New Roman"/>
          <w:b/>
          <w:sz w:val="20"/>
        </w:rPr>
        <w:t>7.01</w:t>
      </w:r>
      <w:r>
        <w:rPr>
          <w:rFonts w:ascii="Times New Roman" w:hAnsi="Times New Roman"/>
          <w:sz w:val="20"/>
        </w:rPr>
        <w:t xml:space="preserve"> </w:t>
      </w:r>
      <w:r>
        <w:rPr>
          <w:rFonts w:ascii="Times New Roman" w:hAnsi="Times New Roman"/>
          <w:b/>
          <w:sz w:val="20"/>
          <w:u w:val="single"/>
        </w:rPr>
        <w:t>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Borrower shall, nor shall it permit any Subsidiary to, directly or indirectly, create, incur, assume or suffer to exist any Lien upon any of its property, assets or revenues, whether now owned or hereafter acquired, other than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 Liens created pursuant to any Loan Document and (ii) (A) Liens existing on the Closing Date and set forth on </w:t>
      </w:r>
      <w:r>
        <w:rPr>
          <w:rFonts w:ascii="Times New Roman" w:hAnsi="Times New Roman"/>
          <w:sz w:val="20"/>
          <w:u w:val="single"/>
        </w:rPr>
        <w:t>Schedule 7.01</w:t>
      </w:r>
      <w:r>
        <w:rPr>
          <w:rFonts w:ascii="Times New Roman" w:hAnsi="Times New Roman"/>
          <w:sz w:val="20"/>
        </w:rPr>
        <w:t xml:space="preserve"> and (B) Liens that are renewals or extensions of the Liens referred to in </w:t>
      </w:r>
      <w:r>
        <w:rPr>
          <w:rFonts w:ascii="Times New Roman" w:hAnsi="Times New Roman"/>
          <w:sz w:val="20"/>
          <w:u w:val="single"/>
        </w:rPr>
        <w:t>clause (A)</w:t>
      </w:r>
      <w:r>
        <w:rPr>
          <w:rFonts w:ascii="Times New Roman" w:hAnsi="Times New Roman"/>
          <w:sz w:val="20"/>
        </w:rPr>
        <w:t xml:space="preserve"> above; </w:t>
      </w:r>
      <w:r>
        <w:rPr>
          <w:rFonts w:ascii="Times New Roman" w:hAnsi="Times New Roman"/>
          <w:sz w:val="20"/>
          <w:u w:val="single"/>
        </w:rPr>
        <w:t>provided</w:t>
      </w:r>
      <w:r>
        <w:rPr>
          <w:rFonts w:ascii="Times New Roman" w:hAnsi="Times New Roman"/>
          <w:sz w:val="20"/>
        </w:rPr>
        <w:t xml:space="preserve"> that, with respect to Liens referred to in this </w:t>
      </w:r>
      <w:r>
        <w:rPr>
          <w:rFonts w:ascii="Times New Roman" w:hAnsi="Times New Roman"/>
          <w:sz w:val="20"/>
          <w:u w:val="single"/>
        </w:rPr>
        <w:t>clause (ii)</w:t>
      </w:r>
      <w:r>
        <w:rPr>
          <w:rFonts w:ascii="Times New Roman" w:hAnsi="Times New Roman"/>
          <w:sz w:val="20"/>
        </w:rPr>
        <w:t xml:space="preserve">, (1) the property covered thereby is not changed, (2) the amount secured or benefited thereby is not increased and (3) the direct or any contingent obligor with respect thereto is not changed; </w:t>
      </w:r>
    </w:p>
    <w:p>
      <w:pPr>
        <w:pStyle w:val="TextBody"/>
        <w:bidi w:val="0"/>
        <w:spacing w:before="240" w:after="0"/>
        <w:jc w:val="left"/>
        <w:rPr>
          <w:rFonts w:ascii="Times New Roman" w:hAnsi="Times New Roman"/>
          <w:sz w:val="20"/>
        </w:rPr>
      </w:pPr>
      <w:r>
        <w:rPr>
          <w:rFonts w:ascii="Times New Roman" w:hAnsi="Times New Roman"/>
          <w:sz w:val="20"/>
        </w:rPr>
        <w:t xml:space="preserve">(b) Liens for Taxes not yet due or which are being contested in good faith and by appropriate proceedings diligently conducted, if adequate reserves with respect thereto are maintained on the books of the applicable Person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 </w:t>
      </w:r>
    </w:p>
    <w:p>
      <w:pPr>
        <w:pStyle w:val="TextBody"/>
        <w:bidi w:val="0"/>
        <w:spacing w:before="240" w:after="0"/>
        <w:jc w:val="left"/>
        <w:rPr>
          <w:rFonts w:ascii="Times New Roman" w:hAnsi="Times New Roman"/>
          <w:sz w:val="20"/>
        </w:rPr>
      </w:pPr>
      <w:r>
        <w:rPr>
          <w:rFonts w:ascii="Times New Roman" w:hAnsi="Times New Roman"/>
          <w:sz w:val="20"/>
        </w:rPr>
        <w:t xml:space="preserve">(d) pledges or deposits in the ordinary course of business in connection with workers’ compensation, unemployment insurance and other social security legislation, other than any Lien imposed by ERISA; </w:t>
      </w:r>
    </w:p>
    <w:p>
      <w:pPr>
        <w:pStyle w:val="TextBody"/>
        <w:bidi w:val="0"/>
        <w:spacing w:before="240" w:after="0"/>
        <w:jc w:val="left"/>
        <w:rPr>
          <w:rFonts w:ascii="Times New Roman" w:hAnsi="Times New Roman"/>
          <w:sz w:val="20"/>
        </w:rPr>
      </w:pPr>
      <w:r>
        <w:rPr>
          <w:rFonts w:ascii="Times New Roman" w:hAnsi="Times New Roman"/>
          <w:sz w:val="20"/>
        </w:rPr>
        <w:t xml:space="preserve">(e) deposits to secure the performance of bids, trade contracts and leases, statutory obligations, surety and appeal bonds, performance bonds and other obligations of a like nature (other than Indebtedness) incurred in the ordinary course of business, including deposits securing reimbursement obligations under commercial letters of credit that do not constitute Indebtedness; </w:t>
      </w:r>
    </w:p>
    <w:p>
      <w:pPr>
        <w:pStyle w:val="TextBody"/>
        <w:bidi w:val="0"/>
        <w:spacing w:before="240" w:after="0"/>
        <w:jc w:val="left"/>
        <w:rPr>
          <w:rFonts w:ascii="Times New Roman" w:hAnsi="Times New Roman"/>
          <w:sz w:val="20"/>
        </w:rPr>
      </w:pPr>
      <w:r>
        <w:rPr>
          <w:rFonts w:ascii="Times New Roman" w:hAnsi="Times New Roman"/>
          <w:sz w:val="20"/>
        </w:rPr>
        <w:t xml:space="preserve">(f) 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 </w:t>
      </w:r>
    </w:p>
    <w:p>
      <w:pPr>
        <w:pStyle w:val="TextBody"/>
        <w:bidi w:val="0"/>
        <w:spacing w:before="240" w:after="0"/>
        <w:jc w:val="left"/>
        <w:rPr>
          <w:rFonts w:ascii="Times New Roman" w:hAnsi="Times New Roman"/>
          <w:sz w:val="20"/>
        </w:rPr>
      </w:pPr>
      <w:r>
        <w:rPr>
          <w:rFonts w:ascii="Times New Roman" w:hAnsi="Times New Roman"/>
          <w:sz w:val="20"/>
        </w:rPr>
        <w:t xml:space="preserve">(g) Liens securing judgments for the payment of money not constituting an Event of Default under </w:t>
      </w:r>
      <w:r>
        <w:rPr>
          <w:rFonts w:ascii="Times New Roman" w:hAnsi="Times New Roman"/>
          <w:sz w:val="20"/>
          <w:u w:val="single"/>
        </w:rPr>
        <w:t>Section 8.01(h)</w:t>
      </w:r>
      <w:r>
        <w:rPr>
          <w:rFonts w:ascii="Times New Roman" w:hAnsi="Times New Roman"/>
          <w:sz w:val="20"/>
        </w:rPr>
        <w:t xml:space="preserve"> or securing appeal or other surety bonds related to such judgments; </w:t>
      </w:r>
    </w:p>
    <w:p>
      <w:pPr>
        <w:pStyle w:val="TextBody"/>
        <w:bidi w:val="0"/>
        <w:spacing w:before="240" w:after="0"/>
        <w:jc w:val="left"/>
        <w:rPr>
          <w:rFonts w:ascii="Times New Roman" w:hAnsi="Times New Roman"/>
          <w:sz w:val="20"/>
        </w:rPr>
      </w:pPr>
      <w:r>
        <w:rPr>
          <w:rFonts w:ascii="Times New Roman" w:hAnsi="Times New Roman"/>
          <w:sz w:val="20"/>
        </w:rPr>
        <w:t xml:space="preserve">(h) precautionary UCC filings in respect of operating leases; </w:t>
      </w:r>
    </w:p>
    <w:p>
      <w:pPr>
        <w:pStyle w:val="TextBody"/>
        <w:bidi w:val="0"/>
        <w:spacing w:before="240" w:after="0"/>
        <w:jc w:val="left"/>
        <w:rPr>
          <w:rFonts w:ascii="Times New Roman" w:hAnsi="Times New Roman"/>
          <w:sz w:val="20"/>
        </w:rPr>
      </w:pPr>
      <w:r>
        <w:rPr>
          <w:rFonts w:ascii="Times New Roman" w:hAnsi="Times New Roman"/>
          <w:sz w:val="20"/>
        </w:rPr>
        <w:t xml:space="preserve">(i) leases, licenses, subleases or sublicenses granted to others in the ordinary course of business which do not (i) interfere in any material respect with the business of the Company or the Company and its Subsidiaries taken as a whole or (ii) secure any Indebtedness; </w:t>
      </w:r>
    </w:p>
    <w:p>
      <w:pPr>
        <w:pStyle w:val="TextBody"/>
        <w:bidi w:val="0"/>
        <w:spacing w:before="240" w:after="0"/>
        <w:jc w:val="left"/>
        <w:rPr>
          <w:rFonts w:ascii="Times New Roman" w:hAnsi="Times New Roman"/>
          <w:sz w:val="20"/>
        </w:rPr>
      </w:pPr>
      <w:r>
        <w:rPr>
          <w:rFonts w:ascii="Times New Roman" w:hAnsi="Times New Roman"/>
          <w:sz w:val="20"/>
        </w:rPr>
        <w:t xml:space="preserve">(j) Liens securing Swap Contracts; </w:t>
      </w:r>
      <w:r>
        <w:rPr>
          <w:rFonts w:ascii="Times New Roman" w:hAnsi="Times New Roman"/>
          <w:sz w:val="20"/>
          <w:u w:val="single"/>
        </w:rPr>
        <w:t>provided</w:t>
      </w:r>
      <w:r>
        <w:rPr>
          <w:rFonts w:ascii="Times New Roman" w:hAnsi="Times New Roman"/>
          <w:sz w:val="20"/>
        </w:rPr>
        <w:t xml:space="preserve"> that such Swap Contracts are (or were) entered into in the ordinary course of business for the purpose of directly mitigating risks associated with liabilities, commitments, investments, assets, or property held or reasonably anticipated, or changes in the value of securities issued by the Company or any Subsidiary, and not for purposes of speculation or taking a “market view”;`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62</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(k) Liens in favor of a lessor under any lease (other than a capital lease) entered into by the Company or any Subsidiary in the ordinary course of business; </w:t>
      </w:r>
      <w:r>
        <w:rPr>
          <w:rFonts w:ascii="Times New Roman" w:hAnsi="Times New Roman"/>
          <w:sz w:val="20"/>
          <w:u w:val="single"/>
        </w:rPr>
        <w:t>provided</w:t>
      </w:r>
      <w:r>
        <w:rPr>
          <w:rFonts w:ascii="Times New Roman" w:hAnsi="Times New Roman"/>
          <w:sz w:val="20"/>
        </w:rPr>
        <w:t xml:space="preserve"> that such Liens do not at any time encumber any property other than the assets so leased; </w:t>
      </w:r>
    </w:p>
    <w:p>
      <w:pPr>
        <w:pStyle w:val="TextBody"/>
        <w:bidi w:val="0"/>
        <w:spacing w:before="240" w:after="0"/>
        <w:jc w:val="left"/>
        <w:rPr>
          <w:rFonts w:ascii="Times New Roman" w:hAnsi="Times New Roman"/>
          <w:sz w:val="20"/>
        </w:rPr>
      </w:pPr>
      <w:r>
        <w:rPr>
          <w:rFonts w:ascii="Times New Roman" w:hAnsi="Times New Roman"/>
          <w:sz w:val="20"/>
        </w:rPr>
        <w:t xml:space="preserve">(l) [reserved]; </w:t>
      </w:r>
    </w:p>
    <w:p>
      <w:pPr>
        <w:pStyle w:val="TextBody"/>
        <w:bidi w:val="0"/>
        <w:spacing w:before="240" w:after="0"/>
        <w:jc w:val="left"/>
        <w:rPr>
          <w:rFonts w:ascii="Times New Roman" w:hAnsi="Times New Roman"/>
          <w:sz w:val="20"/>
        </w:rPr>
      </w:pPr>
      <w:r>
        <w:rPr>
          <w:rFonts w:ascii="Times New Roman" w:hAnsi="Times New Roman"/>
          <w:sz w:val="20"/>
        </w:rPr>
        <w:t xml:space="preserve">(m) (i) Liens on assets of any Person acquired by the Company or any of its Subsidiaries after the Closing Date in a transaction permitted under this Agreement, </w:t>
      </w:r>
      <w:r>
        <w:rPr>
          <w:rFonts w:ascii="Times New Roman" w:hAnsi="Times New Roman"/>
          <w:sz w:val="20"/>
          <w:u w:val="single"/>
        </w:rPr>
        <w:t>provided</w:t>
      </w:r>
      <w:r>
        <w:rPr>
          <w:rFonts w:ascii="Times New Roman" w:hAnsi="Times New Roman"/>
          <w:sz w:val="20"/>
        </w:rPr>
        <w:t xml:space="preserve"> that such Liens are in existence on the date of such acquisition and not created in anticipation thereof, and (ii) Liens that are any renewals or extensions of Liens referred to in </w:t>
      </w:r>
      <w:r>
        <w:rPr>
          <w:rFonts w:ascii="Times New Roman" w:hAnsi="Times New Roman"/>
          <w:sz w:val="20"/>
          <w:u w:val="single"/>
        </w:rPr>
        <w:t>clause (i)</w:t>
      </w:r>
      <w:r>
        <w:rPr>
          <w:rFonts w:ascii="Times New Roman" w:hAnsi="Times New Roman"/>
          <w:sz w:val="20"/>
        </w:rPr>
        <w:t xml:space="preserve"> above; </w:t>
      </w:r>
      <w:r>
        <w:rPr>
          <w:rFonts w:ascii="Times New Roman" w:hAnsi="Times New Roman"/>
          <w:sz w:val="20"/>
          <w:u w:val="single"/>
        </w:rPr>
        <w:t>provided</w:t>
      </w:r>
      <w:r>
        <w:rPr>
          <w:rFonts w:ascii="Times New Roman" w:hAnsi="Times New Roman"/>
          <w:sz w:val="20"/>
        </w:rPr>
        <w:t xml:space="preserve">, in each case under this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m)</w:t>
      </w:r>
      <w:r>
        <w:rPr>
          <w:rFonts w:ascii="Times New Roman" w:hAnsi="Times New Roman"/>
          <w:sz w:val="20"/>
        </w:rPr>
        <w:t xml:space="preserve">, that (A) the property covered thereby is not changed and (B) the amount secured or benefitted thereby is not increased; and </w:t>
      </w:r>
    </w:p>
    <w:p>
      <w:pPr>
        <w:pStyle w:val="TextBody"/>
        <w:bidi w:val="0"/>
        <w:spacing w:before="240" w:after="0"/>
        <w:jc w:val="left"/>
        <w:rPr>
          <w:rFonts w:ascii="Times New Roman" w:hAnsi="Times New Roman"/>
          <w:sz w:val="20"/>
        </w:rPr>
      </w:pPr>
      <w:r>
        <w:rPr>
          <w:rFonts w:ascii="Times New Roman" w:hAnsi="Times New Roman"/>
          <w:sz w:val="20"/>
        </w:rPr>
        <w:t xml:space="preserve">(n) other Liens securing Indebtedness of the Company and its Subsidiaries in an aggregate principal amount not to exceed, at any one time outstanding, the greater of (i) $2,000,000,000 and (ii) 15% of Consolidated Tangible Assets. </w:t>
      </w:r>
    </w:p>
    <w:p>
      <w:pPr>
        <w:pStyle w:val="TextBody"/>
        <w:bidi w:val="0"/>
        <w:spacing w:before="240" w:after="0"/>
        <w:jc w:val="left"/>
        <w:rPr>
          <w:rFonts w:ascii="Times New Roman" w:hAnsi="Times New Roman"/>
          <w:sz w:val="20"/>
        </w:rPr>
      </w:pPr>
      <w:r>
        <w:rPr>
          <w:rFonts w:ascii="Times New Roman" w:hAnsi="Times New Roman"/>
          <w:b/>
          <w:sz w:val="20"/>
        </w:rPr>
        <w:t>7.02</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7.03</w:t>
      </w:r>
      <w:r>
        <w:rPr>
          <w:rFonts w:ascii="Times New Roman" w:hAnsi="Times New Roman"/>
          <w:sz w:val="20"/>
        </w:rPr>
        <w:t xml:space="preserve"> </w:t>
      </w:r>
      <w:r>
        <w:rPr>
          <w:rFonts w:ascii="Times New Roman" w:hAnsi="Times New Roman"/>
          <w:b/>
          <w:sz w:val="20"/>
          <w:u w:val="single"/>
        </w:rPr>
        <w:t>Fundamental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not, nor shall it permit any Subsidiary to, directly or indirectly, merge, dissolve, liquidate, consolidate or amalgamate with or into another Person, except that: </w:t>
      </w:r>
    </w:p>
    <w:p>
      <w:pPr>
        <w:pStyle w:val="TextBody"/>
        <w:bidi w:val="0"/>
        <w:spacing w:before="120" w:after="0"/>
        <w:jc w:val="left"/>
        <w:rPr>
          <w:rFonts w:ascii="Times New Roman" w:hAnsi="Times New Roman"/>
          <w:sz w:val="20"/>
        </w:rPr>
      </w:pPr>
      <w:r>
        <w:rPr>
          <w:rFonts w:ascii="Times New Roman" w:hAnsi="Times New Roman"/>
          <w:sz w:val="20"/>
        </w:rPr>
        <w:t xml:space="preserve">(i) (A) the Company may merge with another Person; </w:t>
      </w:r>
      <w:r>
        <w:rPr>
          <w:rFonts w:ascii="Times New Roman" w:hAnsi="Times New Roman"/>
          <w:sz w:val="20"/>
          <w:u w:val="single"/>
        </w:rPr>
        <w:t>provided</w:t>
      </w:r>
      <w:r>
        <w:rPr>
          <w:rFonts w:ascii="Times New Roman" w:hAnsi="Times New Roman"/>
          <w:sz w:val="20"/>
        </w:rPr>
        <w:t xml:space="preserve"> that the Company is the continuing or surviving Person, and (B) any Designated Borrower may merge, consolidate or amalgamate with another Person, provided that the Company or such Designated Borrower is the continuing or surviving Person; and </w:t>
      </w:r>
    </w:p>
    <w:p>
      <w:pPr>
        <w:pStyle w:val="TextBody"/>
        <w:bidi w:val="0"/>
        <w:spacing w:before="120" w:after="0"/>
        <w:jc w:val="left"/>
        <w:rPr>
          <w:rFonts w:ascii="Times New Roman" w:hAnsi="Times New Roman"/>
          <w:sz w:val="20"/>
        </w:rPr>
      </w:pPr>
      <w:r>
        <w:rPr>
          <w:rFonts w:ascii="Times New Roman" w:hAnsi="Times New Roman"/>
          <w:sz w:val="20"/>
        </w:rPr>
        <w:t xml:space="preserve">(ii) any Subsidiary (other than a Designated Borrower) may merge, consolidate, amalgamate, liquidate or dissolve if such merger, consolidation, amalgamation, liquidation or dissolution does not cause or is not reasonably expected to cause a Material Adverse Effect and, for the avoidance of doubt, to the extent not involving a merger, consolidation, amalgamation, liquidation or dissolution not otherwise permitted by this clause, may change its jurisdiction of organization and/or tax residence.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not, nor shall it permit any Subsidiary to, directly or indirectly, Dispose of (whether in one transaction or in a series of transactions) all or substantially all of the assets of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b/>
          <w:sz w:val="20"/>
        </w:rPr>
        <w:t>7.04</w:t>
      </w:r>
      <w:r>
        <w:rPr>
          <w:rFonts w:ascii="Times New Roman" w:hAnsi="Times New Roman"/>
          <w:sz w:val="20"/>
        </w:rPr>
        <w:t xml:space="preserve">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7.05</w:t>
      </w:r>
      <w:r>
        <w:rPr>
          <w:rFonts w:ascii="Times New Roman" w:hAnsi="Times New Roman"/>
          <w:sz w:val="20"/>
        </w:rPr>
        <w:t xml:space="preserve"> </w:t>
      </w:r>
      <w:r>
        <w:rPr>
          <w:rFonts w:ascii="Times New Roman" w:hAnsi="Times New Roman"/>
          <w:b/>
          <w:sz w:val="20"/>
          <w:u w:val="single"/>
        </w:rPr>
        <w:t>Use of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nor shall it permit any Subsidiary to, directly or indirectly, use the proceeds of any Committed Borrowing, whether directly or indirectly, except in accordance with </w:t>
      </w:r>
      <w:r>
        <w:rPr>
          <w:rFonts w:ascii="Times New Roman" w:hAnsi="Times New Roman"/>
          <w:sz w:val="20"/>
          <w:u w:val="single"/>
        </w:rPr>
        <w:t>Section 6.11</w:t>
      </w:r>
      <w:r>
        <w:rPr>
          <w:rFonts w:ascii="Times New Roman" w:hAnsi="Times New Roman"/>
          <w:sz w:val="20"/>
        </w:rPr>
        <w:t xml:space="preserve"> and in no event shall any Committed Borrowing, whether immediately, incidentally or ultimately, be used to purchase or carry margin stock (within the meaning of Regulation U of the FRB) or to extend credit to others for the purpose of purchasing or carrying margin stock or to refund indebtedness originally incurred for such purpose, in each case, to the extent such action would violate Regulation U.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63</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7.06</w:t>
      </w:r>
      <w:r>
        <w:rPr>
          <w:rFonts w:ascii="Times New Roman" w:hAnsi="Times New Roman"/>
          <w:sz w:val="20"/>
        </w:rPr>
        <w:t xml:space="preserve"> </w:t>
      </w:r>
      <w:r>
        <w:rPr>
          <w:rFonts w:ascii="Times New Roman" w:hAnsi="Times New Roman"/>
          <w:b/>
          <w:sz w:val="20"/>
          <w:u w:val="single"/>
        </w:rPr>
        <w:t>Fiscal Year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directly or indirectly, change its fiscal year. </w:t>
      </w:r>
    </w:p>
    <w:p>
      <w:pPr>
        <w:pStyle w:val="TextBody"/>
        <w:bidi w:val="0"/>
        <w:spacing w:before="240" w:after="0"/>
        <w:jc w:val="left"/>
        <w:rPr>
          <w:rFonts w:ascii="Times New Roman" w:hAnsi="Times New Roman"/>
          <w:sz w:val="20"/>
        </w:rPr>
      </w:pPr>
      <w:r>
        <w:rPr>
          <w:rFonts w:ascii="Times New Roman" w:hAnsi="Times New Roman"/>
          <w:b/>
          <w:sz w:val="20"/>
        </w:rPr>
        <w:t>7.07</w:t>
      </w:r>
      <w:r>
        <w:rPr>
          <w:rFonts w:ascii="Times New Roman" w:hAnsi="Times New Roman"/>
          <w:sz w:val="20"/>
        </w:rPr>
        <w:t xml:space="preserve"> </w:t>
      </w:r>
      <w:r>
        <w:rPr>
          <w:rFonts w:ascii="Times New Roman" w:hAnsi="Times New Roman"/>
          <w:b/>
          <w:sz w:val="20"/>
          <w:u w:val="single"/>
        </w:rPr>
        <w:t>Financial Covenant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permit the ratio of Consolidated EBITDA to Consolidated Interest Charges, as at the end of any fiscal quarter of the Company, commencing with the first fiscal quarter ending after the Closing Date, to be less than 3.00 to 1.00 for any fiscal quarter. </w:t>
      </w:r>
    </w:p>
    <w:p>
      <w:pPr>
        <w:pStyle w:val="TextBody"/>
        <w:bidi w:val="0"/>
        <w:spacing w:before="240" w:after="0"/>
        <w:jc w:val="left"/>
        <w:rPr>
          <w:rFonts w:ascii="Times New Roman" w:hAnsi="Times New Roman"/>
          <w:sz w:val="20"/>
        </w:rPr>
      </w:pPr>
      <w:r>
        <w:rPr>
          <w:rFonts w:ascii="Times New Roman" w:hAnsi="Times New Roman"/>
          <w:b/>
          <w:sz w:val="20"/>
        </w:rPr>
        <w:t>7.08</w:t>
      </w:r>
      <w:r>
        <w:rPr>
          <w:rFonts w:ascii="Times New Roman" w:hAnsi="Times New Roman"/>
          <w:sz w:val="20"/>
        </w:rPr>
        <w:t xml:space="preserve"> </w:t>
      </w:r>
      <w:r>
        <w:rPr>
          <w:rFonts w:ascii="Times New Roman" w:hAnsi="Times New Roman"/>
          <w:b/>
          <w:sz w:val="20"/>
          <w:u w:val="single"/>
        </w:rPr>
        <w:t>Sanctions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Borrower shall, directly or, to the knowledge of such Borrower, indirectly, use the proceeds of any Committed Borrowing, or lend, contribute or otherwise make available such proceeds to any Subsidiary, joint venture partner or other Person, to fund any activities of or business with any Person, or in any Designated Jurisdiction, that, at the time of such funding, is the subject of Sanctions, except to the extent permissible for a Person required to comply with Sanctions, or in each case in any manner that will result in a violation by any Person (including any Person participating in the transaction, whether as Lender, Arranger, Administrative Agent, or otherwise) of Sanctions, or to fund any other activities or business in a manner that will result in a violation by any Person of Sanctions. </w:t>
      </w:r>
    </w:p>
    <w:p>
      <w:pPr>
        <w:pStyle w:val="TextBody"/>
        <w:bidi w:val="0"/>
        <w:spacing w:before="240" w:after="0"/>
        <w:jc w:val="left"/>
        <w:rPr>
          <w:rFonts w:ascii="Times New Roman" w:hAnsi="Times New Roman"/>
          <w:sz w:val="20"/>
        </w:rPr>
      </w:pPr>
      <w:r>
        <w:rPr>
          <w:rFonts w:ascii="Times New Roman" w:hAnsi="Times New Roman"/>
          <w:b/>
          <w:sz w:val="20"/>
        </w:rPr>
        <w:t>7.09</w:t>
      </w:r>
      <w:r>
        <w:rPr>
          <w:rFonts w:ascii="Times New Roman" w:hAnsi="Times New Roman"/>
          <w:sz w:val="20"/>
        </w:rPr>
        <w:t xml:space="preserve"> </w:t>
      </w:r>
      <w:r>
        <w:rPr>
          <w:rFonts w:ascii="Times New Roman" w:hAnsi="Times New Roman"/>
          <w:b/>
          <w:sz w:val="20"/>
          <w:u w:val="single"/>
        </w:rPr>
        <w:t>Anti-Corruption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Borrower shall, nor shall it permit any Subsidiary to, directly or, to the knowledge of such Borrower, indirectly use the proceeds of any Committed Borrowing for any purpose which would breach the Anti-Corruption 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rPr>
      </w:pPr>
      <w:r>
        <w:rPr>
          <w:rFonts w:ascii="Times New Roman" w:hAnsi="Times New Roman"/>
          <w:b/>
          <w:sz w:val="20"/>
        </w:rPr>
        <w:t xml:space="preserve">EVENTS OF DEFAULT AND REMEDIES </w:t>
      </w:r>
    </w:p>
    <w:p>
      <w:pPr>
        <w:pStyle w:val="TextBody"/>
        <w:bidi w:val="0"/>
        <w:spacing w:before="240" w:after="0"/>
        <w:jc w:val="left"/>
        <w:rPr>
          <w:rFonts w:ascii="Times New Roman" w:hAnsi="Times New Roman"/>
          <w:sz w:val="20"/>
        </w:rPr>
      </w:pPr>
      <w:r>
        <w:rPr>
          <w:rFonts w:ascii="Times New Roman" w:hAnsi="Times New Roman"/>
          <w:b/>
          <w:sz w:val="20"/>
        </w:rPr>
        <w:t>8.01</w:t>
      </w:r>
      <w:r>
        <w:rPr>
          <w:rFonts w:ascii="Times New Roman" w:hAnsi="Times New Roman"/>
          <w:sz w:val="20"/>
        </w:rPr>
        <w:t xml:space="preserve"> </w:t>
      </w:r>
      <w:r>
        <w:rPr>
          <w:rFonts w:ascii="Times New Roman" w:hAnsi="Times New Roman"/>
          <w:b/>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of the following shall constitute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Non-Payment</w:t>
      </w:r>
      <w:r>
        <w:rPr>
          <w:rFonts w:ascii="Times New Roman" w:hAnsi="Times New Roman"/>
          <w:sz w:val="20"/>
        </w:rPr>
        <w:t xml:space="preserve">. Any Borrower or any other Loan Party fails to pay (i) when and as required to be paid herein and in the currency required hereunder, any amount of principal of any Loan, (ii) within five days after the same becomes due, any interest on any Loan or any fee due hereunder, or (iii) within five days after the same becomes due, any other amount payable hereunder or under any other Loan Document; or </w:t>
      </w:r>
    </w:p>
    <w:p>
      <w:pPr>
        <w:pStyle w:val="TextBody"/>
        <w:bidi w:val="0"/>
        <w:spacing w:before="240" w:after="0"/>
        <w:jc w:val="left"/>
        <w:rPr>
          <w:rFonts w:ascii="Times New Roman" w:hAnsi="Times New Roman"/>
          <w:sz w:val="20"/>
        </w:rPr>
      </w:pPr>
      <w:r>
        <w:rPr>
          <w:rFonts w:ascii="Times New Roman" w:hAnsi="Times New Roman"/>
          <w:sz w:val="20"/>
        </w:rPr>
        <w:t xml:space="preserve">(b) Specific Covenants. Any Borrower fails to perform or observe any term, covenant or agreement contained in any of Section 6.03(a), 6.05 or 6.11 or Article VII; 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Defaults.</w:t>
      </w:r>
      <w:r>
        <w:rPr>
          <w:rFonts w:ascii="Times New Roman" w:hAnsi="Times New Roman"/>
          <w:sz w:val="20"/>
        </w:rPr>
        <w:t xml:space="preserve"> Any Loan Party fails to perform or observe any other covenant or agreement (not specified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contained in any Loan Document on its part to be performed or observed and such failure continues for 30 days after written notice of default is provided by the Administrative Agent; or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Representations and Warranties</w:t>
      </w:r>
      <w:r>
        <w:rPr>
          <w:rFonts w:ascii="Times New Roman" w:hAnsi="Times New Roman"/>
          <w:sz w:val="20"/>
        </w:rPr>
        <w:t xml:space="preserve">. Any representation, warranty or certification made or deemed made by or on behalf of any Loan Party herein, in any other Loan Document, or in any document delivered in connection herewith or therewith shall be incorrect or misleading in any material respect when made or deemed made; 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64</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Cross-Default</w:t>
      </w:r>
      <w:r>
        <w:rPr>
          <w:rFonts w:ascii="Times New Roman" w:hAnsi="Times New Roman"/>
          <w:sz w:val="20"/>
        </w:rPr>
        <w:t xml:space="preserve">. Any Loan Party or any Material Subsidiary (i)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amounts owing to all creditors under any combined or syndicated credit arrangement) of more than the Threshold Amount or (ii) fails to observe or perform any other agreement or condition relating to any such Indebtedness or Guarantee having an aggregate principal amount (including amounts owing to all creditors under any combined or syndicated credit arrangement) of more than the Threshold Amount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prior to its stated maturity, or such Guarantee to become payable or cash collateral in respect thereof to be demanded;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(ii)</w:t>
      </w:r>
      <w:r>
        <w:rPr>
          <w:rFonts w:ascii="Times New Roman" w:hAnsi="Times New Roman"/>
          <w:sz w:val="20"/>
        </w:rPr>
        <w:t xml:space="preserve"> shall not apply to (A) any repurchase, prepayment, defeasance or redemption, or any offer therefor, of any Indebtedness of any Person acquired by the Company or any Subsidiary required to be made solely as a result of a “change of control” of such Person as a result of the consummation of such acquisition, (B) any mandatory prepayment of any bridge financing required to be made with the proceeds of any other Indebtedness incurred by the Company or any Subsidiary or the proceeds of any Dispositions of assets or issuance of Equity Interests consummated by the Company or any Subsidiary, (C) any repurchase, prepayment, defeasance or redemption, or any offer therefor, of any Indebtedness of the Company or any Subsidiary incurred to finance, in whole or in part, an acquisition and any related transactions required to be made pursuant to a “special mandatory redemption” provision (or other similar provision) as a result of such acquisition not having been consummated, (D) any secured Indebtedness becoming due as a result of the voluntary sale or transfer of the assets securing such Indebtedness, (E) any Indebtedness becoming due as a result of a voluntary refinancing thereof permitted hereunder, (F) in the event that a lender under any revolving loan facility becomes a “defaulting lender” (as defined therein), a prepayment or cash collateralization by such Loan Party or such Material Subsidiary of any unreallocated portion of such defaulting lender’s outstanding swing line loans under any such revolving loan facility, and (G) for the avoidance of any doubt, any right of a holder or holders of any Indebtedness that is convertible into Equity Interests (1) to require the repurchase, repayment or redemption of such Indebtedness on a predetermined date provided in the definitive documentation governing such Indebtedness, (2) to require an offer to repurchase, repay or redeem such Indebtedness on such date or the delivery of a notice with respect thereto or (3) to convert such Indebtedness into Equity Interests, together with any cash settlement thereof, in each case under this </w:t>
      </w:r>
      <w:r>
        <w:rPr>
          <w:rFonts w:ascii="Times New Roman" w:hAnsi="Times New Roman"/>
          <w:sz w:val="20"/>
          <w:u w:val="single"/>
        </w:rPr>
        <w:t>clause (G)</w:t>
      </w:r>
      <w:r>
        <w:rPr>
          <w:rFonts w:ascii="Times New Roman" w:hAnsi="Times New Roman"/>
          <w:sz w:val="20"/>
        </w:rPr>
        <w:t xml:space="preserve">, so long as such right (other than the right to convert such Indebtedness into Equity Interests of the Borrower, settled solely in such Equity Interests and cash in lieu of fractional shares thereof) does not result from any “change of control”, “fundamental change” or a similar event (however defined) under the definitive documentation governing such Indebtedness; or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Insolvency Proceedings, Etc.</w:t>
      </w:r>
      <w:r>
        <w:rPr>
          <w:rFonts w:ascii="Times New Roman" w:hAnsi="Times New Roman"/>
          <w:sz w:val="20"/>
        </w:rPr>
        <w:t xml:space="preserve"> Any Loan Party or any 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65</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Attachment</w:t>
      </w:r>
      <w:r>
        <w:rPr>
          <w:rFonts w:ascii="Times New Roman" w:hAnsi="Times New Roman"/>
          <w:sz w:val="20"/>
        </w:rPr>
        <w:t xml:space="preserve">. Any writ or warrant of attachment or execution or similar process to secure a claim exceeding the Threshold Amount is issued or levied against all or any material part of the property of any Loan Party or any Material Subsidiary and is not released, vacated or fully bonded within 30 days after its issue or levy; or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Judgments</w:t>
      </w:r>
      <w:r>
        <w:rPr>
          <w:rFonts w:ascii="Times New Roman" w:hAnsi="Times New Roman"/>
          <w:sz w:val="20"/>
        </w:rPr>
        <w:t xml:space="preserve">. There is entered against any Loan Party or any Material Subsidiary one or more final judgments or orders for the payment of money in an aggregate amount (as to all such judgments or orders) exceeding the Threshold Amount (to the extent not covered by independent third-party insurance as to which the insurer does not dispute coverage) and there is a period of 30 consecutive days during which such judgment is not satisfied or discharged or a stay of enforcement of such judgment, by reason of a pending appeal or otherwise, is not in effect; or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ERISA</w:t>
      </w:r>
      <w:r>
        <w:rPr>
          <w:rFonts w:ascii="Times New Roman" w:hAnsi="Times New Roman"/>
          <w:sz w:val="20"/>
        </w:rPr>
        <w:t xml:space="preserve">. (i) An ERISA Event occurs with respect to a Pension Plan which has resulted or would reasonably be expected to result in a Material Adverse Effect or (ii) the Company or any ERISA Affiliate fails to pay when due, after the expiration of any applicable grace period, any installment payment with respect to its withdrawal liability under Section 4201 of ERISA under a Multiemployer Plan, which non-payment would reasonably be expected to result in a Material Adverse Effect; or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Invalidity of Loan Documents</w:t>
      </w:r>
      <w:r>
        <w:rPr>
          <w:rFonts w:ascii="Times New Roman" w:hAnsi="Times New Roman"/>
          <w:sz w:val="20"/>
        </w:rPr>
        <w:t xml:space="preserve">. Any material provision of any Loan Document, at any time after its execution and delivery and for any reason other than as expressly permitted hereunder or thereunder or satisfaction in full of all the Obligations, ceases to be in full force and effect; or any Loan Party or any Subsidiary contests in any manner the validity or enforceability of any Loan Document; or any Loan Party denies that it has any or further liability or obligation under any Loan Document, or purports to revoke, terminate or rescind any Loan Document; or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Change of Control</w:t>
      </w:r>
      <w:r>
        <w:rPr>
          <w:rFonts w:ascii="Times New Roman" w:hAnsi="Times New Roman"/>
          <w:sz w:val="20"/>
        </w:rPr>
        <w:t xml:space="preserve">. There occurs any Change of Control. </w:t>
      </w:r>
    </w:p>
    <w:p>
      <w:pPr>
        <w:pStyle w:val="TextBody"/>
        <w:bidi w:val="0"/>
        <w:spacing w:before="240" w:after="0"/>
        <w:jc w:val="left"/>
        <w:rPr>
          <w:rFonts w:ascii="Times New Roman" w:hAnsi="Times New Roman"/>
          <w:sz w:val="20"/>
        </w:rPr>
      </w:pPr>
      <w:r>
        <w:rPr>
          <w:rFonts w:ascii="Times New Roman" w:hAnsi="Times New Roman"/>
          <w:b/>
          <w:sz w:val="20"/>
        </w:rPr>
        <w:t>8.02</w:t>
      </w:r>
      <w:r>
        <w:rPr>
          <w:rFonts w:ascii="Times New Roman" w:hAnsi="Times New Roman"/>
          <w:sz w:val="20"/>
        </w:rPr>
        <w:t xml:space="preserve"> </w:t>
      </w:r>
      <w:r>
        <w:rPr>
          <w:rFonts w:ascii="Times New Roman" w:hAnsi="Times New Roman"/>
          <w:b/>
          <w:sz w:val="20"/>
          <w:u w:val="single"/>
        </w:rPr>
        <w:t>Remedies Upon Event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Event of Default occurs and is continuing, the Administrative Agent shall, at the request of, or may, with the consent of, the Required Lenders, take any or all of the following actions: </w:t>
      </w:r>
    </w:p>
    <w:p>
      <w:pPr>
        <w:pStyle w:val="TextBody"/>
        <w:bidi w:val="0"/>
        <w:spacing w:before="120" w:after="0"/>
        <w:jc w:val="left"/>
        <w:rPr>
          <w:rFonts w:ascii="Times New Roman" w:hAnsi="Times New Roman"/>
          <w:sz w:val="20"/>
        </w:rPr>
      </w:pPr>
      <w:r>
        <w:rPr>
          <w:rFonts w:ascii="Times New Roman" w:hAnsi="Times New Roman"/>
          <w:sz w:val="20"/>
        </w:rPr>
        <w:t xml:space="preserve">(a) declare the Commitment of each Lender to be terminated, whereupon such Commitments and obligation shall be terminated; </w:t>
      </w:r>
    </w:p>
    <w:p>
      <w:pPr>
        <w:pStyle w:val="TextBody"/>
        <w:bidi w:val="0"/>
        <w:spacing w:before="240" w:after="0"/>
        <w:jc w:val="left"/>
        <w:rPr>
          <w:rFonts w:ascii="Times New Roman" w:hAnsi="Times New Roman"/>
          <w:sz w:val="20"/>
        </w:rPr>
      </w:pPr>
      <w:r>
        <w:rPr>
          <w:rFonts w:ascii="Times New Roman" w:hAnsi="Times New Roman"/>
          <w:sz w:val="20"/>
        </w:rPr>
        <w:t xml:space="preserve">(b)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Loan Parties; and </w:t>
      </w:r>
    </w:p>
    <w:p>
      <w:pPr>
        <w:pStyle w:val="TextBody"/>
        <w:bidi w:val="0"/>
        <w:spacing w:before="240" w:after="0"/>
        <w:jc w:val="left"/>
        <w:rPr>
          <w:rFonts w:ascii="Times New Roman" w:hAnsi="Times New Roman"/>
          <w:sz w:val="20"/>
        </w:rPr>
      </w:pPr>
      <w:r>
        <w:rPr>
          <w:rFonts w:ascii="Times New Roman" w:hAnsi="Times New Roman"/>
          <w:sz w:val="20"/>
        </w:rPr>
        <w:t xml:space="preserve">(c) exercise on behalf of itself and the Lenders all rights and remedies available to it and the Lenders under the Loan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upon the occurrence of an actual or deemed entry of an order for relief with respect to any Borrower under Debtor Relief Laws, the obligation of each Lender to make Loans shall automatically terminate and the unpaid principal amount of all outstanding Loans and all interest and other amounts as aforesaid shall automatically become due and payable, in each case without presentment, demand, protest or other notice of any kind, all of which are hereby expressly waived by the Borrowers, and without further act of the Administrative Agent or any Lender.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66</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8.03</w:t>
      </w:r>
      <w:r>
        <w:rPr>
          <w:rFonts w:ascii="Times New Roman" w:hAnsi="Times New Roman"/>
          <w:sz w:val="20"/>
        </w:rPr>
        <w:t xml:space="preserve"> </w:t>
      </w:r>
      <w:r>
        <w:rPr>
          <w:rFonts w:ascii="Times New Roman" w:hAnsi="Times New Roman"/>
          <w:b/>
          <w:sz w:val="20"/>
          <w:u w:val="single"/>
        </w:rPr>
        <w:t>Application of Funds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After the exercise of remedies provided for in </w:t>
      </w:r>
      <w:r>
        <w:rPr>
          <w:rFonts w:ascii="Times New Roman" w:hAnsi="Times New Roman"/>
          <w:sz w:val="20"/>
          <w:u w:val="single"/>
        </w:rPr>
        <w:t>Section 8.02</w:t>
      </w:r>
      <w:r>
        <w:rPr>
          <w:rFonts w:ascii="Times New Roman" w:hAnsi="Times New Roman"/>
          <w:sz w:val="20"/>
        </w:rPr>
        <w:t xml:space="preserve"> (or after the Loans have automatically become immediately due and payable as set forth in the proviso to </w:t>
      </w:r>
      <w:r>
        <w:rPr>
          <w:rFonts w:ascii="Times New Roman" w:hAnsi="Times New Roman"/>
          <w:sz w:val="20"/>
          <w:u w:val="single"/>
        </w:rPr>
        <w:t>Section 8.02</w:t>
      </w:r>
      <w:r>
        <w:rPr>
          <w:rFonts w:ascii="Times New Roman" w:hAnsi="Times New Roman"/>
          <w:sz w:val="20"/>
        </w:rPr>
        <w:t xml:space="preserve">), any amounts received on account of the Obligations shall be applied by the Administrative Agent in the following order: </w:t>
      </w:r>
    </w:p>
    <w:p>
      <w:pPr>
        <w:pStyle w:val="TextBody"/>
        <w:bidi w:val="0"/>
        <w:spacing w:before="120" w:after="0"/>
        <w:jc w:val="left"/>
        <w:rPr>
          <w:rFonts w:ascii="Times New Roman" w:hAnsi="Times New Roman"/>
          <w:sz w:val="20"/>
        </w:rPr>
      </w:pPr>
      <w:r>
        <w:rPr>
          <w:rFonts w:ascii="Times New Roman" w:hAnsi="Times New Roman"/>
          <w:sz w:val="20"/>
          <w:u w:val="single"/>
        </w:rPr>
        <w:t>First</w:t>
      </w:r>
      <w:r>
        <w:rPr>
          <w:rFonts w:ascii="Times New Roman" w:hAnsi="Times New Roman"/>
          <w:sz w:val="20"/>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hAnsi="Times New Roman"/>
          <w:sz w:val="20"/>
          <w:u w:val="single"/>
        </w:rPr>
        <w:t>Article III</w:t>
      </w:r>
      <w:r>
        <w:rPr>
          <w:rFonts w:ascii="Times New Roman" w:hAnsi="Times New Roman"/>
          <w:sz w:val="20"/>
        </w:rPr>
        <w:t xml:space="preserve">) payable to the Administrative Agent in its capacity as such; </w:t>
      </w:r>
    </w:p>
    <w:p>
      <w:pPr>
        <w:pStyle w:val="TextBody"/>
        <w:bidi w:val="0"/>
        <w:spacing w:before="240" w:after="0"/>
        <w:jc w:val="left"/>
        <w:rPr>
          <w:rFonts w:ascii="Times New Roman" w:hAnsi="Times New Roman"/>
          <w:sz w:val="20"/>
        </w:rPr>
      </w:pPr>
      <w:r>
        <w:rPr>
          <w:rFonts w:ascii="Times New Roman" w:hAnsi="Times New Roman"/>
          <w:sz w:val="20"/>
          <w:u w:val="single"/>
        </w:rPr>
        <w:t>Second</w:t>
      </w:r>
      <w:r>
        <w:rPr>
          <w:rFonts w:ascii="Times New Roman" w:hAnsi="Times New Roman"/>
          <w:sz w:val="20"/>
        </w:rPr>
        <w:t xml:space="preserve">, to payment of that portion of the Obligations constituting fees, indemnities and other amounts (other than principal and interest) payable to the Lenders (including fees, charges and disbursements of counsel to the respective Lenders and amounts payable under </w:t>
      </w:r>
      <w:r>
        <w:rPr>
          <w:rFonts w:ascii="Times New Roman" w:hAnsi="Times New Roman"/>
          <w:sz w:val="20"/>
          <w:u w:val="single"/>
        </w:rPr>
        <w:t>Article III</w:t>
      </w:r>
      <w:r>
        <w:rPr>
          <w:rFonts w:ascii="Times New Roman" w:hAnsi="Times New Roman"/>
          <w:sz w:val="20"/>
        </w:rPr>
        <w:t xml:space="preserve">), ratably among them in proportion to the respective amounts described in this clause </w:t>
      </w:r>
      <w:r>
        <w:rPr>
          <w:rFonts w:ascii="Times New Roman" w:hAnsi="Times New Roman"/>
          <w:sz w:val="20"/>
          <w:u w:val="single"/>
        </w:rPr>
        <w:t>Second</w:t>
      </w:r>
      <w:r>
        <w:rPr>
          <w:rFonts w:ascii="Times New Roman" w:hAnsi="Times New Roman"/>
          <w:sz w:val="20"/>
        </w:rPr>
        <w:t xml:space="preserve"> payable to them; </w:t>
      </w:r>
    </w:p>
    <w:p>
      <w:pPr>
        <w:pStyle w:val="TextBody"/>
        <w:bidi w:val="0"/>
        <w:spacing w:before="240" w:after="0"/>
        <w:jc w:val="left"/>
        <w:rPr>
          <w:rFonts w:ascii="Times New Roman" w:hAnsi="Times New Roman"/>
          <w:sz w:val="20"/>
        </w:rPr>
      </w:pPr>
      <w:r>
        <w:rPr>
          <w:rFonts w:ascii="Times New Roman" w:hAnsi="Times New Roman"/>
          <w:sz w:val="20"/>
          <w:u w:val="single"/>
        </w:rPr>
        <w:t>Third</w:t>
      </w:r>
      <w:r>
        <w:rPr>
          <w:rFonts w:ascii="Times New Roman" w:hAnsi="Times New Roman"/>
          <w:sz w:val="20"/>
        </w:rPr>
        <w:t xml:space="preserve">, to payment of that portion of the Obligations constituting accrued and unpaid interest on the Loans and other Obligations, ratably among the Lenders in proportion to the respective amounts described in this clause </w:t>
      </w:r>
      <w:r>
        <w:rPr>
          <w:rFonts w:ascii="Times New Roman" w:hAnsi="Times New Roman"/>
          <w:sz w:val="20"/>
          <w:u w:val="single"/>
        </w:rPr>
        <w:t>Third</w:t>
      </w:r>
      <w:r>
        <w:rPr>
          <w:rFonts w:ascii="Times New Roman" w:hAnsi="Times New Roman"/>
          <w:sz w:val="20"/>
        </w:rPr>
        <w:t xml:space="preserve"> payable to them; </w:t>
      </w:r>
    </w:p>
    <w:p>
      <w:pPr>
        <w:pStyle w:val="TextBody"/>
        <w:bidi w:val="0"/>
        <w:spacing w:before="240" w:after="0"/>
        <w:jc w:val="left"/>
        <w:rPr>
          <w:rFonts w:ascii="Times New Roman" w:hAnsi="Times New Roman"/>
          <w:sz w:val="20"/>
        </w:rPr>
      </w:pPr>
      <w:r>
        <w:rPr>
          <w:rFonts w:ascii="Times New Roman" w:hAnsi="Times New Roman"/>
          <w:sz w:val="20"/>
          <w:u w:val="single"/>
        </w:rPr>
        <w:t>Fourth</w:t>
      </w:r>
      <w:r>
        <w:rPr>
          <w:rFonts w:ascii="Times New Roman" w:hAnsi="Times New Roman"/>
          <w:sz w:val="20"/>
        </w:rPr>
        <w:t xml:space="preserve">, to payment of that portion of the Obligations constituting unpaid principal of the Loans, ratably among the Lenders, in proportion to the respective amounts described in this clause </w:t>
      </w:r>
      <w:r>
        <w:rPr>
          <w:rFonts w:ascii="Times New Roman" w:hAnsi="Times New Roman"/>
          <w:sz w:val="20"/>
          <w:u w:val="single"/>
        </w:rPr>
        <w:t>Fourth</w:t>
      </w:r>
      <w:r>
        <w:rPr>
          <w:rFonts w:ascii="Times New Roman" w:hAnsi="Times New Roman"/>
          <w:sz w:val="20"/>
        </w:rPr>
        <w:t xml:space="preserve"> held by them; and </w:t>
      </w:r>
    </w:p>
    <w:p>
      <w:pPr>
        <w:pStyle w:val="TextBody"/>
        <w:bidi w:val="0"/>
        <w:spacing w:before="240" w:after="0"/>
        <w:jc w:val="left"/>
        <w:rPr>
          <w:rFonts w:ascii="Times New Roman" w:hAnsi="Times New Roman"/>
          <w:sz w:val="20"/>
        </w:rPr>
      </w:pPr>
      <w:r>
        <w:rPr>
          <w:rFonts w:ascii="Times New Roman" w:hAnsi="Times New Roman"/>
          <w:sz w:val="20"/>
          <w:u w:val="single"/>
        </w:rPr>
        <w:t>Last,</w:t>
      </w:r>
      <w:r>
        <w:rPr>
          <w:rFonts w:ascii="Times New Roman" w:hAnsi="Times New Roman"/>
          <w:sz w:val="20"/>
        </w:rPr>
        <w:t xml:space="preserve"> the balance, if any, after all of the Obligations have been indefeasibly paid in full, to the Company or as otherwise required by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rPr>
      </w:pPr>
      <w:r>
        <w:rPr>
          <w:rFonts w:ascii="Times New Roman" w:hAnsi="Times New Roman"/>
          <w:b/>
          <w:sz w:val="20"/>
        </w:rPr>
        <w:t xml:space="preserve">ADMINISTRATIVE AGENT </w:t>
      </w:r>
    </w:p>
    <w:p>
      <w:pPr>
        <w:pStyle w:val="TextBody"/>
        <w:bidi w:val="0"/>
        <w:spacing w:before="240" w:after="0"/>
        <w:jc w:val="left"/>
        <w:rPr>
          <w:rFonts w:ascii="Times New Roman" w:hAnsi="Times New Roman"/>
          <w:sz w:val="20"/>
        </w:rPr>
      </w:pPr>
      <w:r>
        <w:rPr>
          <w:rFonts w:ascii="Times New Roman" w:hAnsi="Times New Roman"/>
          <w:b/>
          <w:sz w:val="20"/>
        </w:rPr>
        <w:t>9.01</w:t>
      </w:r>
      <w:r>
        <w:rPr>
          <w:rFonts w:ascii="Times New Roman" w:hAnsi="Times New Roman"/>
          <w:sz w:val="20"/>
        </w:rPr>
        <w:t xml:space="preserve"> </w:t>
      </w:r>
      <w:r>
        <w:rPr>
          <w:rFonts w:ascii="Times New Roman" w:hAnsi="Times New Roman"/>
          <w:b/>
          <w:sz w:val="20"/>
          <w:u w:val="single"/>
        </w:rPr>
        <w:t>Appointment and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of the Lenders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other than with respect to the Company’s consent rights in </w:t>
      </w:r>
      <w:r>
        <w:rPr>
          <w:rFonts w:ascii="Times New Roman" w:hAnsi="Times New Roman"/>
          <w:sz w:val="20"/>
          <w:u w:val="single"/>
        </w:rPr>
        <w:t>Section 9.06</w:t>
      </w:r>
      <w:r>
        <w:rPr>
          <w:rFonts w:ascii="Times New Roman" w:hAnsi="Times New Roman"/>
          <w:sz w:val="20"/>
        </w:rPr>
        <w:t xml:space="preserve">, solely for the benefit of the Administrative Agent and the Lenders, and, except for such consent rights, no Borrower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w:t>
      </w:r>
    </w:p>
    <w:p>
      <w:pPr>
        <w:pStyle w:val="TextBody"/>
        <w:bidi w:val="0"/>
        <w:spacing w:before="240" w:after="0"/>
        <w:jc w:val="left"/>
        <w:rPr>
          <w:rFonts w:ascii="Times New Roman" w:hAnsi="Times New Roman"/>
          <w:sz w:val="20"/>
        </w:rPr>
      </w:pPr>
      <w:r>
        <w:rPr>
          <w:rFonts w:ascii="Times New Roman" w:hAnsi="Times New Roman"/>
          <w:b/>
          <w:sz w:val="20"/>
        </w:rPr>
        <w:t>9.02</w:t>
      </w:r>
      <w:r>
        <w:rPr>
          <w:rFonts w:ascii="Times New Roman" w:hAnsi="Times New Roman"/>
          <w:sz w:val="20"/>
        </w:rPr>
        <w:t xml:space="preserve"> </w:t>
      </w:r>
      <w:r>
        <w:rPr>
          <w:rFonts w:ascii="Times New Roman" w:hAnsi="Times New Roman"/>
          <w:b/>
          <w:sz w:val="20"/>
          <w:u w:val="single"/>
        </w:rPr>
        <w:t>Rights as a Lender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67</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its individual capacity.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 </w:t>
      </w:r>
    </w:p>
    <w:p>
      <w:pPr>
        <w:pStyle w:val="TextBody"/>
        <w:bidi w:val="0"/>
        <w:spacing w:before="240" w:after="0"/>
        <w:jc w:val="left"/>
        <w:rPr>
          <w:rFonts w:ascii="Times New Roman" w:hAnsi="Times New Roman"/>
          <w:sz w:val="20"/>
        </w:rPr>
      </w:pPr>
      <w:r>
        <w:rPr>
          <w:rFonts w:ascii="Times New Roman" w:hAnsi="Times New Roman"/>
          <w:b/>
          <w:sz w:val="20"/>
        </w:rPr>
        <w:t>9.03</w:t>
      </w:r>
      <w:r>
        <w:rPr>
          <w:rFonts w:ascii="Times New Roman" w:hAnsi="Times New Roman"/>
          <w:sz w:val="20"/>
        </w:rPr>
        <w:t xml:space="preserve"> </w:t>
      </w:r>
      <w:r>
        <w:rPr>
          <w:rFonts w:ascii="Times New Roman" w:hAnsi="Times New Roman"/>
          <w:b/>
          <w:sz w:val="20"/>
          <w:u w:val="single"/>
        </w:rPr>
        <w:t>Exculpatory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 have any duties or obligations except those expressly set forth herein and in the other Loan Documents, and its duties hereunder shall be administrative in nature. Without limiting the generality of the foregoing,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shall not be subject to any fiduciary or other implied duties, regardless of whether a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(b) shall not have any duty to take any discretionary action or exercise any discretionary powers, except discretionary rights and powers expressly contemplated hereby or by the other Loan Documents or the other documents executed or delivered in connection therewith that the Administrative Agent is required to exercise as directed in writing by the Required Lenders (or such other number or percentage of the Lenders as shall be expressly provided for herein or in the other Loan Documents);</w:t>
      </w:r>
      <w:r>
        <w:rPr>
          <w:rFonts w:ascii="Times New Roman" w:hAnsi="Times New Roman"/>
          <w:sz w:val="20"/>
          <w:u w:val="single"/>
        </w:rPr>
        <w:t xml:space="preserve"> provided</w:t>
      </w:r>
      <w:r>
        <w:rPr>
          <w:rFonts w:ascii="Times New Roman" w:hAnsi="Times New Roman"/>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w:t>
      </w:r>
    </w:p>
    <w:p>
      <w:pPr>
        <w:pStyle w:val="TextBody"/>
        <w:bidi w:val="0"/>
        <w:spacing w:before="240" w:after="0"/>
        <w:jc w:val="left"/>
        <w:rPr>
          <w:rFonts w:ascii="Times New Roman" w:hAnsi="Times New Roman"/>
          <w:sz w:val="20"/>
        </w:rPr>
      </w:pPr>
      <w:r>
        <w:rPr>
          <w:rFonts w:ascii="Times New Roman" w:hAnsi="Times New Roman"/>
          <w:sz w:val="20"/>
        </w:rPr>
        <w:t xml:space="preserve">(c) 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 be liable to any Lender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Sections 10.01</w:t>
      </w:r>
      <w:r>
        <w:rPr>
          <w:rFonts w:ascii="Times New Roman" w:hAnsi="Times New Roman"/>
          <w:sz w:val="20"/>
        </w:rPr>
        <w:t xml:space="preserve"> and </w:t>
      </w:r>
      <w:r>
        <w:rPr>
          <w:rFonts w:ascii="Times New Roman" w:hAnsi="Times New Roman"/>
          <w:sz w:val="20"/>
          <w:u w:val="single"/>
        </w:rPr>
        <w:t>8.02</w:t>
      </w:r>
      <w:r>
        <w:rPr>
          <w:rFonts w:ascii="Times New Roman" w:hAnsi="Times New Roman"/>
          <w:sz w:val="20"/>
        </w:rPr>
        <w:t xml:space="preserve">) or (ii) in the absence of its own gross negligence or willful misconduct as determined by a court of competent jurisdiction by final and non- appealable judgment. The Administrative Agent shall be deemed not to have knowledge of any Default unless and until notice describing such Default is given in writing to the Administrative Agent by the Company or a Lender. </w:t>
      </w:r>
    </w:p>
    <w:p>
      <w:pPr>
        <w:pStyle w:val="TextBody"/>
        <w:bidi w:val="0"/>
        <w:spacing w:before="240" w:after="0"/>
        <w:jc w:val="left"/>
        <w:rPr>
          <w:rFonts w:ascii="Times New Roman" w:hAnsi="Times New Roman"/>
          <w:sz w:val="20"/>
        </w:rPr>
      </w:pPr>
      <w:r>
        <w:rPr>
          <w:rFonts w:ascii="Times New Roman" w:hAnsi="Times New Roman"/>
          <w:sz w:val="20"/>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w:t>
      </w:r>
      <w:r>
        <w:rPr>
          <w:rFonts w:ascii="Times New Roman" w:hAnsi="Times New Roman"/>
          <w:sz w:val="20"/>
          <w:u w:val="single"/>
        </w:rPr>
        <w:t xml:space="preserve"> IV</w:t>
      </w:r>
      <w:r>
        <w:rPr>
          <w:rFonts w:ascii="Times New Roman" w:hAnsi="Times New Roman"/>
          <w:sz w:val="20"/>
        </w:rPr>
        <w:t xml:space="preserve"> or elsewhere herein, other than to confirm receipt of items expressly required to be delivered to the Administrative Agent.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68</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9.04</w:t>
      </w:r>
      <w:r>
        <w:rPr>
          <w:rFonts w:ascii="Times New Roman" w:hAnsi="Times New Roman"/>
          <w:sz w:val="20"/>
        </w:rPr>
        <w:t xml:space="preserve"> </w:t>
      </w:r>
      <w:r>
        <w:rPr>
          <w:rFonts w:ascii="Times New Roman" w:hAnsi="Times New Roman"/>
          <w:b/>
          <w:sz w:val="20"/>
          <w:u w:val="single"/>
        </w:rPr>
        <w:t>Reliance by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b/>
          <w:sz w:val="20"/>
        </w:rPr>
        <w:t>9.05</w:t>
      </w:r>
      <w:r>
        <w:rPr>
          <w:rFonts w:ascii="Times New Roman" w:hAnsi="Times New Roman"/>
          <w:sz w:val="20"/>
        </w:rPr>
        <w:t xml:space="preserve"> </w:t>
      </w:r>
      <w:r>
        <w:rPr>
          <w:rFonts w:ascii="Times New Roman" w:hAnsi="Times New Roman"/>
          <w:b/>
          <w:sz w:val="20"/>
          <w:u w:val="single"/>
        </w:rPr>
        <w:t>Delegation of Duties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Administrative Agent may perform any and all of its duties and exercise its rights and powers hereunder or under any other Loan Document or the other documents executed or delivered in connection therewith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w:t>
      </w:r>
      <w:r>
        <w:rPr>
          <w:rFonts w:ascii="Times New Roman" w:hAnsi="Times New Roman"/>
          <w:sz w:val="20"/>
          <w:u w:val="single"/>
        </w:rPr>
        <w:t xml:space="preserve"> IX</w:t>
      </w:r>
      <w:r>
        <w:rPr>
          <w:rFonts w:ascii="Times New Roman" w:hAnsi="Times New Roman"/>
          <w:sz w:val="20"/>
        </w:rPr>
        <w:t xml:space="preserve"> shall apply to any such sub-agent and to the Related Parties of the Administrative Agent and any such sub- agent, and shall apply to their respective activities in connection with the syndication of the credit facility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 </w:t>
      </w:r>
    </w:p>
    <w:p>
      <w:pPr>
        <w:pStyle w:val="TextBody"/>
        <w:bidi w:val="0"/>
        <w:spacing w:before="240" w:after="0"/>
        <w:jc w:val="left"/>
        <w:rPr>
          <w:rFonts w:ascii="Times New Roman" w:hAnsi="Times New Roman"/>
          <w:sz w:val="20"/>
        </w:rPr>
      </w:pPr>
      <w:r>
        <w:rPr>
          <w:rFonts w:ascii="Times New Roman" w:hAnsi="Times New Roman"/>
          <w:b/>
          <w:sz w:val="20"/>
        </w:rPr>
        <w:t>9.06</w:t>
      </w:r>
      <w:r>
        <w:rPr>
          <w:rFonts w:ascii="Times New Roman" w:hAnsi="Times New Roman"/>
          <w:sz w:val="20"/>
        </w:rPr>
        <w:t xml:space="preserve"> </w:t>
      </w:r>
      <w:r>
        <w:rPr>
          <w:rFonts w:ascii="Times New Roman" w:hAnsi="Times New Roman"/>
          <w:b/>
          <w:sz w:val="20"/>
          <w:u w:val="single"/>
        </w:rPr>
        <w:t>Resignation of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Administrative Agent may at any time give notice of its resignation to the Lenders and the Company. Upon receipt of any such notice of resignation, the Required Lenders shall have the right (with the consent of the Company not to be unreasonably withheld), to appoint a successor, which shall be a bank with an office in the United States, or an Affiliate of any such bank with an office in the United States. If no such successor shall have been appointed by the Required Lenders and shall have accepted such appointment within 30 days after the retiring Administrative Agent gives notice of its resignation (or such earlier day as shall be agreed by the Required Lenders and the Company) (the “</w:t>
      </w:r>
      <w:r>
        <w:rPr>
          <w:rFonts w:ascii="Times New Roman" w:hAnsi="Times New Roman"/>
          <w:sz w:val="20"/>
          <w:u w:val="single"/>
        </w:rPr>
        <w:t>Resignation Effective Date</w:t>
      </w:r>
      <w:r>
        <w:rPr>
          <w:rFonts w:ascii="Times New Roman" w:hAnsi="Times New Roman"/>
          <w:sz w:val="20"/>
        </w:rPr>
        <w:t xml:space="preserve">”), then the retiring Administrative Agent may (but shall not be obligated to), on behalf of the Lenders, appoint a successor Administrative Agent meeting the qualifications set forth above (with the consent of the Company not to be unreasonably withheld); </w:t>
      </w:r>
      <w:r>
        <w:rPr>
          <w:rFonts w:ascii="Times New Roman" w:hAnsi="Times New Roman"/>
          <w:sz w:val="20"/>
          <w:u w:val="single"/>
        </w:rPr>
        <w:t>provided</w:t>
      </w:r>
      <w:r>
        <w:rPr>
          <w:rFonts w:ascii="Times New Roman" w:hAnsi="Times New Roman"/>
          <w:sz w:val="20"/>
        </w:rPr>
        <w:t xml:space="preserve"> that if the Administrative Agent shall notify the Company and the Lenders that no qualifying Person has accepted such appointment, then, whether or not a successor has been appointed, such resignation shall become effective in accordance with such notice on the Resignation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If the Person serving as Administrative Agent is a Defaulting Lender pursuant to </w:t>
      </w:r>
      <w:r>
        <w:rPr>
          <w:rFonts w:ascii="Times New Roman" w:hAnsi="Times New Roman"/>
          <w:sz w:val="20"/>
          <w:u w:val="single"/>
        </w:rPr>
        <w:t>clause (d)</w:t>
      </w:r>
      <w:r>
        <w:rPr>
          <w:rFonts w:ascii="Times New Roman" w:hAnsi="Times New Roman"/>
          <w:sz w:val="20"/>
        </w:rPr>
        <w:t> of the definition thereof, the Required Lenders may, to the extent permitted by applicable Law, by notice in writing to the Company and such Person, remove such Person as the Administrative Agent and, in consultation with the Company, appoint a successor. If no such successor shall have been appointed by the Required Lenders and shall have accepted such appointment within 30 days (or such earlier day as shall be agreed by the Required Lenders and the Company) (the “</w:t>
      </w:r>
      <w:r>
        <w:rPr>
          <w:rFonts w:ascii="Times New Roman" w:hAnsi="Times New Roman"/>
          <w:sz w:val="20"/>
          <w:u w:val="single"/>
        </w:rPr>
        <w:t>Removal Effective Date</w:t>
      </w:r>
      <w:r>
        <w:rPr>
          <w:rFonts w:ascii="Times New Roman" w:hAnsi="Times New Roman"/>
          <w:sz w:val="20"/>
        </w:rPr>
        <w:t xml:space="preserve">”), then such removal shall nonetheless become effective in accordance with such notice on the Removal Effective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69</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 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hAnsi="Times New Roman"/>
          <w:sz w:val="20"/>
          <w:u w:val="single"/>
        </w:rPr>
        <w:t>Section 3.01(g)</w:t>
      </w:r>
      <w:r>
        <w:rPr>
          <w:rFonts w:ascii="Times New Roman" w:hAnsi="Times New Roman"/>
          <w:sz w:val="20"/>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 w:hAnsi="Times New Roman"/>
          <w:sz w:val="20"/>
          <w:u w:val="single"/>
        </w:rPr>
        <w:t>Section 9.06</w:t>
      </w:r>
      <w:r>
        <w:rPr>
          <w:rFonts w:ascii="Times New Roman" w:hAnsi="Times New Roman"/>
          <w:sz w:val="20"/>
        </w:rPr>
        <w:t>).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w:t>
      </w:r>
      <w:r>
        <w:rPr>
          <w:rFonts w:ascii="Times New Roman" w:hAnsi="Times New Roman"/>
          <w:sz w:val="20"/>
          <w:u w:val="single"/>
        </w:rPr>
        <w:t xml:space="preserve"> IX</w:t>
      </w:r>
      <w:r>
        <w:rPr>
          <w:rFonts w:ascii="Times New Roman" w:hAnsi="Times New Roman"/>
          <w:sz w:val="20"/>
        </w:rPr>
        <w:t xml:space="preserve"> and </w:t>
      </w:r>
      <w:r>
        <w:rPr>
          <w:rFonts w:ascii="Times New Roman" w:hAnsi="Times New Roman"/>
          <w:sz w:val="20"/>
          <w:u w:val="single"/>
        </w:rPr>
        <w:t>Section 10.04</w:t>
      </w:r>
      <w:r>
        <w:rPr>
          <w:rFonts w:ascii="Times New Roman" w:hAnsi="Times New Roman"/>
          <w:sz w:val="20"/>
        </w:rPr>
        <w:t xml:space="preserve"> shall continue in effect for the benefit of such retiring or removed Administrative Agent, its subagents and their respective Related Parties in respect of any actions taken or omitted to be taken by any of them while the retiring Administrative Agent was acting as Administrative Agent. </w:t>
      </w:r>
    </w:p>
    <w:p>
      <w:pPr>
        <w:pStyle w:val="TextBody"/>
        <w:bidi w:val="0"/>
        <w:spacing w:before="240" w:after="0"/>
        <w:jc w:val="left"/>
        <w:rPr>
          <w:rFonts w:ascii="Times New Roman" w:hAnsi="Times New Roman"/>
          <w:sz w:val="20"/>
        </w:rPr>
      </w:pPr>
      <w:r>
        <w:rPr>
          <w:rFonts w:ascii="Times New Roman" w:hAnsi="Times New Roman"/>
          <w:b/>
          <w:sz w:val="20"/>
        </w:rPr>
        <w:t>9.07</w:t>
      </w:r>
      <w:r>
        <w:rPr>
          <w:rFonts w:ascii="Times New Roman" w:hAnsi="Times New Roman"/>
          <w:sz w:val="20"/>
        </w:rPr>
        <w:t xml:space="preserve"> </w:t>
      </w:r>
      <w:r>
        <w:rPr>
          <w:rFonts w:ascii="Times New Roman" w:hAnsi="Times New Roman"/>
          <w:b/>
          <w:sz w:val="20"/>
          <w:u w:val="single"/>
        </w:rPr>
        <w:t>Non-Reliance on Administrative Agent and Other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w:t>
      </w:r>
    </w:p>
    <w:p>
      <w:pPr>
        <w:pStyle w:val="TextBody"/>
        <w:bidi w:val="0"/>
        <w:spacing w:before="240" w:after="0"/>
        <w:jc w:val="left"/>
        <w:rPr>
          <w:rFonts w:ascii="Times New Roman" w:hAnsi="Times New Roman"/>
          <w:sz w:val="20"/>
        </w:rPr>
      </w:pPr>
      <w:r>
        <w:rPr>
          <w:rFonts w:ascii="Times New Roman" w:hAnsi="Times New Roman"/>
          <w:b/>
          <w:sz w:val="20"/>
        </w:rPr>
        <w:t>9.08</w:t>
      </w:r>
      <w:r>
        <w:rPr>
          <w:rFonts w:ascii="Times New Roman" w:hAnsi="Times New Roman"/>
          <w:sz w:val="20"/>
        </w:rPr>
        <w:t xml:space="preserve"> </w:t>
      </w:r>
      <w:r>
        <w:rPr>
          <w:rFonts w:ascii="Times New Roman" w:hAnsi="Times New Roman"/>
          <w:b/>
          <w:sz w:val="20"/>
          <w:u w:val="single"/>
        </w:rPr>
        <w:t>No Other Duties,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Anything herein to the contrary notwithstanding, none of the arrangers, bookrunners, syndication agents, co-documentation agents or co-agents named on the cover page of this Agreement shall have any powers, duties or responsibilities under this Agreement or any of the other Loan Documents, except in its capacity, as applicable, as the Administrative Agent or a Lender hereunder. </w:t>
      </w:r>
    </w:p>
    <w:p>
      <w:pPr>
        <w:pStyle w:val="TextBody"/>
        <w:bidi w:val="0"/>
        <w:spacing w:before="240" w:after="0"/>
        <w:jc w:val="left"/>
        <w:rPr>
          <w:rFonts w:ascii="Times New Roman" w:hAnsi="Times New Roman"/>
          <w:sz w:val="20"/>
        </w:rPr>
      </w:pPr>
      <w:r>
        <w:rPr>
          <w:rFonts w:ascii="Times New Roman" w:hAnsi="Times New Roman"/>
          <w:b/>
          <w:sz w:val="20"/>
        </w:rPr>
        <w:t>9.09</w:t>
      </w:r>
      <w:r>
        <w:rPr>
          <w:rFonts w:ascii="Times New Roman" w:hAnsi="Times New Roman"/>
          <w:sz w:val="20"/>
        </w:rPr>
        <w:t xml:space="preserve"> </w:t>
      </w:r>
      <w:r>
        <w:rPr>
          <w:rFonts w:ascii="Times New Roman" w:hAnsi="Times New Roman"/>
          <w:b/>
          <w:sz w:val="20"/>
          <w:u w:val="single"/>
        </w:rPr>
        <w:t>Administrative Agent May File Proofs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any Borrower) shall be entitled and empowered, by intervention in such proceeding or otherwise: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70</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hAnsi="Times New Roman"/>
          <w:sz w:val="20"/>
          <w:u w:val="single"/>
        </w:rPr>
        <w:t xml:space="preserve">Sections </w:t>
      </w:r>
      <w:r>
        <w:rPr>
          <w:rFonts w:ascii="Times New Roman" w:hAnsi="Times New Roman"/>
          <w:sz w:val="20"/>
        </w:rPr>
        <w:t xml:space="preserve">2.09 and </w:t>
      </w:r>
      <w:r>
        <w:rPr>
          <w:rFonts w:ascii="Times New Roman" w:hAnsi="Times New Roman"/>
          <w:sz w:val="20"/>
          <w:u w:val="single"/>
        </w:rPr>
        <w:t>10.04</w:t>
      </w:r>
      <w:r>
        <w:rPr>
          <w:rFonts w:ascii="Times New Roman" w:hAnsi="Times New Roman"/>
          <w:sz w:val="20"/>
        </w:rPr>
        <w:t xml:space="preserve">) allowed in such judicial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sz w:val="20"/>
          <w:u w:val="single"/>
        </w:rPr>
        <w:t>Sections 2.09</w:t>
      </w:r>
      <w:r>
        <w:rPr>
          <w:rFonts w:ascii="Times New Roman" w:hAnsi="Times New Roman"/>
          <w:sz w:val="20"/>
        </w:rPr>
        <w:t xml:space="preserve"> and 10.04.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 </w:t>
      </w:r>
    </w:p>
    <w:p>
      <w:pPr>
        <w:pStyle w:val="TextBody"/>
        <w:bidi w:val="0"/>
        <w:spacing w:before="240" w:after="0"/>
        <w:jc w:val="left"/>
        <w:rPr>
          <w:rFonts w:ascii="Times New Roman" w:hAnsi="Times New Roman"/>
          <w:sz w:val="20"/>
        </w:rPr>
      </w:pPr>
      <w:r>
        <w:rPr>
          <w:rFonts w:ascii="Times New Roman" w:hAnsi="Times New Roman"/>
          <w:b/>
          <w:sz w:val="20"/>
        </w:rPr>
        <w:t>9.10</w:t>
      </w:r>
      <w:r>
        <w:rPr>
          <w:rFonts w:ascii="Times New Roman" w:hAnsi="Times New Roman"/>
          <w:sz w:val="20"/>
        </w:rPr>
        <w:t xml:space="preserve"> </w:t>
      </w:r>
      <w:r>
        <w:rPr>
          <w:rFonts w:ascii="Times New Roman" w:hAnsi="Times New Roman"/>
          <w:b/>
          <w:sz w:val="20"/>
          <w:u w:val="single"/>
        </w:rPr>
        <w:t>ERISA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of one or more Benefit Plans with respect to such Lender’s entrance into, participation in, administration of and performance of the Loans, the Commitments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71</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w:t>
      </w:r>
    </w:p>
    <w:p>
      <w:pPr>
        <w:pStyle w:val="TextBody"/>
        <w:bidi w:val="0"/>
        <w:spacing w:before="240" w:after="0"/>
        <w:jc w:val="left"/>
        <w:rPr>
          <w:rFonts w:ascii="Times New Roman" w:hAnsi="Times New Roman"/>
          <w:sz w:val="20"/>
        </w:rPr>
      </w:pPr>
      <w:r>
        <w:rPr>
          <w:rFonts w:ascii="Times New Roman" w:hAnsi="Times New Roman"/>
          <w:sz w:val="20"/>
        </w:rPr>
        <w:t>(b) In addition, unless either (1)</w:t>
      </w:r>
      <w:r>
        <w:rPr>
          <w:rFonts w:ascii="Times New Roman" w:hAnsi="Times New Roman"/>
          <w:sz w:val="20"/>
          <w:u w:val="single"/>
        </w:rPr>
        <w:t> sub-clause (i)</w:t>
      </w:r>
      <w:r>
        <w:rPr>
          <w:rFonts w:ascii="Times New Roman" w:hAnsi="Times New Roman"/>
          <w:sz w:val="20"/>
        </w:rPr>
        <w:t xml:space="preserve"> in the immediately preceding </w:t>
      </w:r>
      <w:r>
        <w:rPr>
          <w:rFonts w:ascii="Times New Roman" w:hAnsi="Times New Roman"/>
          <w:sz w:val="20"/>
          <w:u w:val="single"/>
        </w:rPr>
        <w:t>clause (a)</w:t>
      </w:r>
      <w:r>
        <w:rPr>
          <w:rFonts w:ascii="Times New Roman" w:hAnsi="Times New Roman"/>
          <w:sz w:val="20"/>
        </w:rPr>
        <w:t xml:space="preserve"> is true with respect to a Lender or (2) a Lender has provided another representation, warranty and covenant in accordance with sub-clause (iv) in the immediately preceding </w:t>
      </w:r>
      <w:r>
        <w:rPr>
          <w:rFonts w:ascii="Times New Roman" w:hAnsi="Times New Roman"/>
          <w:sz w:val="20"/>
          <w:u w:val="single"/>
        </w:rPr>
        <w:t>clause (a)</w:t>
      </w:r>
      <w:r>
        <w:rPr>
          <w:rFonts w:ascii="Times New Roman" w:hAnsi="Times New Roman"/>
          <w:sz w:val="20"/>
        </w:rPr>
        <w:t xml:space="preserve">,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 </w:t>
      </w:r>
    </w:p>
    <w:p>
      <w:pPr>
        <w:pStyle w:val="TextBody"/>
        <w:bidi w:val="0"/>
        <w:spacing w:before="240" w:after="0"/>
        <w:jc w:val="left"/>
        <w:rPr>
          <w:rFonts w:ascii="Times New Roman" w:hAnsi="Times New Roman"/>
          <w:sz w:val="20"/>
        </w:rPr>
      </w:pPr>
      <w:r>
        <w:rPr>
          <w:rFonts w:ascii="Times New Roman" w:hAnsi="Times New Roman"/>
          <w:b/>
          <w:sz w:val="20"/>
        </w:rPr>
        <w:t>9.11</w:t>
      </w:r>
      <w:r>
        <w:rPr>
          <w:rFonts w:ascii="Times New Roman" w:hAnsi="Times New Roman"/>
          <w:sz w:val="20"/>
        </w:rPr>
        <w:t xml:space="preserve"> </w:t>
      </w:r>
      <w:r>
        <w:rPr>
          <w:rFonts w:ascii="Times New Roman" w:hAnsi="Times New Roman"/>
          <w:b/>
          <w:sz w:val="20"/>
          <w:u w:val="single"/>
        </w:rPr>
        <w:t>Recovery of Erroneous Payments</w:t>
      </w:r>
      <w:r>
        <w:rPr>
          <w:rFonts w:ascii="Times New Roman" w:hAnsi="Times New Roman"/>
          <w:sz w:val="20"/>
        </w:rPr>
        <w:t xml:space="preserve">. Without limitation of any other provision in this Agreement, if at any time the Administrative Agent makes a payment hereunder in error to any Lender, whether or not in respect of an Obligation due and owing by any Borrower at such time, where such payment is a Rescindable Amount, then in any such event, each Lender receiving a Rescindable Amount severally agrees to repay to the Administrative Agent forthwith on demand the Rescindable Amount received by such Lender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b/>
          <w:sz w:val="20"/>
        </w:rPr>
        <w:t>10.01</w:t>
      </w:r>
      <w:r>
        <w:rPr>
          <w:rFonts w:ascii="Times New Roman" w:hAnsi="Times New Roman"/>
          <w:sz w:val="20"/>
        </w:rPr>
        <w:t xml:space="preserve"> </w:t>
      </w:r>
      <w:r>
        <w:rPr>
          <w:rFonts w:ascii="Times New Roman" w:hAnsi="Times New Roman"/>
          <w:b/>
          <w:sz w:val="20"/>
          <w:u w:val="single"/>
        </w:rPr>
        <w:t>Amendments,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w:t>
      </w:r>
      <w:r>
        <w:rPr>
          <w:rFonts w:ascii="Times New Roman" w:hAnsi="Times New Roman"/>
          <w:sz w:val="20"/>
          <w:u w:val="single"/>
        </w:rPr>
        <w:t>Section 3.03</w:t>
      </w:r>
      <w:r>
        <w:rPr>
          <w:rFonts w:ascii="Times New Roman" w:hAnsi="Times New Roman"/>
          <w:sz w:val="20"/>
        </w:rPr>
        <w:t xml:space="preserve">, no amendment or waiver of any provision of this Agreement or any other Loan Document, and no consent to any departure by the Company or any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amendment, waiver or consent shall: </w:t>
      </w:r>
    </w:p>
    <w:p>
      <w:pPr>
        <w:pStyle w:val="TextBody"/>
        <w:bidi w:val="0"/>
        <w:spacing w:before="120" w:after="0"/>
        <w:jc w:val="left"/>
        <w:rPr>
          <w:rFonts w:ascii="Times New Roman" w:hAnsi="Times New Roman"/>
          <w:sz w:val="20"/>
        </w:rPr>
      </w:pPr>
      <w:r>
        <w:rPr>
          <w:rFonts w:ascii="Times New Roman" w:hAnsi="Times New Roman"/>
          <w:sz w:val="20"/>
        </w:rPr>
        <w:t xml:space="preserve">(i) extend or increase the Commitment of any Lender (or reinstate any Commitment terminated pursuant to </w:t>
      </w:r>
      <w:r>
        <w:rPr>
          <w:rFonts w:ascii="Times New Roman" w:hAnsi="Times New Roman"/>
          <w:sz w:val="20"/>
          <w:u w:val="single"/>
        </w:rPr>
        <w:t>Section 8.02</w:t>
      </w:r>
      <w:r>
        <w:rPr>
          <w:rFonts w:ascii="Times New Roman" w:hAnsi="Times New Roman"/>
          <w:sz w:val="20"/>
        </w:rPr>
        <w:t xml:space="preserve">) without the written consent of such Lender (it being understood and agreed that a waiver of any condition precedent set forth in </w:t>
      </w:r>
      <w:r>
        <w:rPr>
          <w:rFonts w:ascii="Times New Roman" w:hAnsi="Times New Roman"/>
          <w:sz w:val="20"/>
          <w:u w:val="single"/>
        </w:rPr>
        <w:t>Section 4.02</w:t>
      </w:r>
      <w:r>
        <w:rPr>
          <w:rFonts w:ascii="Times New Roman" w:hAnsi="Times New Roman"/>
          <w:sz w:val="20"/>
        </w:rPr>
        <w:t xml:space="preserve"> or of any Default or a mandatory reduction in Commitments, if any, is not considered an extension or increase in Commitments of any Lender);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72</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(ii) postpone any date fixed by this Agreement or any other Loan Document for any payment (excluding mandatory prepayments) of principal, interest, fees or other amounts due to the Lenders (or any of them) or any scheduled or mandatory reduction of the Aggregate Commitments hereunder or under any other Loan Document, if any</w:t>
      </w:r>
      <w:r>
        <w:rPr>
          <w:rFonts w:ascii="Times New Roman" w:hAnsi="Times New Roman"/>
          <w:b/>
          <w:sz w:val="20"/>
        </w:rPr>
        <w:t xml:space="preserve">, </w:t>
      </w:r>
      <w:r>
        <w:rPr>
          <w:rFonts w:ascii="Times New Roman" w:hAnsi="Times New Roman"/>
          <w:sz w:val="20"/>
        </w:rPr>
        <w:t xml:space="preserve">without the written consent of each Lender entitled to receive such payment or whose Commitments are to be reduced; </w:t>
      </w:r>
    </w:p>
    <w:p>
      <w:pPr>
        <w:pStyle w:val="TextBody"/>
        <w:bidi w:val="0"/>
        <w:spacing w:before="120" w:after="0"/>
        <w:jc w:val="left"/>
        <w:rPr>
          <w:rFonts w:ascii="Times New Roman" w:hAnsi="Times New Roman"/>
          <w:sz w:val="20"/>
        </w:rPr>
      </w:pPr>
      <w:r>
        <w:rPr>
          <w:rFonts w:ascii="Times New Roman" w:hAnsi="Times New Roman"/>
          <w:sz w:val="20"/>
        </w:rPr>
        <w:t xml:space="preserve">(iii) reduce the principal of, or the rate of interest specified herein on, any Loan, or (subject to </w:t>
      </w:r>
      <w:r>
        <w:rPr>
          <w:rFonts w:ascii="Times New Roman" w:hAnsi="Times New Roman"/>
          <w:sz w:val="20"/>
          <w:u w:val="single"/>
        </w:rPr>
        <w:t xml:space="preserve">clause </w:t>
      </w:r>
      <w:r>
        <w:rPr>
          <w:rFonts w:ascii="Times New Roman" w:hAnsi="Times New Roman"/>
          <w:b/>
          <w:sz w:val="20"/>
          <w:u w:val="single"/>
        </w:rPr>
        <w:t>Error! Reference source not found.</w:t>
      </w:r>
      <w:r>
        <w:rPr>
          <w:rFonts w:ascii="Times New Roman" w:hAnsi="Times New Roman"/>
          <w:sz w:val="20"/>
        </w:rPr>
        <w:t xml:space="preserve"> of the final proviso to this </w:t>
      </w:r>
      <w:r>
        <w:rPr>
          <w:rFonts w:ascii="Times New Roman" w:hAnsi="Times New Roman"/>
          <w:sz w:val="20"/>
          <w:u w:val="single"/>
        </w:rPr>
        <w:t>Section 10.01</w:t>
      </w:r>
      <w:r>
        <w:rPr>
          <w:rFonts w:ascii="Times New Roman" w:hAnsi="Times New Roman"/>
          <w:sz w:val="20"/>
        </w:rPr>
        <w:t xml:space="preserve">) any fees or other amounts payable hereunder or under any other Loan Document without the written consent of each Lender entitled to receive such payment of principal, interest, fees or other amounts;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only the consent of the Required Lenders shall be necessary to amend the definition of “Default Rate” or to waive any obligation of any Borrower to pay interest at the Default Rate; </w:t>
      </w:r>
    </w:p>
    <w:p>
      <w:pPr>
        <w:pStyle w:val="TextBody"/>
        <w:bidi w:val="0"/>
        <w:spacing w:before="120" w:after="0"/>
        <w:jc w:val="left"/>
        <w:rPr>
          <w:rFonts w:ascii="Times New Roman" w:hAnsi="Times New Roman"/>
          <w:sz w:val="20"/>
        </w:rPr>
      </w:pPr>
      <w:r>
        <w:rPr>
          <w:rFonts w:ascii="Times New Roman" w:hAnsi="Times New Roman"/>
          <w:sz w:val="20"/>
        </w:rPr>
        <w:t xml:space="preserve">(iv) change </w:t>
      </w:r>
      <w:r>
        <w:rPr>
          <w:rFonts w:ascii="Times New Roman" w:hAnsi="Times New Roman"/>
          <w:sz w:val="20"/>
          <w:u w:val="single"/>
        </w:rPr>
        <w:t>Section 2.13</w:t>
      </w:r>
      <w:r>
        <w:rPr>
          <w:rFonts w:ascii="Times New Roman" w:hAnsi="Times New Roman"/>
          <w:sz w:val="20"/>
        </w:rPr>
        <w:t xml:space="preserve"> or </w:t>
      </w:r>
      <w:r>
        <w:rPr>
          <w:rFonts w:ascii="Times New Roman" w:hAnsi="Times New Roman"/>
          <w:sz w:val="20"/>
          <w:u w:val="single"/>
        </w:rPr>
        <w:t>Section 8.03</w:t>
      </w:r>
      <w:r>
        <w:rPr>
          <w:rFonts w:ascii="Times New Roman" w:hAnsi="Times New Roman"/>
          <w:sz w:val="20"/>
        </w:rPr>
        <w:t xml:space="preserve"> in a manner that would alter the pro rata sharing of payments or waterfall provisions required thereby without the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(v) change any provision of this </w:t>
      </w:r>
      <w:r>
        <w:rPr>
          <w:rFonts w:ascii="Times New Roman" w:hAnsi="Times New Roman"/>
          <w:sz w:val="20"/>
          <w:u w:val="single"/>
        </w:rPr>
        <w:t>Section 10.01</w:t>
      </w:r>
      <w:r>
        <w:rPr>
          <w:rFonts w:ascii="Times New Roman" w:hAnsi="Times New Roman"/>
          <w:sz w:val="20"/>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(vi) amend </w:t>
      </w:r>
      <w:r>
        <w:rPr>
          <w:rFonts w:ascii="Times New Roman" w:hAnsi="Times New Roman"/>
          <w:sz w:val="20"/>
          <w:u w:val="single"/>
        </w:rPr>
        <w:t>Section 1.07</w:t>
      </w:r>
      <w:r>
        <w:rPr>
          <w:rFonts w:ascii="Times New Roman" w:hAnsi="Times New Roman"/>
          <w:sz w:val="20"/>
        </w:rPr>
        <w:t xml:space="preserve"> or the definition of “Alternative Currency”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(vii) release the Company from its obligations under the Company Guaranty; or </w:t>
      </w:r>
    </w:p>
    <w:p>
      <w:pPr>
        <w:pStyle w:val="TextBody"/>
        <w:bidi w:val="0"/>
        <w:spacing w:before="120" w:after="0"/>
        <w:jc w:val="left"/>
        <w:rPr>
          <w:rFonts w:ascii="Times New Roman" w:hAnsi="Times New Roman"/>
          <w:sz w:val="20"/>
        </w:rPr>
      </w:pPr>
      <w:r>
        <w:rPr>
          <w:rFonts w:ascii="Times New Roman" w:hAnsi="Times New Roman"/>
          <w:sz w:val="20"/>
        </w:rPr>
        <w:t xml:space="preserve">(viii) unless also signed by the Administrative Agent, affect the rights or duties of the Administrative Agent under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to the contrary herein, (a) the Agent Fee Letter may be amended, or rights or privileges thereunder waived, in a writing executed only by the parties thereto, (b)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 (c)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(d) the definition of “Alternative Currency” or “Alternative Currency Daily Rate” or “Alternative Currency Term Rate” or </w:t>
      </w:r>
      <w:r>
        <w:rPr>
          <w:rFonts w:ascii="Times New Roman" w:hAnsi="Times New Roman"/>
          <w:sz w:val="20"/>
          <w:u w:val="single"/>
        </w:rPr>
        <w:t>Section 1.07</w:t>
      </w:r>
      <w:r>
        <w:rPr>
          <w:rFonts w:ascii="Times New Roman" w:hAnsi="Times New Roman"/>
          <w:sz w:val="20"/>
        </w:rPr>
        <w:t xml:space="preserve"> may be amended solely to add additional currency options and the applicable interest rate with respect thereto, in each case solely to the extent permitted pursuant to </w:t>
      </w:r>
      <w:r>
        <w:rPr>
          <w:rFonts w:ascii="Times New Roman" w:hAnsi="Times New Roman"/>
          <w:sz w:val="20"/>
          <w:u w:val="single"/>
        </w:rPr>
        <w:t>Section 1.07</w:t>
      </w:r>
      <w:r>
        <w:rPr>
          <w:rFonts w:ascii="Times New Roman" w:hAnsi="Times New Roman"/>
          <w:sz w:val="20"/>
        </w:rPr>
        <w:t xml:space="preserve"> and (e) the Required Lenders shall determine whether or not to allow a Borrower to use cash collateral in the context of a bankruptcy or insolvency proceeding and such determination shall be binding on all of the Lenders.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73</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10.02</w:t>
      </w:r>
      <w:r>
        <w:rPr>
          <w:rFonts w:ascii="Times New Roman" w:hAnsi="Times New Roman"/>
          <w:sz w:val="20"/>
        </w:rPr>
        <w:t xml:space="preserve"> </w:t>
      </w:r>
      <w:r>
        <w:rPr>
          <w:rFonts w:ascii="Times New Roman" w:hAnsi="Times New Roman"/>
          <w:b/>
          <w:sz w:val="20"/>
          <w:u w:val="single"/>
        </w:rPr>
        <w:t>Notices; Effectiveness; Electronic Communication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 Generally.</w:t>
      </w:r>
      <w:r>
        <w:rPr>
          <w:rFonts w:ascii="Times New Roman" w:hAnsi="Times New Roman"/>
          <w:sz w:val="20"/>
        </w:rPr>
        <w:t xml:space="preserve"> Except in the case of notices and other communications expressly permitted to be given by telephone (and except as provided in </w:t>
      </w:r>
      <w:r>
        <w:rPr>
          <w:rFonts w:ascii="Times New Roman" w:hAnsi="Times New Roman"/>
          <w:sz w:val="20"/>
          <w:u w:val="single"/>
        </w:rPr>
        <w:t>clause (b)</w:t>
      </w:r>
      <w:r>
        <w:rPr>
          <w:rFonts w:ascii="Times New Roman" w:hAnsi="Times New Roman"/>
          <w:sz w:val="20"/>
        </w:rPr>
        <w:t xml:space="preserve">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any Borrower or the Administrative Agent, to the address, facsimile number, electronic mail address or telephone number specified for such Person on </w:t>
      </w:r>
      <w:r>
        <w:rPr>
          <w:rFonts w:ascii="Times New Roman" w:hAnsi="Times New Roman"/>
          <w:sz w:val="20"/>
          <w:u w:val="single"/>
        </w:rPr>
        <w:t>Schedule 10.02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if to any Lender, to the address, facsimile number, electronic mail address or telephone number specified in its Administrative Questionnaire. </w:t>
      </w:r>
    </w:p>
    <w:p>
      <w:pPr>
        <w:pStyle w:val="TextBody"/>
        <w:bidi w:val="0"/>
        <w:spacing w:before="240" w:after="0"/>
        <w:jc w:val="left"/>
        <w:rPr>
          <w:rFonts w:ascii="Times New Roman" w:hAnsi="Times New Roman"/>
          <w:sz w:val="20"/>
        </w:rPr>
      </w:pPr>
      <w:r>
        <w:rPr>
          <w:rFonts w:ascii="Times New Roman" w:hAnsi="Times New Roman"/>
          <w:sz w:val="20"/>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such notices shall be deemed to have been given at the opening of business on the next business day for the recipient). Notices and other communications delivered through electronic communications to the extent provided in </w:t>
      </w:r>
      <w:r>
        <w:rPr>
          <w:rFonts w:ascii="Times New Roman" w:hAnsi="Times New Roman"/>
          <w:sz w:val="20"/>
          <w:u w:val="single"/>
        </w:rPr>
        <w:t>clause (b)</w:t>
      </w:r>
      <w:r>
        <w:rPr>
          <w:rFonts w:ascii="Times New Roman" w:hAnsi="Times New Roman"/>
          <w:sz w:val="20"/>
        </w:rPr>
        <w:t xml:space="preserve"> below, shall be effective as provided in such </w:t>
      </w:r>
      <w:r>
        <w:rPr>
          <w:rFonts w:ascii="Times New Roman" w:hAnsi="Times New Roman"/>
          <w:sz w:val="20"/>
          <w:u w:val="single"/>
        </w:rPr>
        <w:t>clause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Communications</w:t>
      </w:r>
      <w:r>
        <w:rPr>
          <w:rFonts w:ascii="Times New Roman" w:hAnsi="Times New Roman"/>
          <w:sz w:val="20"/>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Lender pursuant to Article</w:t>
      </w:r>
      <w:r>
        <w:rPr>
          <w:rFonts w:ascii="Times New Roman" w:hAnsi="Times New Roman"/>
          <w:sz w:val="20"/>
          <w:u w:val="single"/>
        </w:rPr>
        <w:t xml:space="preserve"> II</w:t>
      </w:r>
      <w:r>
        <w:rPr>
          <w:rFonts w:ascii="Times New Roman" w:hAnsi="Times New Roman"/>
          <w:sz w:val="20"/>
        </w:rPr>
        <w:t xml:space="preserve"> if such Lender has notified the Administrative Agent that it is incapable of receiving notices under such Article by electronic communication. The Administrative Agent or the Company may each, in its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hAnsi="Times New Roman"/>
          <w:sz w:val="20"/>
          <w:u w:val="single"/>
        </w:rPr>
        <w:t>clause (i)</w:t>
      </w:r>
      <w:r>
        <w:rPr>
          <w:rFonts w:ascii="Times New Roman" w:hAnsi="Times New Roman"/>
          <w:sz w:val="20"/>
        </w:rPr>
        <w:t xml:space="preserve"> of notification that such notice or communication is available and identifying the website address therefor; </w:t>
      </w:r>
      <w:r>
        <w:rPr>
          <w:rFonts w:ascii="Times New Roman" w:hAnsi="Times New Roman"/>
          <w:sz w:val="20"/>
          <w:u w:val="single"/>
        </w:rPr>
        <w:t>provided</w:t>
      </w:r>
      <w:r>
        <w:rPr>
          <w:rFonts w:ascii="Times New Roman" w:hAnsi="Times New Roman"/>
          <w:sz w:val="20"/>
        </w:rPr>
        <w:t xml:space="preserve"> that if such notice or other communication is not sent during the normal business hours of the recipient, such notice or communication shall be deemed to have been sent at the opening of business on the next Business Day for the recipient.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The Platform</w:t>
      </w:r>
      <w:r>
        <w:rPr>
          <w:rFonts w:ascii="Times New Roman" w:hAnsi="Times New Roman"/>
          <w:sz w:val="20"/>
        </w:rPr>
        <w:t xml:space="preserve">.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74</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Administrative Agent or any of its Related Parties (collectively, the “</w:t>
      </w:r>
      <w:r>
        <w:rPr>
          <w:rFonts w:ascii="Times New Roman" w:hAnsi="Times New Roman"/>
          <w:sz w:val="20"/>
          <w:u w:val="single"/>
        </w:rPr>
        <w:t>Agent Parties</w:t>
      </w:r>
      <w:r>
        <w:rPr>
          <w:rFonts w:ascii="Times New Roman" w:hAnsi="Times New Roman"/>
          <w:sz w:val="20"/>
        </w:rPr>
        <w:t xml:space="preserve">”) have any liability to any Borrower, any Lender or any other Person for losses, claims, damages, liabilities or expenses of any kind (whether in tort, contract or otherwise) arising out of any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any Agent Party have any liability to any Borrower, any Lender or any other Person for indirect, special, incidental, consequential or punitive damages (as opposed to direct or actual damages).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Change of Address, Etc</w:t>
      </w:r>
      <w:r>
        <w:rPr>
          <w:rFonts w:ascii="Times New Roman" w:hAnsi="Times New Roman"/>
          <w:sz w:val="20"/>
        </w:rPr>
        <w:t xml:space="preserve">. Each of the Borrowers and the Administrative Agent may change its address, facsimile or telephone number for notices and other communications hereunder by notice to the other parties hereto. Each Lender may change its address, facsimile or telephone number for notices and other communications hereunder by notice to the Company and the Administrative Agent. In addition, each Lender agrees to notify the Administrative Agent from time to time as required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Reliance by Administrative Agent and Lenders</w:t>
      </w:r>
      <w:r>
        <w:rPr>
          <w:rFonts w:ascii="Times New Roman" w:hAnsi="Times New Roman"/>
          <w:sz w:val="20"/>
        </w:rPr>
        <w:t xml:space="preserve">. The Administrative Agent and the Lenders shall be entitled to rely and act upon any notices (including telephonic or electronic Committed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 </w:t>
      </w:r>
    </w:p>
    <w:p>
      <w:pPr>
        <w:pStyle w:val="TextBody"/>
        <w:bidi w:val="0"/>
        <w:spacing w:before="240" w:after="0"/>
        <w:jc w:val="left"/>
        <w:rPr>
          <w:rFonts w:ascii="Times New Roman" w:hAnsi="Times New Roman"/>
          <w:sz w:val="20"/>
        </w:rPr>
      </w:pPr>
      <w:r>
        <w:rPr>
          <w:rFonts w:ascii="Times New Roman" w:hAnsi="Times New Roman"/>
          <w:b/>
          <w:sz w:val="20"/>
        </w:rPr>
        <w:t>10.03</w:t>
      </w:r>
      <w:r>
        <w:rPr>
          <w:rFonts w:ascii="Times New Roman" w:hAnsi="Times New Roman"/>
          <w:sz w:val="20"/>
        </w:rPr>
        <w:t xml:space="preserve"> </w:t>
      </w:r>
      <w:r>
        <w:rPr>
          <w:rFonts w:ascii="Times New Roman" w:hAnsi="Times New Roman"/>
          <w:b/>
          <w:sz w:val="20"/>
          <w:u w:val="single"/>
        </w:rPr>
        <w:t>No Waiver; Cumulative Remedies; 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provided hereunder and provided under each other Loan Document are cumulative and not exclusive of any rights, remedies, powers and privileges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75</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accordance with </w:t>
      </w:r>
      <w:r>
        <w:rPr>
          <w:rFonts w:ascii="Times New Roman" w:hAnsi="Times New Roman"/>
          <w:sz w:val="20"/>
          <w:u w:val="single"/>
        </w:rPr>
        <w:t>Section 8.02</w:t>
      </w:r>
      <w:r>
        <w:rPr>
          <w:rFonts w:ascii="Times New Roman" w:hAnsi="Times New Roman"/>
          <w:sz w:val="20"/>
        </w:rPr>
        <w:t xml:space="preserve"> for the benefit of all the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hAnsi="Times New Roman"/>
          <w:sz w:val="20"/>
          <w:u w:val="single"/>
        </w:rPr>
        <w:t>Section 10.08</w:t>
      </w:r>
      <w:r>
        <w:rPr>
          <w:rFonts w:ascii="Times New Roman" w:hAnsi="Times New Roman"/>
          <w:sz w:val="20"/>
        </w:rPr>
        <w:t xml:space="preserve"> (subject to the terms of </w:t>
      </w:r>
      <w:r>
        <w:rPr>
          <w:rFonts w:ascii="Times New Roman" w:hAnsi="Times New Roman"/>
          <w:sz w:val="20"/>
          <w:u w:val="single"/>
        </w:rPr>
        <w:t>Section 2.13</w:t>
      </w:r>
      <w:r>
        <w:rPr>
          <w:rFonts w:ascii="Times New Roman" w:hAnsi="Times New Roman"/>
          <w:sz w:val="20"/>
        </w:rPr>
        <w:t xml:space="preserve">), or (c) any Lender from filing proofs of claim or appearing and filing pleadings on its own behalf during the pendency of a proceeding relative to any Loan Party under any Debtor Relief Law; and </w:t>
      </w:r>
      <w:r>
        <w:rPr>
          <w:rFonts w:ascii="Times New Roman" w:hAnsi="Times New Roman"/>
          <w:sz w:val="20"/>
          <w:u w:val="single"/>
        </w:rPr>
        <w:t>provided further</w:t>
      </w:r>
      <w:r>
        <w:rPr>
          <w:rFonts w:ascii="Times New Roman" w:hAnsi="Times New Roman"/>
          <w:sz w:val="20"/>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hAnsi="Times New Roman"/>
          <w:sz w:val="20"/>
          <w:u w:val="single"/>
        </w:rPr>
        <w:t>Section 8.02</w:t>
      </w:r>
      <w:r>
        <w:rPr>
          <w:rFonts w:ascii="Times New Roman" w:hAnsi="Times New Roman"/>
          <w:sz w:val="20"/>
        </w:rPr>
        <w:t xml:space="preserve"> and (ii) in addition to the matters set forth in </w:t>
      </w:r>
      <w:r>
        <w:rPr>
          <w:rFonts w:ascii="Times New Roman" w:hAnsi="Times New Roman"/>
          <w:sz w:val="20"/>
          <w:u w:val="single"/>
        </w:rPr>
        <w:t xml:space="preserve">clauses </w:t>
      </w:r>
      <w:r>
        <w:rPr>
          <w:rFonts w:ascii="Times New Roman" w:hAnsi="Times New Roman"/>
          <w:b/>
          <w:sz w:val="20"/>
          <w:u w:val="single"/>
        </w:rPr>
        <w:t>Error! Reference source not found.</w:t>
      </w:r>
      <w:r>
        <w:rPr>
          <w:rFonts w:ascii="Times New Roman" w:hAnsi="Times New Roman"/>
          <w:sz w:val="20"/>
        </w:rPr>
        <w:t xml:space="preserve"> (b) and (</w:t>
      </w:r>
      <w:r>
        <w:rPr>
          <w:rFonts w:ascii="Times New Roman" w:hAnsi="Times New Roman"/>
          <w:sz w:val="20"/>
          <w:u w:val="single"/>
        </w:rPr>
        <w:t>c)</w:t>
      </w:r>
      <w:r>
        <w:rPr>
          <w:rFonts w:ascii="Times New Roman" w:hAnsi="Times New Roman"/>
          <w:sz w:val="20"/>
        </w:rPr>
        <w:t xml:space="preserve"> of the preceding proviso and subject to </w:t>
      </w:r>
      <w:r>
        <w:rPr>
          <w:rFonts w:ascii="Times New Roman" w:hAnsi="Times New Roman"/>
          <w:sz w:val="20"/>
          <w:u w:val="single"/>
        </w:rPr>
        <w:t>Section 2.13</w:t>
      </w:r>
      <w:r>
        <w:rPr>
          <w:rFonts w:ascii="Times New Roman" w:hAnsi="Times New Roman"/>
          <w:sz w:val="20"/>
        </w:rPr>
        <w:t xml:space="preserve">, any Lender may, with the consent of the Required Lenders, enforce any rights and remedies available to it and as authorized by the Required Lenders. </w:t>
      </w:r>
    </w:p>
    <w:p>
      <w:pPr>
        <w:pStyle w:val="TextBody"/>
        <w:bidi w:val="0"/>
        <w:spacing w:before="240" w:after="0"/>
        <w:jc w:val="left"/>
        <w:rPr>
          <w:rFonts w:ascii="Times New Roman" w:hAnsi="Times New Roman"/>
          <w:sz w:val="20"/>
        </w:rPr>
      </w:pPr>
      <w:r>
        <w:rPr>
          <w:rFonts w:ascii="Times New Roman" w:hAnsi="Times New Roman"/>
          <w:b/>
          <w:sz w:val="20"/>
        </w:rPr>
        <w:t>10.04</w:t>
      </w:r>
      <w:r>
        <w:rPr>
          <w:rFonts w:ascii="Times New Roman" w:hAnsi="Times New Roman"/>
          <w:sz w:val="20"/>
        </w:rPr>
        <w:t xml:space="preserve"> </w:t>
      </w:r>
      <w:r>
        <w:rPr>
          <w:rFonts w:ascii="Times New Roman" w:hAnsi="Times New Roman"/>
          <w:b/>
          <w:sz w:val="20"/>
          <w:u w:val="single"/>
        </w:rPr>
        <w:t>Expenses; Indemnity; Damage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Costs and Expenses</w:t>
      </w:r>
      <w:r>
        <w:rPr>
          <w:rFonts w:ascii="Times New Roman" w:hAnsi="Times New Roman"/>
          <w:sz w:val="20"/>
        </w:rPr>
        <w:t xml:space="preserve">. The Company shall pay (i) all reasonable out-of-pocket expenses incurred by the Administrative Agent and its Affiliates (including the reasonable fees, charges and disbursements of counsel for the Administrative Agent) in connection with the syndication of the credit facility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after and during the continuation of an Event of Default, all out-of-pocket expenses incurred by the Administrative Agent or any Lender in connection with the enforcement or protection of its rights (A) in connection with this Agreement and the other Loan Documents, including its rights under this </w:t>
      </w:r>
      <w:r>
        <w:rPr>
          <w:rFonts w:ascii="Times New Roman" w:hAnsi="Times New Roman"/>
          <w:sz w:val="20"/>
          <w:u w:val="single"/>
        </w:rPr>
        <w:t>Section 10.04</w:t>
      </w:r>
      <w:r>
        <w:rPr>
          <w:rFonts w:ascii="Times New Roman" w:hAnsi="Times New Roman"/>
          <w:sz w:val="20"/>
        </w:rPr>
        <w:t xml:space="preserve">, or (B) in connection with the Loans made hereunder, including all such out-of-pocket expenses incurred during any workout, restructuring or negotiations in respect of such Loans (including, with respect to </w:t>
      </w:r>
      <w:r>
        <w:rPr>
          <w:rFonts w:ascii="Times New Roman" w:hAnsi="Times New Roman"/>
          <w:sz w:val="20"/>
          <w:u w:val="single"/>
        </w:rPr>
        <w:t>clause (ii)</w:t>
      </w:r>
      <w:r>
        <w:rPr>
          <w:rFonts w:ascii="Times New Roman" w:hAnsi="Times New Roman"/>
          <w:sz w:val="20"/>
        </w:rPr>
        <w:t xml:space="preserve">, the reasonable fees, charges and disbursements of any counsel for the Administrative Agent or any Lender).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by the Company</w:t>
      </w:r>
      <w:r>
        <w:rPr>
          <w:rFonts w:ascii="Times New Roman" w:hAnsi="Times New Roman"/>
          <w:sz w:val="20"/>
        </w:rPr>
        <w:t>. The Company shall indemnify the Administrative Agent (and any sub-agent thereof) and each Lender, and each Related Party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the Company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(ii) any Loan or the use or proposed use of the proceeds therefrom, (iii) any actual or alleged presence or release of Hazardous Materials on or from any property currently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Company or any other Loan Party against an Indemnitee for material breach in bad faith of such Indemnitee’s obligations hereunder or under any other Loan Document, if the Company or such other Loan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76</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Party has obtained a final and nonappealable judgment in its favor on such claim as determined by a court of competent jurisdiction, or (z) arise out of, or in connection with, any investigation, litigation, proceeding or claim that does not involve an act or omission by the Company or any other Loan Party or any of its Affiliates and that is brought by an Indemnitee against any other Indemnitee (other than claims against any Indemnitee in its capacity, or in fulfilling its role, as an agent, arranger, bookrunner or other title holder in respect of this Agreement). Without limiting the provisions of </w:t>
      </w:r>
      <w:r>
        <w:rPr>
          <w:rFonts w:ascii="Times New Roman" w:hAnsi="Times New Roman"/>
          <w:sz w:val="20"/>
          <w:u w:val="single"/>
        </w:rPr>
        <w:t>Section 3.01(c)</w:t>
      </w:r>
      <w:r>
        <w:rPr>
          <w:rFonts w:ascii="Times New Roman" w:hAnsi="Times New Roman"/>
          <w:sz w:val="20"/>
        </w:rPr>
        <w:t xml:space="preserve">, this </w:t>
      </w:r>
      <w:r>
        <w:rPr>
          <w:rFonts w:ascii="Times New Roman" w:hAnsi="Times New Roman"/>
          <w:sz w:val="20"/>
          <w:u w:val="single"/>
        </w:rPr>
        <w:t>Section 10.04(b)</w:t>
      </w:r>
      <w:r>
        <w:rPr>
          <w:rFonts w:ascii="Times New Roman" w:hAnsi="Times New Roman"/>
          <w:sz w:val="20"/>
        </w:rPr>
        <w:t xml:space="preserve"> shall not apply with respect to Taxes other than any Taxes that represent losses, claims, damages or liabilities arising from any non-Tax claim. </w:t>
      </w:r>
    </w:p>
    <w:p>
      <w:pPr>
        <w:pStyle w:val="TextBody"/>
        <w:bidi w:val="0"/>
        <w:spacing w:before="240" w:after="0"/>
        <w:jc w:val="left"/>
        <w:rPr>
          <w:rFonts w:ascii="Times New Roman" w:hAnsi="Times New Roman"/>
          <w:sz w:val="20"/>
        </w:rPr>
      </w:pPr>
      <w:r>
        <w:rPr>
          <w:rFonts w:ascii="Times New Roman" w:hAnsi="Times New Roman"/>
          <w:sz w:val="20"/>
        </w:rPr>
        <w:t xml:space="preserve">(c) Reimbursement by Lenders. To the extent that the Company for any reason fails to indefeasibly pay any amount required under clause (a) or (b) of this Section 10.04 to be paid by it to the Administrative Agent (or any sub-agent thereof) or any of its Related Parties, each Lender severally agrees to pay to the Administrative Agent (or any such sub-agent) or such Related Party, as the case may be, such Lender’s pro rata share of such unpaid amount (including any such unpaid amount in respect of a claim asserted by such Lender), such payment to be made by the Lenders ratably based on their Applicable Percentages (determined as of the time that the applicable unreimbursed expense or indemnity payment is sought); provided that such unreimbursed expense or indemnified loss, claim, damage, liability or related expense, as the case may be, was incurred by or asserted against the Administrative Agent (or any such sub-agent) or against any of its Related Parties acting for the Administrative Agent (or any such sub-agent). The obligations of the Lenders under this clause (c) are subject to the provisions of Section 2.12(d).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Waiver of Consequential Damages, Etc.</w:t>
      </w:r>
      <w:r>
        <w:rPr>
          <w:rFonts w:ascii="Times New Roman" w:hAnsi="Times New Roman"/>
          <w:sz w:val="20"/>
        </w:rPr>
        <w:t xml:space="preserve"> To the fullest extent permitted by applicable law, no Borrower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Times New Roman" w:hAnsi="Times New Roman"/>
          <w:sz w:val="20"/>
          <w:u w:val="single"/>
        </w:rPr>
        <w:t>clause (b)</w:t>
      </w:r>
      <w:r>
        <w:rPr>
          <w:rFonts w:ascii="Times New Roman" w:hAnsi="Times New Roman"/>
          <w:sz w:val="20"/>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Payments</w:t>
      </w:r>
      <w:r>
        <w:rPr>
          <w:rFonts w:ascii="Times New Roman" w:hAnsi="Times New Roman"/>
          <w:sz w:val="20"/>
        </w:rPr>
        <w:t xml:space="preserve">. All amounts due under this </w:t>
      </w:r>
      <w:r>
        <w:rPr>
          <w:rFonts w:ascii="Times New Roman" w:hAnsi="Times New Roman"/>
          <w:sz w:val="20"/>
          <w:u w:val="single"/>
        </w:rPr>
        <w:t>Section 10.04</w:t>
      </w:r>
      <w:r>
        <w:rPr>
          <w:rFonts w:ascii="Times New Roman" w:hAnsi="Times New Roman"/>
          <w:sz w:val="20"/>
        </w:rPr>
        <w:t xml:space="preserve"> shall be payable not later than ten Business Days after demand therefor. </w:t>
      </w:r>
    </w:p>
    <w:p>
      <w:pPr>
        <w:pStyle w:val="TextBody"/>
        <w:bidi w:val="0"/>
        <w:spacing w:before="240" w:after="0"/>
        <w:jc w:val="left"/>
        <w:rPr>
          <w:rFonts w:ascii="Times New Roman" w:hAnsi="Times New Roman"/>
          <w:sz w:val="20"/>
        </w:rPr>
      </w:pPr>
      <w:r>
        <w:rPr>
          <w:rFonts w:ascii="Times New Roman" w:hAnsi="Times New Roman"/>
          <w:sz w:val="20"/>
        </w:rPr>
        <w:t xml:space="preserve">(f) Survival. The agreements in this Section 10.04 and the indemnity provisions of Section 10.02(e) shall survive the resignation of the Administrative Agent, the replacement of any Lender, the termination of the Aggregate Commitments and the repayment, satisfaction or discharge of all the other Obligations. </w:t>
      </w:r>
    </w:p>
    <w:p>
      <w:pPr>
        <w:pStyle w:val="TextBody"/>
        <w:bidi w:val="0"/>
        <w:spacing w:before="240" w:after="0"/>
        <w:jc w:val="left"/>
        <w:rPr>
          <w:rFonts w:ascii="Times New Roman" w:hAnsi="Times New Roman"/>
          <w:sz w:val="20"/>
        </w:rPr>
      </w:pPr>
      <w:r>
        <w:rPr>
          <w:rFonts w:ascii="Times New Roman" w:hAnsi="Times New Roman"/>
          <w:b/>
          <w:sz w:val="20"/>
        </w:rPr>
        <w:t>10.05</w:t>
      </w:r>
      <w:r>
        <w:rPr>
          <w:rFonts w:ascii="Times New Roman" w:hAnsi="Times New Roman"/>
          <w:sz w:val="20"/>
        </w:rPr>
        <w:t xml:space="preserve"> </w:t>
      </w:r>
      <w:r>
        <w:rPr>
          <w:rFonts w:ascii="Times New Roman" w:hAnsi="Times New Roman"/>
          <w:b/>
          <w:sz w:val="20"/>
          <w:u w:val="single"/>
        </w:rPr>
        <w:t>Payments Set Aside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payment by or on behalf of any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and to the extent permitted by applicable Law, the obligation or part thereof originally intended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77</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under </w:t>
      </w:r>
      <w:r>
        <w:rPr>
          <w:rFonts w:ascii="Times New Roman" w:hAnsi="Times New Roman"/>
          <w:sz w:val="20"/>
          <w:u w:val="single"/>
        </w:rPr>
        <w:t>clause (b)</w:t>
      </w:r>
      <w:r>
        <w:rPr>
          <w:rFonts w:ascii="Times New Roman" w:hAnsi="Times New Roman"/>
          <w:sz w:val="20"/>
        </w:rPr>
        <w:t xml:space="preserve"> of the preceding sentence shall survive the payment in full of the Obligations and the termination of this Agreement. </w:t>
      </w:r>
    </w:p>
    <w:p>
      <w:pPr>
        <w:pStyle w:val="TextBody"/>
        <w:bidi w:val="0"/>
        <w:spacing w:before="240" w:after="0"/>
        <w:jc w:val="left"/>
        <w:rPr>
          <w:rFonts w:ascii="Times New Roman" w:hAnsi="Times New Roman"/>
          <w:sz w:val="20"/>
        </w:rPr>
      </w:pPr>
      <w:r>
        <w:rPr>
          <w:rFonts w:ascii="Times New Roman" w:hAnsi="Times New Roman"/>
          <w:b/>
          <w:sz w:val="20"/>
        </w:rPr>
        <w:t>10.06</w:t>
      </w:r>
      <w:r>
        <w:rPr>
          <w:rFonts w:ascii="Times New Roman" w:hAnsi="Times New Roman"/>
          <w:sz w:val="20"/>
        </w:rPr>
        <w:t xml:space="preserve"> </w:t>
      </w:r>
      <w:r>
        <w:rPr>
          <w:rFonts w:ascii="Times New Roman" w:hAnsi="Times New Roman"/>
          <w:b/>
          <w:sz w:val="20"/>
          <w:u w:val="single"/>
        </w:rPr>
        <w:t>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 Generally</w:t>
      </w:r>
      <w:r>
        <w:rPr>
          <w:rFonts w:ascii="Times New Roman" w:hAnsi="Times New Roman"/>
          <w:sz w:val="20"/>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hAnsi="Times New Roman"/>
          <w:sz w:val="20"/>
          <w:u w:val="single"/>
        </w:rPr>
        <w:t>Section 10.06(b)</w:t>
      </w:r>
      <w:r>
        <w:rPr>
          <w:rFonts w:ascii="Times New Roman" w:hAnsi="Times New Roman"/>
          <w:sz w:val="20"/>
        </w:rPr>
        <w:t xml:space="preserve">, (ii) by way of participation in accordance with the provisions of </w:t>
      </w:r>
      <w:r>
        <w:rPr>
          <w:rFonts w:ascii="Times New Roman" w:hAnsi="Times New Roman"/>
          <w:sz w:val="20"/>
          <w:u w:val="single"/>
        </w:rPr>
        <w:t>Section 10.06(d)</w:t>
      </w:r>
      <w:r>
        <w:rPr>
          <w:rFonts w:ascii="Times New Roman" w:hAnsi="Times New Roman"/>
          <w:sz w:val="20"/>
        </w:rPr>
        <w:t xml:space="preserve">, or (iii) by way of pledge or assignment of a security interest subject to the restrictions of </w:t>
      </w:r>
      <w:r>
        <w:rPr>
          <w:rFonts w:ascii="Times New Roman" w:hAnsi="Times New Roman"/>
          <w:sz w:val="20"/>
          <w:u w:val="single"/>
        </w:rPr>
        <w:t>Section 10.06(f)</w:t>
      </w:r>
      <w:r>
        <w:rPr>
          <w:rFonts w:ascii="Times New Roman" w:hAnsi="Times New Roman"/>
          <w:sz w:val="20"/>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hAnsi="Times New Roman"/>
          <w:sz w:val="20"/>
          <w:u w:val="single"/>
        </w:rPr>
        <w:t>Section 10.06(d)</w:t>
      </w:r>
      <w:r>
        <w:rPr>
          <w:rFonts w:ascii="Times New Roman" w:hAnsi="Times New Roman"/>
          <w:sz w:val="20"/>
        </w:rPr>
        <w:t xml:space="preserve"> and, to the extent expressly contemplated hereby, the Related Parties of each of the Administrative Agent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Assignments by Lenders</w:t>
      </w:r>
      <w:r>
        <w:rPr>
          <w:rFonts w:ascii="Times New Roman" w:hAnsi="Times New Roman"/>
          <w:sz w:val="20"/>
        </w:rPr>
        <w:t xml:space="preserve">. Any Lender may at any time assign to one or more assignees all or a portion of its rights and obligations under this Agreement and the other Loan Documents (including all or a portion of its Commitment and the Loans at the time owing to it); </w:t>
      </w:r>
      <w:r>
        <w:rPr>
          <w:rFonts w:ascii="Times New Roman" w:hAnsi="Times New Roman"/>
          <w:sz w:val="20"/>
          <w:u w:val="single"/>
        </w:rPr>
        <w:t>provided</w:t>
      </w:r>
      <w:r>
        <w:rPr>
          <w:rFonts w:ascii="Times New Roman" w:hAnsi="Times New Roman"/>
          <w:sz w:val="20"/>
        </w:rPr>
        <w:t xml:space="preserve"> that any such assignment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Minimum Amounts.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 assignment of the entire remaining amount of the assigning Lender’s Commitment and the Loans at the time owing to it or contemporaneous assignments to related Approved Funds that equal at least the amount specified in </w:t>
      </w:r>
      <w:r>
        <w:rPr>
          <w:rFonts w:ascii="Times New Roman" w:hAnsi="Times New Roman"/>
          <w:sz w:val="20"/>
          <w:u w:val="single"/>
        </w:rPr>
        <w:t>clause (b)(i)(B)</w:t>
      </w:r>
      <w:r>
        <w:rPr>
          <w:rFonts w:ascii="Times New Roman" w:hAnsi="Times New Roman"/>
          <w:sz w:val="20"/>
        </w:rPr>
        <w:t xml:space="preserve"> of this Section in the aggregate or in the case of an assignment to a Lender, an Affiliate of a Lender or an Approved Fund, no minimum amount need be assigned; and </w:t>
      </w:r>
    </w:p>
    <w:p>
      <w:pPr>
        <w:pStyle w:val="TextBody"/>
        <w:bidi w:val="0"/>
        <w:spacing w:before="120" w:after="0"/>
        <w:jc w:val="left"/>
        <w:rPr>
          <w:rFonts w:ascii="Times New Roman" w:hAnsi="Times New Roman"/>
          <w:sz w:val="20"/>
        </w:rPr>
      </w:pPr>
      <w:r>
        <w:rPr>
          <w:rFonts w:ascii="Times New Roman" w:hAnsi="Times New Roman"/>
          <w:sz w:val="20"/>
        </w:rPr>
        <w:t xml:space="preserve">(B) in any case not described in clause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$10,000,000 unless each of the Administrative Agent and, so long as no Event of Default has occurred and is continuing, the Company otherwise consents (each such consent not to be unreasonably withheld or delayed).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Proportionate Amounts.</w:t>
      </w:r>
      <w:r>
        <w:rPr>
          <w:rFonts w:ascii="Times New Roman" w:hAnsi="Times New Roman"/>
          <w:sz w:val="20"/>
        </w:rPr>
        <w:t xml:space="preserve"> Each partial assignment shall be made as an assignment of a proportionate part of all the assigning Lender’s rights and obligations under this Agreement with respect to the Loans or the Commitment assigned;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78</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(iii) Required Consents. No consent shall be required for any assignment except to the extent required by clause (b)(i)(B) of this Section and,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consent of the Company (such consent not to be unreasonably withheld or delayed) shall be required unless (1) an Event of Default has occurred and is continuing at the time of such assignment or (2) such assignment is to a Lender, an Affiliate of a Lender or an Approved Fund; and </w:t>
      </w:r>
    </w:p>
    <w:p>
      <w:pPr>
        <w:pStyle w:val="TextBody"/>
        <w:bidi w:val="0"/>
        <w:spacing w:before="120" w:after="0"/>
        <w:jc w:val="left"/>
        <w:rPr>
          <w:rFonts w:ascii="Times New Roman" w:hAnsi="Times New Roman"/>
          <w:sz w:val="20"/>
        </w:rPr>
      </w:pPr>
      <w:r>
        <w:rPr>
          <w:rFonts w:ascii="Times New Roman" w:hAnsi="Times New Roman"/>
          <w:sz w:val="20"/>
        </w:rPr>
        <w:t xml:space="preserve">(B) the consent of the Administrative Agent (such consent not to be unreasonably withheld or delayed) shall be required if such assignment is to a Person that is not a Lender, an Affiliate of such Lender or an Approved Fund with respect to such Lender.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Assignment and Assumption.</w:t>
      </w:r>
      <w:r>
        <w:rPr>
          <w:rFonts w:ascii="Times New Roman" w:hAnsi="Times New Roman"/>
          <w:sz w:val="20"/>
        </w:rPr>
        <w:t xml:space="preserve"> The parties to each assignment shall execute and deliver to the Administrative Agent an Assignment and Assumption, together with a processing and recordation fee in the amount of $3,500;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Administrative Agent may, in its sole discretion, elect to waive such processing and recordation fee in the case of any assignment. The assignee, if it is not a Lender, shall deliver to the Administrative Agent an Administrative Questionnaire.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Assignment to Certain Persons.</w:t>
      </w:r>
      <w:r>
        <w:rPr>
          <w:rFonts w:ascii="Times New Roman" w:hAnsi="Times New Roman"/>
          <w:sz w:val="20"/>
        </w:rPr>
        <w:t xml:space="preserve"> No such assignment shall be made (A) to the Company or any of the Company’s Affiliates or Subsidiaries, (B) to any Defaulting Lender or any of its Subsidiaries or any Person who, upon becoming a Lender hereunder, would constitute any of the foregoing Persons described in this </w:t>
      </w:r>
      <w:r>
        <w:rPr>
          <w:rFonts w:ascii="Times New Roman" w:hAnsi="Times New Roman"/>
          <w:sz w:val="20"/>
          <w:u w:val="single"/>
        </w:rPr>
        <w:t>clause (B)</w:t>
      </w:r>
      <w:r>
        <w:rPr>
          <w:rFonts w:ascii="Times New Roman" w:hAnsi="Times New Roman"/>
          <w:sz w:val="20"/>
        </w:rPr>
        <w:t xml:space="preserve">, or (C) to a natural Person.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Certain Additional Payments.</w:t>
      </w:r>
      <w:r>
        <w:rPr>
          <w:rFonts w:ascii="Times New Roman" w:hAnsi="Times New Roman"/>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240" w:after="0"/>
        <w:jc w:val="left"/>
        <w:rPr>
          <w:rFonts w:ascii="Times New Roman" w:hAnsi="Times New Roman"/>
          <w:sz w:val="20"/>
        </w:rPr>
      </w:pPr>
      <w:r>
        <w:rPr>
          <w:rFonts w:ascii="Times New Roman" w:hAnsi="Times New Roman"/>
          <w:sz w:val="20"/>
        </w:rPr>
        <w:t xml:space="preserve">Subject to acceptance and recording thereof by the Administrative Agent pursuant to </w:t>
      </w:r>
      <w:r>
        <w:rPr>
          <w:rFonts w:ascii="Times New Roman" w:hAnsi="Times New Roman"/>
          <w:sz w:val="20"/>
          <w:u w:val="single"/>
        </w:rPr>
        <w:t>Section 10.06(c)</w:t>
      </w:r>
      <w:r>
        <w:rPr>
          <w:rFonts w:ascii="Times New Roman" w:hAnsi="Times New Roman"/>
          <w:sz w:val="20"/>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sz w:val="20"/>
          <w:u w:val="single"/>
        </w:rPr>
        <w:t>Sections 3.01</w:t>
      </w:r>
      <w:r>
        <w:rPr>
          <w:rFonts w:ascii="Times New Roman" w:hAnsi="Times New Roman"/>
          <w:sz w:val="20"/>
        </w:rPr>
        <w:t xml:space="preserve">, 3.04, 3.05, and 10.04 with respect to facts and circumstances occurring prior to the effective date of such assignment; </w:t>
      </w:r>
      <w:r>
        <w:rPr>
          <w:rFonts w:ascii="Times New Roman" w:hAnsi="Times New Roman"/>
          <w:sz w:val="20"/>
          <w:u w:val="single"/>
        </w:rPr>
        <w:t>provided</w:t>
      </w:r>
      <w:r>
        <w:rPr>
          <w:rFonts w:ascii="Times New Roman" w:hAnsi="Times New Roman"/>
          <w:sz w:val="20"/>
        </w:rPr>
        <w:t xml:space="preserve"> that, except to the extent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79</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clause shall be treated for purposes of this Agreement as a sale by such Lender of a participation in such rights and obligations in accordance with </w:t>
      </w:r>
      <w:r>
        <w:rPr>
          <w:rFonts w:ascii="Times New Roman" w:hAnsi="Times New Roman"/>
          <w:sz w:val="20"/>
          <w:u w:val="single"/>
        </w:rPr>
        <w:t>Section 10.06(d)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 </w:t>
      </w:r>
    </w:p>
    <w:p>
      <w:pPr>
        <w:pStyle w:val="TextBody"/>
        <w:bidi w:val="0"/>
        <w:spacing w:before="240" w:after="0"/>
        <w:jc w:val="left"/>
        <w:rPr>
          <w:rFonts w:ascii="Times New Roman" w:hAnsi="Times New Roman"/>
          <w:sz w:val="20"/>
        </w:rPr>
      </w:pPr>
      <w:r>
        <w:rPr>
          <w:rFonts w:ascii="Times New Roman" w:hAnsi="Times New Roman"/>
          <w:sz w:val="20"/>
        </w:rPr>
        <w:t xml:space="preserve">Upon its receipt of a duly completed Assignment and Assumption executed by an assigning Lender and an assignee, an Administrative Questionnaire completed in respect of the assignee (unless the assignee shall already be a Lender hereunder), the processing and recordation fee referred to in </w:t>
      </w:r>
      <w:r>
        <w:rPr>
          <w:rFonts w:ascii="Times New Roman" w:hAnsi="Times New Roman"/>
          <w:sz w:val="20"/>
          <w:u w:val="single"/>
        </w:rPr>
        <w:t>clause (b)</w:t>
      </w:r>
      <w:r>
        <w:rPr>
          <w:rFonts w:ascii="Times New Roman" w:hAnsi="Times New Roman"/>
          <w:sz w:val="20"/>
        </w:rPr>
        <w:t xml:space="preserve"> above (if applicable), the written consent of the Administrative Agent and, if required, the applicable Borrower to such assignment, and any applicable Tax forms, the Administrative Agent shall (i) accept such Assignment and Assumption and (ii) promptly record the information contained therein in the Register. No assignment shall be effective unless it has been recorded in the Register as provided in this </w:t>
      </w:r>
      <w:r>
        <w:rPr>
          <w:rFonts w:ascii="Times New Roman" w:hAnsi="Times New Roman"/>
          <w:sz w:val="20"/>
          <w:u w:val="single"/>
        </w:rPr>
        <w:t>clause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Any Lender may at any time, without the consent of, or notice to, any Borrower or the Administrative Agent, sell participations to any Person (other than a natural Person, a Defaulting Lender or the Company or any of the Company’s Affiliates or Subsidiaries) (each, a “</w:t>
      </w:r>
      <w:r>
        <w:rPr>
          <w:rFonts w:ascii="Times New Roman" w:hAnsi="Times New Roman"/>
          <w:sz w:val="20"/>
          <w:u w:val="single"/>
        </w:rPr>
        <w:t>Participant</w:t>
      </w:r>
      <w:r>
        <w:rPr>
          <w:rFonts w:ascii="Times New Roman" w:hAnsi="Times New Roman"/>
          <w:sz w:val="20"/>
        </w:rPr>
        <w:t xml:space="preserve">”) in all or a portion of such Lender’s rights and/or obligations under this Agreement (including all or a portion of its Commitment and/or the Loans owing to it); </w:t>
      </w:r>
      <w:r>
        <w:rPr>
          <w:rFonts w:ascii="Times New Roman" w:hAnsi="Times New Roman"/>
          <w:sz w:val="20"/>
          <w:u w:val="single"/>
        </w:rPr>
        <w:t>provided</w:t>
      </w:r>
      <w:r>
        <w:rPr>
          <w:rFonts w:ascii="Times New Roman" w:hAnsi="Times New Roman"/>
          <w:sz w:val="20"/>
        </w:rPr>
        <w:t xml:space="preserve"> that (i) such Lender’s obligations under this Agreement shall remain unchanged, (ii) such Lender shall remain solely responsible to the other parties hereto for the performance of such obligations and (iii) the Borrowers,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hAnsi="Times New Roman"/>
          <w:sz w:val="20"/>
          <w:u w:val="single"/>
        </w:rPr>
        <w:t>Section 10.04(c)</w:t>
      </w:r>
      <w:r>
        <w:rPr>
          <w:rFonts w:ascii="Times New Roman" w:hAnsi="Times New Roman"/>
          <w:sz w:val="20"/>
        </w:rPr>
        <w:t xml:space="preserve"> without regard to the existence of any participation. </w:t>
      </w:r>
    </w:p>
    <w:p>
      <w:pPr>
        <w:pStyle w:val="TextBody"/>
        <w:bidi w:val="0"/>
        <w:spacing w:before="240" w:after="0"/>
        <w:jc w:val="left"/>
        <w:rPr>
          <w:rFonts w:ascii="Times New Roman" w:hAnsi="Times New Roman"/>
          <w:sz w:val="20"/>
        </w:rPr>
      </w:pPr>
      <w:r>
        <w:rPr>
          <w:rFonts w:ascii="Times New Roman" w:hAnsi="Times New Roman"/>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waiver or other modification described in </w:t>
      </w:r>
      <w:r>
        <w:rPr>
          <w:rFonts w:ascii="Times New Roman" w:hAnsi="Times New Roman"/>
          <w:sz w:val="20"/>
          <w:u w:val="single"/>
        </w:rPr>
        <w:t xml:space="preserve">clauses </w:t>
      </w:r>
      <w:r>
        <w:rPr>
          <w:rFonts w:ascii="Times New Roman" w:hAnsi="Times New Roman"/>
          <w:b/>
          <w:sz w:val="20"/>
          <w:u w:val="single"/>
        </w:rPr>
        <w:t>Error! Reference source not found.</w:t>
      </w:r>
      <w:r>
        <w:rPr>
          <w:rFonts w:ascii="Times New Roman" w:hAnsi="Times New Roman"/>
          <w:sz w:val="20"/>
        </w:rPr>
        <w:t xml:space="preserve"> through (</w:t>
      </w:r>
      <w:r>
        <w:rPr>
          <w:rFonts w:ascii="Times New Roman" w:hAnsi="Times New Roman"/>
          <w:sz w:val="20"/>
          <w:u w:val="single"/>
        </w:rPr>
        <w:t>vii)</w:t>
      </w:r>
      <w:r>
        <w:rPr>
          <w:rFonts w:ascii="Times New Roman" w:hAnsi="Times New Roman"/>
          <w:sz w:val="20"/>
        </w:rPr>
        <w:t xml:space="preserve"> of </w:t>
      </w:r>
      <w:r>
        <w:rPr>
          <w:rFonts w:ascii="Times New Roman" w:hAnsi="Times New Roman"/>
          <w:sz w:val="20"/>
          <w:u w:val="single"/>
        </w:rPr>
        <w:t>Section 10.01</w:t>
      </w:r>
      <w:r>
        <w:rPr>
          <w:rFonts w:ascii="Times New Roman" w:hAnsi="Times New Roman"/>
          <w:sz w:val="20"/>
        </w:rPr>
        <w:t xml:space="preserve"> that affects such Participant. Subject to </w:t>
      </w:r>
      <w:r>
        <w:rPr>
          <w:rFonts w:ascii="Times New Roman" w:hAnsi="Times New Roman"/>
          <w:sz w:val="20"/>
          <w:u w:val="single"/>
        </w:rPr>
        <w:t>Section 10.06(e)</w:t>
      </w:r>
      <w:r>
        <w:rPr>
          <w:rFonts w:ascii="Times New Roman" w:hAnsi="Times New Roman"/>
          <w:sz w:val="20"/>
        </w:rPr>
        <w:t xml:space="preserve">, each Borrower agrees that each Participant shall be entitled to the benefits of </w:t>
      </w:r>
      <w:r>
        <w:rPr>
          <w:rFonts w:ascii="Times New Roman" w:hAnsi="Times New Roman"/>
          <w:sz w:val="20"/>
          <w:u w:val="single"/>
        </w:rPr>
        <w:t>Sections 3.01</w:t>
      </w:r>
      <w:r>
        <w:rPr>
          <w:rFonts w:ascii="Times New Roman" w:hAnsi="Times New Roman"/>
          <w:sz w:val="20"/>
        </w:rPr>
        <w:t xml:space="preserve">, 3.04 and 3.05 (it being understood that the documentation required under </w:t>
      </w:r>
      <w:r>
        <w:rPr>
          <w:rFonts w:ascii="Times New Roman" w:hAnsi="Times New Roman"/>
          <w:sz w:val="20"/>
          <w:u w:val="single"/>
        </w:rPr>
        <w:t>Section 3.01</w:t>
      </w:r>
      <w:r>
        <w:rPr>
          <w:rFonts w:ascii="Times New Roman" w:hAnsi="Times New Roman"/>
          <w:sz w:val="20"/>
        </w:rPr>
        <w:t xml:space="preserve"> shall be delivered to the participating Lender), </w:t>
      </w:r>
      <w:r>
        <w:rPr>
          <w:rFonts w:ascii="Times New Roman" w:hAnsi="Times New Roman"/>
          <w:sz w:val="20"/>
          <w:u w:val="single"/>
        </w:rPr>
        <w:t>provided</w:t>
      </w:r>
      <w:r>
        <w:rPr>
          <w:rFonts w:ascii="Times New Roman" w:hAnsi="Times New Roman"/>
          <w:sz w:val="20"/>
        </w:rPr>
        <w:t xml:space="preserve"> that such Participant agrees to be subject to the provisions of </w:t>
      </w:r>
      <w:r>
        <w:rPr>
          <w:rFonts w:ascii="Times New Roman" w:hAnsi="Times New Roman"/>
          <w:sz w:val="20"/>
          <w:u w:val="single"/>
        </w:rPr>
        <w:t>Sections 3.06</w:t>
      </w:r>
      <w:r>
        <w:rPr>
          <w:rFonts w:ascii="Times New Roman" w:hAnsi="Times New Roman"/>
          <w:sz w:val="20"/>
        </w:rPr>
        <w:t xml:space="preserve"> and </w:t>
      </w:r>
      <w:r>
        <w:rPr>
          <w:rFonts w:ascii="Times New Roman" w:hAnsi="Times New Roman"/>
          <w:sz w:val="20"/>
          <w:u w:val="single"/>
        </w:rPr>
        <w:t>10.13</w:t>
      </w:r>
      <w:r>
        <w:rPr>
          <w:rFonts w:ascii="Times New Roman" w:hAnsi="Times New Roman"/>
          <w:sz w:val="20"/>
        </w:rPr>
        <w:t xml:space="preserve"> as if it were an assignee under </w:t>
      </w:r>
      <w:r>
        <w:rPr>
          <w:rFonts w:ascii="Times New Roman" w:hAnsi="Times New Roman"/>
          <w:sz w:val="20"/>
          <w:u w:val="single"/>
        </w:rPr>
        <w:t>Section 10.06(b)</w:t>
      </w:r>
      <w:r>
        <w:rPr>
          <w:rFonts w:ascii="Times New Roman" w:hAnsi="Times New Roman"/>
          <w:sz w:val="20"/>
        </w:rPr>
        <w:t xml:space="preserve">. Each Lender that sells a participation agrees, at the Company’s request and expense, to use reasonable efforts to cooperate with the Borrowers to effectuate the provisions of </w:t>
      </w:r>
      <w:r>
        <w:rPr>
          <w:rFonts w:ascii="Times New Roman" w:hAnsi="Times New Roman"/>
          <w:sz w:val="20"/>
          <w:u w:val="single"/>
        </w:rPr>
        <w:t>Section 3.06</w:t>
      </w:r>
      <w:r>
        <w:rPr>
          <w:rFonts w:ascii="Times New Roman" w:hAnsi="Times New Roman"/>
          <w:sz w:val="20"/>
        </w:rPr>
        <w:t xml:space="preserve"> with respect to any Participant. To the extent permitted by law, each Participant also shall be entitled to the benefits of </w:t>
      </w:r>
      <w:r>
        <w:rPr>
          <w:rFonts w:ascii="Times New Roman" w:hAnsi="Times New Roman"/>
          <w:sz w:val="20"/>
          <w:u w:val="single"/>
        </w:rPr>
        <w:t>Section 10.08</w:t>
      </w:r>
      <w:r>
        <w:rPr>
          <w:rFonts w:ascii="Times New Roman" w:hAnsi="Times New Roman"/>
          <w:sz w:val="20"/>
        </w:rPr>
        <w:t xml:space="preserve"> as though it were a Lender, </w:t>
      </w:r>
      <w:r>
        <w:rPr>
          <w:rFonts w:ascii="Times New Roman" w:hAnsi="Times New Roman"/>
          <w:sz w:val="20"/>
          <w:u w:val="single"/>
        </w:rPr>
        <w:t>provided</w:t>
      </w:r>
      <w:r>
        <w:rPr>
          <w:rFonts w:ascii="Times New Roman" w:hAnsi="Times New Roman"/>
          <w:sz w:val="20"/>
        </w:rPr>
        <w:t xml:space="preserve"> that such Participant agrees to be subject to </w:t>
      </w:r>
      <w:r>
        <w:rPr>
          <w:rFonts w:ascii="Times New Roman" w:hAnsi="Times New Roman"/>
          <w:sz w:val="20"/>
          <w:u w:val="single"/>
        </w:rPr>
        <w:t>Section 2.13</w:t>
      </w:r>
      <w:r>
        <w:rPr>
          <w:rFonts w:ascii="Times New Roman" w:hAnsi="Times New Roman"/>
          <w:sz w:val="20"/>
        </w:rPr>
        <w:t xml:space="preserve"> as though it were a Lender. Each Lender that sells a participation shall, acting solely for this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80</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Limitations upon Participant Rights</w:t>
      </w:r>
      <w:r>
        <w:rPr>
          <w:rFonts w:ascii="Times New Roman" w:hAnsi="Times New Roman"/>
          <w:sz w:val="20"/>
        </w:rPr>
        <w:t xml:space="preserve">. A Participant shall not be entitled to receive any greater payment under </w:t>
      </w:r>
      <w:r>
        <w:rPr>
          <w:rFonts w:ascii="Times New Roman" w:hAnsi="Times New Roman"/>
          <w:sz w:val="20"/>
          <w:u w:val="single"/>
        </w:rPr>
        <w:t>Section 3.01</w:t>
      </w:r>
      <w:r>
        <w:rPr>
          <w:rFonts w:ascii="Times New Roman" w:hAnsi="Times New Roman"/>
          <w:sz w:val="20"/>
        </w:rPr>
        <w:t xml:space="preserve"> or 3.04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w:t>
      </w:r>
      <w:r>
        <w:rPr>
          <w:rFonts w:ascii="Times New Roman" w:hAnsi="Times New Roman"/>
          <w:sz w:val="20"/>
          <w:u w:val="single"/>
        </w:rPr>
        <w:t>Section 3.01</w:t>
      </w:r>
      <w:r>
        <w:rPr>
          <w:rFonts w:ascii="Times New Roman" w:hAnsi="Times New Roman"/>
          <w:sz w:val="20"/>
        </w:rPr>
        <w:t xml:space="preserve"> unless such Participant agrees, for the benefit of the Loan Parties, to comply with </w:t>
      </w:r>
      <w:r>
        <w:rPr>
          <w:rFonts w:ascii="Times New Roman" w:hAnsi="Times New Roman"/>
          <w:sz w:val="20"/>
          <w:u w:val="single"/>
        </w:rPr>
        <w:t>Section 3.01(e)</w:t>
      </w:r>
      <w:r>
        <w:rPr>
          <w:rFonts w:ascii="Times New Roman" w:hAnsi="Times New Roman"/>
          <w:sz w:val="20"/>
        </w:rPr>
        <w:t xml:space="preserve"> as though it were a Lender.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Pledges</w:t>
      </w:r>
      <w:r>
        <w:rPr>
          <w:rFonts w:ascii="Times New Roman" w:hAnsi="Times New Roman"/>
          <w:sz w:val="20"/>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or any other central bank; </w:t>
      </w:r>
      <w:r>
        <w:rPr>
          <w:rFonts w:ascii="Times New Roman" w:hAnsi="Times New Roman"/>
          <w:sz w:val="20"/>
          <w:u w:val="single"/>
        </w:rPr>
        <w:t>provided</w:t>
      </w:r>
      <w:r>
        <w:rPr>
          <w:rFonts w:ascii="Times New Roman" w:hAnsi="Times New Roman"/>
          <w:sz w:val="20"/>
        </w:rPr>
        <w:t xml:space="preserve"> that no such pledge or assignment shall release such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b/>
          <w:sz w:val="20"/>
        </w:rPr>
        <w:t>10.07</w:t>
      </w:r>
      <w:r>
        <w:rPr>
          <w:rFonts w:ascii="Times New Roman" w:hAnsi="Times New Roman"/>
          <w:sz w:val="20"/>
        </w:rPr>
        <w:t xml:space="preserve"> </w:t>
      </w:r>
      <w:r>
        <w:rPr>
          <w:rFonts w:ascii="Times New Roman" w:hAnsi="Times New Roman"/>
          <w:b/>
          <w:sz w:val="20"/>
          <w:u w:val="single"/>
        </w:rPr>
        <w:t>Treatment of Certain Information; 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of the Administrative Agent and the Lenders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by any subpoena or similar legal process, (in which case, the Administrative Agent or such Lender shall use its reasonable efforts, to the extent permitted by law, to notify the Company prior to such disclosure so that the Company may seek, at the Company’s sole expense, a protective order or other appropriate remedy),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Times New Roman" w:hAnsi="Times New Roman"/>
          <w:sz w:val="20"/>
          <w:u w:val="single"/>
        </w:rPr>
        <w:t>Section 10.07</w:t>
      </w:r>
      <w:r>
        <w:rPr>
          <w:rFonts w:ascii="Times New Roman" w:hAnsi="Times New Roman"/>
          <w:sz w:val="20"/>
        </w:rPr>
        <w:t xml:space="preserve">, to (i) any assignee of or Participant in, or any prospective assignee of or Participant in, any of its rights or obligations under this Agreement, (ii) any actual or prospective counterparty (or its Related Parties) to any swap or derivative or other transaction under which payments are to be made by reference to any Borrower and its obligations, this Agreement or payments hereunder or (iii) a potential or actual insurer or reinsurer in connection with providing insurance, reinsurance or credit risk mitigation coverage under which payments are to be made or may be made by reference to this Agreement, (g) with the consent of the Company, (h) any rating agency in connection with rating the Borrower or its Subsidiaries and, in the case of information regarding the closing date, size, type, purpose of and parties to the credit facility established hereunder, to market data collectors, such as league table or other service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81</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providers to the lending industry, including, without limitation, the CUSIP Service Bureau, or (i) to the extent such Information (x) becomes publicly available other than as a result of a breach of this </w:t>
      </w:r>
      <w:r>
        <w:rPr>
          <w:rFonts w:ascii="Times New Roman" w:hAnsi="Times New Roman"/>
          <w:sz w:val="20"/>
          <w:u w:val="single"/>
        </w:rPr>
        <w:t>Section 10.07</w:t>
      </w:r>
      <w:r>
        <w:rPr>
          <w:rFonts w:ascii="Times New Roman" w:hAnsi="Times New Roman"/>
          <w:sz w:val="20"/>
        </w:rPr>
        <w:t xml:space="preserve"> or (y) becomes available to the Administrative Agent, any Lender or any of their respective Affiliates, other than as a result of a breach of this </w:t>
      </w:r>
      <w:r>
        <w:rPr>
          <w:rFonts w:ascii="Times New Roman" w:hAnsi="Times New Roman"/>
          <w:sz w:val="20"/>
          <w:u w:val="single"/>
        </w:rPr>
        <w:t>Section 10.07</w:t>
      </w:r>
      <w:r>
        <w:rPr>
          <w:rFonts w:ascii="Times New Roman" w:hAnsi="Times New Roman"/>
          <w:sz w:val="20"/>
        </w:rPr>
        <w:t xml:space="preserve">, on a nonconfidential basis from a source other than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10.07</w:t>
      </w:r>
      <w:r>
        <w:rPr>
          <w:rFonts w:ascii="Times New Roman" w:hAnsi="Times New Roman"/>
          <w:sz w:val="20"/>
        </w:rPr>
        <w:t>, “</w:t>
      </w:r>
      <w:r>
        <w:rPr>
          <w:rFonts w:ascii="Times New Roman" w:hAnsi="Times New Roman"/>
          <w:sz w:val="20"/>
          <w:u w:val="single"/>
        </w:rPr>
        <w:t>Information</w:t>
      </w:r>
      <w:r>
        <w:rPr>
          <w:rFonts w:ascii="Times New Roman" w:hAnsi="Times New Roman"/>
          <w:sz w:val="20"/>
        </w:rPr>
        <w:t xml:space="preserve">” means all information received from the Company or any Subsidiary relating to the Company or any Subsidiary or any of their respective businesses, other than (a) any such information that is available to the Administrative Agent or any Lender on a nonconfidential basis prior to disclosure by the Company or any Subsidiary and (b) information pertaining to this Agreement of the type routinely provided by arrangers to data service providers, including league table providers, that serve the lending industry. Any Person required to maintain the confidentiality of Information as provided in this </w:t>
      </w:r>
      <w:r>
        <w:rPr>
          <w:rFonts w:ascii="Times New Roman" w:hAnsi="Times New Roman"/>
          <w:sz w:val="20"/>
          <w:u w:val="single"/>
        </w:rPr>
        <w:t>Section 10.07</w:t>
      </w:r>
      <w:r>
        <w:rPr>
          <w:rFonts w:ascii="Times New Roman" w:hAnsi="Times New Roman"/>
          <w:sz w:val="20"/>
        </w:rPr>
        <w:t xml:space="preserve"> shall be considered to have complied with its obligation to do so if such Person has exercised the same degree of care to maintain the confidentiality of such Information as such Person would accord to its own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Each of the Administrative Agent and the Lenders acknowledges that (a) the Information may include material non-public information concerning the Company or any of its Subsidiaries or any of their respective securities, (b) it has developed compliance procedures regarding the use of material non-public information and (c) it will handle such material non-public information in accordance with applicable Law, including United States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nothing in this </w:t>
      </w:r>
      <w:r>
        <w:rPr>
          <w:rFonts w:ascii="Times New Roman" w:hAnsi="Times New Roman"/>
          <w:sz w:val="20"/>
          <w:u w:val="single"/>
        </w:rPr>
        <w:t>Section 10.07</w:t>
      </w:r>
      <w:r>
        <w:rPr>
          <w:rFonts w:ascii="Times New Roman" w:hAnsi="Times New Roman"/>
          <w:sz w:val="20"/>
        </w:rPr>
        <w:t xml:space="preserve"> prohibits any individual from communicating or disclosing information regarding suspected violations of laws, rules, or regulations to a governmental, regulatory, or self-regulatory authority without any notification to any person. </w:t>
      </w:r>
    </w:p>
    <w:p>
      <w:pPr>
        <w:pStyle w:val="TextBody"/>
        <w:bidi w:val="0"/>
        <w:spacing w:before="240" w:after="0"/>
        <w:jc w:val="left"/>
        <w:rPr>
          <w:rFonts w:ascii="Times New Roman" w:hAnsi="Times New Roman"/>
          <w:sz w:val="20"/>
        </w:rPr>
      </w:pPr>
      <w:r>
        <w:rPr>
          <w:rFonts w:ascii="Times New Roman" w:hAnsi="Times New Roman"/>
          <w:b/>
          <w:sz w:val="20"/>
        </w:rPr>
        <w:t>10.08</w:t>
      </w:r>
      <w:r>
        <w:rPr>
          <w:rFonts w:ascii="Times New Roman" w:hAnsi="Times New Roman"/>
          <w:sz w:val="20"/>
        </w:rPr>
        <w:t xml:space="preserve"> </w:t>
      </w:r>
      <w:r>
        <w:rPr>
          <w:rFonts w:ascii="Times New Roman" w:hAnsi="Times New Roman"/>
          <w:b/>
          <w:sz w:val="20"/>
          <w:u w:val="single"/>
        </w:rPr>
        <w:t>Right of Setoff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(i) any Borrower against any and all of the obligations of such Borrower or (ii) any other Loan Party against any and all of the obligations of such Loan Party now or hereafter existing under this Agreement or any other Loan Document to such Lender, irrespective of whether or not such Lender shall have made any demand under this Agreement or any other Loan Document and although such obligations of such Borrower or such Loan Party may be contingent or unmatured or are owed to a branch or office of such Lender different from the branch or office holding such deposit or obligated on such indebtedness; </w:t>
      </w:r>
      <w:r>
        <w:rPr>
          <w:rFonts w:ascii="Times New Roman" w:hAnsi="Times New Roman"/>
          <w:sz w:val="20"/>
          <w:u w:val="single"/>
        </w:rPr>
        <w:t>provided</w:t>
      </w:r>
      <w:r>
        <w:rPr>
          <w:rFonts w:ascii="Times New Roman" w:hAnsi="Times New Roman"/>
          <w:sz w:val="2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sz w:val="20"/>
          <w:u w:val="single"/>
        </w:rPr>
        <w:t>Section 2.17</w:t>
      </w:r>
      <w:r>
        <w:rPr>
          <w:rFonts w:ascii="Times New Roman" w:hAnsi="Times New Roman"/>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may have. Each Lender agrees to notify the Company and the Administrative Agent promptly after any such setoff and application; and </w:t>
      </w:r>
      <w:r>
        <w:rPr>
          <w:rFonts w:ascii="Times New Roman" w:hAnsi="Times New Roman"/>
          <w:sz w:val="20"/>
          <w:u w:val="single"/>
        </w:rPr>
        <w:t>provided</w:t>
      </w:r>
      <w:r>
        <w:rPr>
          <w:rFonts w:ascii="Times New Roman" w:hAnsi="Times New Roman"/>
          <w:sz w:val="20"/>
        </w:rPr>
        <w:t xml:space="preserve">, further, that the failure to give such notice shall not affect the validity of such setoff and application.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82</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10.09</w:t>
      </w:r>
      <w:r>
        <w:rPr>
          <w:rFonts w:ascii="Times New Roman" w:hAnsi="Times New Roman"/>
          <w:sz w:val="20"/>
        </w:rPr>
        <w:t xml:space="preserve"> </w:t>
      </w:r>
      <w:r>
        <w:rPr>
          <w:rFonts w:ascii="Times New Roman" w:hAnsi="Times New Roman"/>
          <w:b/>
          <w:sz w:val="20"/>
          <w:u w:val="single"/>
        </w:rPr>
        <w:t>Interest Rate Limitation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sz w:val="20"/>
          <w:u w:val="single"/>
        </w:rPr>
        <w:t>Maximum Rate</w:t>
      </w:r>
      <w:r>
        <w:rPr>
          <w:rFonts w:ascii="Times New Roman" w:hAnsi="Times New Roman"/>
          <w:sz w:val="20"/>
        </w:rPr>
        <w:t xml:space="preserve">”).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t>
      </w:r>
    </w:p>
    <w:p>
      <w:pPr>
        <w:pStyle w:val="TextBody"/>
        <w:bidi w:val="0"/>
        <w:spacing w:before="240" w:after="0"/>
        <w:jc w:val="left"/>
        <w:rPr>
          <w:rFonts w:ascii="Times New Roman" w:hAnsi="Times New Roman"/>
          <w:sz w:val="20"/>
        </w:rPr>
      </w:pPr>
      <w:r>
        <w:rPr>
          <w:rFonts w:ascii="Times New Roman" w:hAnsi="Times New Roman"/>
          <w:b/>
          <w:sz w:val="20"/>
        </w:rPr>
        <w:t>10.10</w:t>
      </w:r>
      <w:r>
        <w:rPr>
          <w:rFonts w:ascii="Times New Roman" w:hAnsi="Times New Roman"/>
          <w:sz w:val="20"/>
        </w:rPr>
        <w:t xml:space="preserve"> </w:t>
      </w:r>
      <w:r>
        <w:rPr>
          <w:rFonts w:ascii="Times New Roman" w:hAnsi="Times New Roman"/>
          <w:b/>
          <w:sz w:val="20"/>
          <w:u w:val="single"/>
        </w:rPr>
        <w:t>Counterparts; Integration; Effectiveness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sz w:val="20"/>
          <w:u w:val="single"/>
        </w:rPr>
        <w:t>Section 4.01</w:t>
      </w:r>
      <w:r>
        <w:rPr>
          <w:rFonts w:ascii="Times New Roman" w:hAnsi="Times New Roman"/>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(e.g., “pdf” or “tif”) shall be effective as delivery of a manually executed counterpart of this Agreement. </w:t>
      </w:r>
    </w:p>
    <w:p>
      <w:pPr>
        <w:pStyle w:val="TextBody"/>
        <w:bidi w:val="0"/>
        <w:spacing w:before="240" w:after="0"/>
        <w:jc w:val="left"/>
        <w:rPr>
          <w:rFonts w:ascii="Times New Roman" w:hAnsi="Times New Roman"/>
          <w:sz w:val="20"/>
        </w:rPr>
      </w:pPr>
      <w:r>
        <w:rPr>
          <w:rFonts w:ascii="Times New Roman" w:hAnsi="Times New Roman"/>
          <w:b/>
          <w:sz w:val="20"/>
        </w:rPr>
        <w:t>10.11</w:t>
      </w:r>
      <w:r>
        <w:rPr>
          <w:rFonts w:ascii="Times New Roman" w:hAnsi="Times New Roman"/>
          <w:sz w:val="20"/>
        </w:rPr>
        <w:t xml:space="preserve"> </w:t>
      </w:r>
      <w:r>
        <w:rPr>
          <w:rFonts w:ascii="Times New Roman" w:hAnsi="Times New Roman"/>
          <w:b/>
          <w:sz w:val="20"/>
          <w:u w:val="single"/>
        </w:rPr>
        <w:t>Survival of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Committed Borrowing, and shall continue in full force and effect as long as any Loan or any other Obligation hereunder shall remain unpaid or unsatisfied (other than unasserted indemnification, tax gross up, expense reimbursement or yield protection obligations, in each case, for which no claim has been made). </w:t>
      </w:r>
    </w:p>
    <w:p>
      <w:pPr>
        <w:pStyle w:val="TextBody"/>
        <w:bidi w:val="0"/>
        <w:spacing w:before="240" w:after="0"/>
        <w:jc w:val="left"/>
        <w:rPr>
          <w:rFonts w:ascii="Times New Roman" w:hAnsi="Times New Roman"/>
          <w:sz w:val="20"/>
        </w:rPr>
      </w:pPr>
      <w:r>
        <w:rPr>
          <w:rFonts w:ascii="Times New Roman" w:hAnsi="Times New Roman"/>
          <w:b/>
          <w:sz w:val="20"/>
        </w:rPr>
        <w:t>10.12</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hAnsi="Times New Roman"/>
          <w:sz w:val="20"/>
          <w:u w:val="single"/>
        </w:rPr>
        <w:t>Section 10.12</w:t>
      </w:r>
      <w:r>
        <w:rPr>
          <w:rFonts w:ascii="Times New Roman" w:hAnsi="Times New Roman"/>
          <w:sz w:val="20"/>
        </w:rPr>
        <w:t xml:space="preserve">,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83</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10.13</w:t>
      </w:r>
      <w:r>
        <w:rPr>
          <w:rFonts w:ascii="Times New Roman" w:hAnsi="Times New Roman"/>
          <w:sz w:val="20"/>
        </w:rPr>
        <w:t xml:space="preserve"> </w:t>
      </w:r>
      <w:r>
        <w:rPr>
          <w:rFonts w:ascii="Times New Roman" w:hAnsi="Times New Roman"/>
          <w:b/>
          <w:sz w:val="20"/>
          <w:u w:val="single"/>
        </w:rPr>
        <w:t>Replacement of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(i) any Lender requests compensation under </w:t>
      </w:r>
      <w:r>
        <w:rPr>
          <w:rFonts w:ascii="Times New Roman" w:hAnsi="Times New Roman"/>
          <w:sz w:val="20"/>
          <w:u w:val="single"/>
        </w:rPr>
        <w:t>Section 3.04</w:t>
      </w:r>
      <w:r>
        <w:rPr>
          <w:rFonts w:ascii="Times New Roman" w:hAnsi="Times New Roman"/>
          <w:sz w:val="20"/>
        </w:rPr>
        <w:t xml:space="preserve">, (ii) any Borrower is required to pay any additional amount to any Lender or any Governmental Authority for the account of any Lender pursuant to </w:t>
      </w:r>
      <w:r>
        <w:rPr>
          <w:rFonts w:ascii="Times New Roman" w:hAnsi="Times New Roman"/>
          <w:sz w:val="20"/>
          <w:u w:val="single"/>
        </w:rPr>
        <w:t>Section 3.01</w:t>
      </w:r>
      <w:r>
        <w:rPr>
          <w:rFonts w:ascii="Times New Roman" w:hAnsi="Times New Roman"/>
          <w:sz w:val="20"/>
        </w:rPr>
        <w:t xml:space="preserve">, (iii) any Lender does not agree to extend the Maturity Date in accordance with </w:t>
      </w:r>
      <w:r>
        <w:rPr>
          <w:rFonts w:ascii="Times New Roman" w:hAnsi="Times New Roman"/>
          <w:sz w:val="20"/>
          <w:u w:val="single"/>
        </w:rPr>
        <w:t>Section 2.14</w:t>
      </w:r>
      <w:r>
        <w:rPr>
          <w:rFonts w:ascii="Times New Roman" w:hAnsi="Times New Roman"/>
          <w:sz w:val="20"/>
        </w:rPr>
        <w:t xml:space="preserve"> or (iv) any Lender is a Defaulting Lender or a Non-Consenting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hAnsi="Times New Roman"/>
          <w:sz w:val="20"/>
          <w:u w:val="single"/>
        </w:rPr>
        <w:t>Section 10.06(b)</w:t>
      </w:r>
      <w:r>
        <w:rPr>
          <w:rFonts w:ascii="Times New Roman" w:hAnsi="Times New Roman"/>
          <w:sz w:val="20"/>
        </w:rPr>
        <w:t xml:space="preserve">), all of its interests, rights (other than its existing rights to payments pursuant to </w:t>
      </w:r>
      <w:r>
        <w:rPr>
          <w:rFonts w:ascii="Times New Roman" w:hAnsi="Times New Roman"/>
          <w:sz w:val="20"/>
          <w:u w:val="single"/>
        </w:rPr>
        <w:t>Sections 3.01</w:t>
      </w:r>
      <w:r>
        <w:rPr>
          <w:rFonts w:ascii="Times New Roman" w:hAnsi="Times New Roman"/>
          <w:sz w:val="20"/>
        </w:rPr>
        <w:t xml:space="preserve"> and </w:t>
      </w:r>
      <w:r>
        <w:rPr>
          <w:rFonts w:ascii="Times New Roman" w:hAnsi="Times New Roman"/>
          <w:sz w:val="20"/>
          <w:u w:val="single"/>
        </w:rPr>
        <w:t>3.04</w:t>
      </w:r>
      <w:r>
        <w:rPr>
          <w:rFonts w:ascii="Times New Roman" w:hAnsi="Times New Roman"/>
          <w:sz w:val="20"/>
        </w:rPr>
        <w:t xml:space="preserve">) and obligations under this Agreement and the related Loan Documents to an Eligible Assignee that shall assume such obligations (which assignee may be another Lender, if a Lender accepts such assignment);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have paid (or caused a Designated Borrower to pay) to the Administrative Agent the assignment fee specified in </w:t>
      </w:r>
      <w:r>
        <w:rPr>
          <w:rFonts w:ascii="Times New Roman" w:hAnsi="Times New Roman"/>
          <w:sz w:val="20"/>
          <w:u w:val="single"/>
        </w:rPr>
        <w:t>Section 10.06(b)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such Lender shall have received payment of an amount equal to the outstanding principal of its Loans, accrued interest thereon, accrued fees and all other amounts payable to it hereunder and under the other Loan Documents (including any amounts under </w:t>
      </w:r>
      <w:r>
        <w:rPr>
          <w:rFonts w:ascii="Times New Roman" w:hAnsi="Times New Roman"/>
          <w:sz w:val="20"/>
          <w:u w:val="single"/>
        </w:rPr>
        <w:t>Section 3.05</w:t>
      </w:r>
      <w:r>
        <w:rPr>
          <w:rFonts w:ascii="Times New Roman" w:hAnsi="Times New Roman"/>
          <w:sz w:val="20"/>
        </w:rPr>
        <w:t xml:space="preserve">) from the assignee (to the extent of such outstanding principal and accrued interest and fees) or the Company or applicable Designated Borrower (in the case of all other amounts);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any such assignment resulting from a claim for compensation under </w:t>
      </w:r>
      <w:r>
        <w:rPr>
          <w:rFonts w:ascii="Times New Roman" w:hAnsi="Times New Roman"/>
          <w:sz w:val="20"/>
          <w:u w:val="single"/>
        </w:rPr>
        <w:t>Section 3.04</w:t>
      </w:r>
      <w:r>
        <w:rPr>
          <w:rFonts w:ascii="Times New Roman" w:hAnsi="Times New Roman"/>
          <w:sz w:val="20"/>
        </w:rPr>
        <w:t xml:space="preserve"> or payments required to be made pursuant to </w:t>
      </w:r>
      <w:r>
        <w:rPr>
          <w:rFonts w:ascii="Times New Roman" w:hAnsi="Times New Roman"/>
          <w:sz w:val="20"/>
          <w:u w:val="single"/>
        </w:rPr>
        <w:t>Section 3.01</w:t>
      </w:r>
      <w:r>
        <w:rPr>
          <w:rFonts w:ascii="Times New Roman" w:hAnsi="Times New Roman"/>
          <w:sz w:val="20"/>
        </w:rPr>
        <w:t xml:space="preserve">, such assignment will result in a reduction in such compensation or payments thereafter; </w:t>
      </w:r>
    </w:p>
    <w:p>
      <w:pPr>
        <w:pStyle w:val="TextBody"/>
        <w:bidi w:val="0"/>
        <w:spacing w:before="240" w:after="0"/>
        <w:jc w:val="left"/>
        <w:rPr>
          <w:rFonts w:ascii="Times New Roman" w:hAnsi="Times New Roman"/>
          <w:sz w:val="20"/>
        </w:rPr>
      </w:pPr>
      <w:r>
        <w:rPr>
          <w:rFonts w:ascii="Times New Roman" w:hAnsi="Times New Roman"/>
          <w:sz w:val="20"/>
        </w:rPr>
        <w:t xml:space="preserve">(d) such assignment does not conflict with applicable Laws; and </w:t>
      </w:r>
    </w:p>
    <w:p>
      <w:pPr>
        <w:pStyle w:val="TextBody"/>
        <w:bidi w:val="0"/>
        <w:spacing w:before="240" w:after="0"/>
        <w:jc w:val="left"/>
        <w:rPr>
          <w:rFonts w:ascii="Times New Roman" w:hAnsi="Times New Roman"/>
          <w:sz w:val="20"/>
        </w:rPr>
      </w:pPr>
      <w:r>
        <w:rPr>
          <w:rFonts w:ascii="Times New Roman" w:hAnsi="Times New Roman"/>
          <w:sz w:val="20"/>
        </w:rPr>
        <w:t xml:space="preserve">(e) 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 </w:t>
      </w:r>
    </w:p>
    <w:p>
      <w:pPr>
        <w:pStyle w:val="TextBody"/>
        <w:bidi w:val="0"/>
        <w:spacing w:before="240" w:after="0"/>
        <w:jc w:val="left"/>
        <w:rPr>
          <w:rFonts w:ascii="Times New Roman" w:hAnsi="Times New Roman"/>
          <w:sz w:val="20"/>
        </w:rPr>
      </w:pPr>
      <w:r>
        <w:rPr>
          <w:rFonts w:ascii="Times New Roman" w:hAnsi="Times New Roman"/>
          <w:sz w:val="20"/>
        </w:rPr>
        <w:t xml:space="preserve">The failure of a Lender to execute and deliver an Assignment and Assumption shall not impair the validity of the removal of such Lender and the mandatory assignment of such Lender’s Commitments and outstanding Loans pursuant to this </w:t>
      </w:r>
      <w:r>
        <w:rPr>
          <w:rFonts w:ascii="Times New Roman" w:hAnsi="Times New Roman"/>
          <w:sz w:val="20"/>
          <w:u w:val="single"/>
        </w:rPr>
        <w:t>Section 10.13</w:t>
      </w:r>
      <w:r>
        <w:rPr>
          <w:rFonts w:ascii="Times New Roman" w:hAnsi="Times New Roman"/>
          <w:sz w:val="20"/>
        </w:rPr>
        <w:t xml:space="preserve"> shall nevertheless be effective without the execution by such Lender of an Assignment and Assumption. </w:t>
      </w:r>
    </w:p>
    <w:p>
      <w:pPr>
        <w:pStyle w:val="TextBody"/>
        <w:bidi w:val="0"/>
        <w:spacing w:before="240" w:after="0"/>
        <w:jc w:val="left"/>
        <w:rPr>
          <w:rFonts w:ascii="Times New Roman" w:hAnsi="Times New Roman"/>
          <w:sz w:val="20"/>
        </w:rPr>
      </w:pPr>
      <w:r>
        <w:rPr>
          <w:rFonts w:ascii="Times New Roman" w:hAnsi="Times New Roman"/>
          <w:sz w:val="20"/>
        </w:rPr>
        <w:t xml:space="preserve">A Lender shall not be required to make any such assignment or delegation if, prior thereto, as a result of a waiver by such Lender or otherwise, the circumstances entitling the Company to require such assignment and delegation cease to apply. </w:t>
      </w:r>
    </w:p>
    <w:p>
      <w:pPr>
        <w:pStyle w:val="TextBody"/>
        <w:bidi w:val="0"/>
        <w:spacing w:before="240" w:after="0"/>
        <w:jc w:val="left"/>
        <w:rPr>
          <w:rFonts w:ascii="Times New Roman" w:hAnsi="Times New Roman"/>
          <w:sz w:val="20"/>
        </w:rPr>
      </w:pPr>
      <w:r>
        <w:rPr>
          <w:rFonts w:ascii="Times New Roman" w:hAnsi="Times New Roman"/>
          <w:b/>
          <w:sz w:val="20"/>
        </w:rPr>
        <w:t>10.14</w:t>
      </w:r>
      <w:r>
        <w:rPr>
          <w:rFonts w:ascii="Times New Roman" w:hAnsi="Times New Roman"/>
          <w:sz w:val="20"/>
        </w:rPr>
        <w:t xml:space="preserve"> </w:t>
      </w:r>
      <w:r>
        <w:rPr>
          <w:rFonts w:ascii="Times New Roman" w:hAnsi="Times New Roman"/>
          <w:b/>
          <w:sz w:val="20"/>
          <w:u w:val="single"/>
        </w:rPr>
        <w:t>Governing Law; Jurisdiction;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84</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SUBMISSION TO JURISDICTION</w:t>
      </w:r>
      <w:r>
        <w:rPr>
          <w:rFonts w:ascii="Times New Roman" w:hAnsi="Times New Roman"/>
          <w:sz w:val="20"/>
        </w:rPr>
        <w:t xml:space="preserve">. EACH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OTHER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COMPANY OR ITS PROPERTIES IN THE COURTS OF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VENUE</w:t>
      </w:r>
      <w:r>
        <w:rPr>
          <w:rFonts w:ascii="Times New Roman" w:hAnsi="Times New Roman"/>
          <w:sz w:val="20"/>
        </w:rPr>
        <w:t xml:space="preserve">. EACH OF THE BORROWERS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hAnsi="Times New Roman"/>
          <w:sz w:val="20"/>
          <w:u w:val="single"/>
        </w:rPr>
        <w:t>CLAUSE (B)</w:t>
      </w:r>
      <w:r>
        <w:rPr>
          <w:rFonts w:ascii="Times New Roman" w:hAnsi="Times New Roman"/>
          <w:sz w:val="20"/>
        </w:rPr>
        <w:t xml:space="preserve"> OF THIS SECTION. EACH OF THE PARTIES HERETO HEREBY IRREVOCABLY WAIVES, TO THE FULLEST EXTENT PERMITTED BY APPLICABLE LAW, THE DEFENSE OF AN INCONVENIENT FORUM TO THE MAINTENANCE OF SUCH ACTION OR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SERVICE OF PROCESS</w:t>
      </w:r>
      <w:r>
        <w:rPr>
          <w:rFonts w:ascii="Times New Roman" w:hAnsi="Times New Roman"/>
          <w:sz w:val="20"/>
        </w:rPr>
        <w:t xml:space="preserve">. EACH PARTY HERETO IRREVOCABLY CONSENTS TO SERVICE OF PROCESS IN THE MANNER PROVIDED FOR NOTICES IN </w:t>
      </w:r>
      <w:r>
        <w:rPr>
          <w:rFonts w:ascii="Times New Roman" w:hAnsi="Times New Roman"/>
          <w:sz w:val="20"/>
          <w:u w:val="single"/>
        </w:rPr>
        <w:t>SECTION 10.02</w:t>
      </w:r>
      <w:r>
        <w:rPr>
          <w:rFonts w:ascii="Times New Roman" w:hAnsi="Times New Roman"/>
          <w:sz w:val="20"/>
        </w:rPr>
        <w:t xml:space="preserve">. NOTHING IN THIS AGREEMENT WILL AFFECT THE RIGHT OF ANY PARTY HERETO TO SERVE PROCESS IN ANY OTHER MANNER PERMITTED BY APPLICABLE LAW. WITHOUT LIMITING THE FOREGOING, EACH OF THE BORROWERS HEREBY APPOINTS, IN THE CASE OF ANY SUCH ACTION OR PROCEEDING BROUGHT IN THE COURTS OF OR IN THE STATE OF NEW YORK, THE COMPANY, AT THE ADDRESS SPECIFIED IN </w:t>
      </w:r>
      <w:r>
        <w:rPr>
          <w:rFonts w:ascii="Times New Roman" w:hAnsi="Times New Roman"/>
          <w:sz w:val="20"/>
          <w:u w:val="single"/>
        </w:rPr>
        <w:t>SCHEDULE 10.02</w:t>
      </w:r>
      <w:r>
        <w:rPr>
          <w:rFonts w:ascii="Times New Roman" w:hAnsi="Times New Roman"/>
          <w:sz w:val="20"/>
        </w:rPr>
        <w:t xml:space="preserve">, TO RECEIVE FOR IT AND ON ITS BEHALF, SERVICE OF PROCESS IN THE STATE OF NEW YORK WITH RESPECT THERETO. </w:t>
      </w:r>
    </w:p>
    <w:p>
      <w:pPr>
        <w:pStyle w:val="TextBody"/>
        <w:bidi w:val="0"/>
        <w:spacing w:before="240" w:after="0"/>
        <w:jc w:val="left"/>
        <w:rPr>
          <w:rFonts w:ascii="Times New Roman" w:hAnsi="Times New Roman"/>
          <w:sz w:val="20"/>
        </w:rPr>
      </w:pPr>
      <w:r>
        <w:rPr>
          <w:rFonts w:ascii="Times New Roman" w:hAnsi="Times New Roman"/>
          <w:b/>
          <w:sz w:val="20"/>
        </w:rPr>
        <w:t>10.15</w:t>
      </w:r>
      <w:r>
        <w:rPr>
          <w:rFonts w:ascii="Times New Roman" w:hAnsi="Times New Roman"/>
          <w:sz w:val="20"/>
        </w:rPr>
        <w:t xml:space="preserve"> </w:t>
      </w:r>
      <w:r>
        <w:rPr>
          <w:rFonts w:ascii="Times New Roman" w:hAnsi="Times New Roman"/>
          <w:b/>
          <w:sz w:val="20"/>
          <w:u w:val="single"/>
        </w:rPr>
        <w:t>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85</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w:t>
      </w:r>
    </w:p>
    <w:p>
      <w:pPr>
        <w:pStyle w:val="TextBody"/>
        <w:bidi w:val="0"/>
        <w:spacing w:before="240" w:after="0"/>
        <w:jc w:val="left"/>
        <w:rPr>
          <w:rFonts w:ascii="Times New Roman" w:hAnsi="Times New Roman"/>
          <w:sz w:val="20"/>
        </w:rPr>
      </w:pPr>
      <w:r>
        <w:rPr>
          <w:rFonts w:ascii="Times New Roman" w:hAnsi="Times New Roman"/>
          <w:b/>
          <w:sz w:val="20"/>
        </w:rPr>
        <w:t>10.16</w:t>
      </w:r>
      <w:r>
        <w:rPr>
          <w:rFonts w:ascii="Times New Roman" w:hAnsi="Times New Roman"/>
          <w:sz w:val="20"/>
        </w:rPr>
        <w:t xml:space="preserve"> </w:t>
      </w:r>
      <w:r>
        <w:rPr>
          <w:rFonts w:ascii="Times New Roman" w:hAnsi="Times New Roman"/>
          <w:b/>
          <w:sz w:val="20"/>
          <w:u w:val="single"/>
        </w:rPr>
        <w:t>No Advisory or Fiduciary Responsibility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all aspects of each transaction contemplated hereby (including in connection with any amendment, waiver or other modification hereof or of any other Loan Document), each Borrower acknowledges and agrees that: (i) (A) the arranging and other services regarding this Agreement provided by the Administrative Agent, the Lenders and the Arrangers, are arm’s-length commercial transactions between such Borrower and the other Loan Parties and their respective Affiliates, on the one hand, and the Administrative Agent, the Lenders and the Arrangers, on the other hand, (B) such Borrower and each other Loan Party has consulted its own legal, accounting, regulatory and tax advisors to the extent it has deemed appropriate, and (C) such Borrower and each other Loan Party is capable of evaluating, and understands and accepts, the terms, risks and conditions of the transactions contemplated hereby and by the other Loan Documents; (ii) (A) the Administrative Agent, the Lenders and the Arrangers are and have been acting solely as a principal and, except as expressly agreed in writing by the relevant parties, have not been, are not, and will not be acting as an advisor, agent or fiduciary for such Borrower, any other Loan Party or any of their respective Affiliates, or any other Person and (B) none of the Administrative Agent, the Lenders nor the Arrangers have any obligation to such Borrower, any other Loan Party or any of their respective Affiliates with respect to the transactions contemplated hereby except those obligations expressly set forth herein and in the other Loan Documents; and (iii) the Administrative Agent, the Lenders and the Arrangers and their respective Affiliates may be engaged in a broad range of transactions that involve interests that differ from those of such Borrower, the other Loan Parties and their respective Affiliates, and none of the Administrative Agent, the Lenders nor the Arrangers have any obligation to disclose any of such interests to any Borrower, any other Loan Party or any of their respective Affiliates. To the fullest extent permitted by law, each Borrower and each other Loan Party hereby waives and releases any claims that it may have against the Administrative Agent, the Lenders and the Arrangers with respect to any breach or alleged breach of agency or fiduciary duty in connection with any aspect of any transaction contemplated hereby. </w:t>
      </w:r>
    </w:p>
    <w:p>
      <w:pPr>
        <w:pStyle w:val="TextBody"/>
        <w:bidi w:val="0"/>
        <w:spacing w:before="240" w:after="0"/>
        <w:jc w:val="left"/>
        <w:rPr>
          <w:rFonts w:ascii="Times New Roman" w:hAnsi="Times New Roman"/>
          <w:sz w:val="20"/>
        </w:rPr>
      </w:pPr>
      <w:r>
        <w:rPr>
          <w:rFonts w:ascii="Times New Roman" w:hAnsi="Times New Roman"/>
          <w:b/>
          <w:sz w:val="20"/>
        </w:rPr>
        <w:t>10.17</w:t>
      </w:r>
      <w:r>
        <w:rPr>
          <w:rFonts w:ascii="Times New Roman" w:hAnsi="Times New Roman"/>
          <w:sz w:val="20"/>
        </w:rPr>
        <w:t xml:space="preserve"> </w:t>
      </w:r>
      <w:r>
        <w:rPr>
          <w:rFonts w:ascii="Times New Roman" w:hAnsi="Times New Roman"/>
          <w:b/>
          <w:sz w:val="20"/>
          <w:u w:val="single"/>
        </w:rPr>
        <w:t>Electronic Execution of Assignments and Certain Other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words “execute,” “execution,” “signed,” “signature,” and words of like import in or related to any document to be signed in connection with this Agreement and the transactions contemplated hereby (including without limitation Assignment and Assumptions, amendments or other modifications,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hAnsi="Times New Roman"/>
          <w:sz w:val="20"/>
          <w:u w:val="single"/>
        </w:rPr>
        <w:t>provided</w:t>
      </w:r>
      <w:r>
        <w:rPr>
          <w:rFonts w:ascii="Times New Roman" w:hAnsi="Times New Roman"/>
          <w:sz w:val="20"/>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86</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10.18</w:t>
      </w:r>
      <w:r>
        <w:rPr>
          <w:rFonts w:ascii="Times New Roman" w:hAnsi="Times New Roman"/>
          <w:sz w:val="20"/>
        </w:rPr>
        <w:t xml:space="preserve"> </w:t>
      </w:r>
      <w:r>
        <w:rPr>
          <w:rFonts w:ascii="Times New Roman" w:hAnsi="Times New Roman"/>
          <w:b/>
          <w:sz w:val="20"/>
          <w:u w:val="single"/>
        </w:rPr>
        <w:t>Judgment Currency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w:t>
      </w:r>
      <w:r>
        <w:rPr>
          <w:rFonts w:ascii="Times New Roman" w:hAnsi="Times New Roman"/>
          <w:sz w:val="20"/>
          <w:u w:val="single"/>
        </w:rPr>
        <w:t>Judgment Currency</w:t>
      </w:r>
      <w:r>
        <w:rPr>
          <w:rFonts w:ascii="Times New Roman" w:hAnsi="Times New Roman"/>
          <w:sz w:val="20"/>
        </w:rPr>
        <w:t>”) other than that in which such sum is denominated in accordance with the applicable provisions of this Agreement (the “</w:t>
      </w:r>
      <w:r>
        <w:rPr>
          <w:rFonts w:ascii="Times New Roman" w:hAnsi="Times New Roman"/>
          <w:sz w:val="20"/>
          <w:u w:val="single"/>
        </w:rPr>
        <w:t>Agreement Currency</w:t>
      </w:r>
      <w:r>
        <w:rPr>
          <w:rFonts w:ascii="Times New Roman" w:hAnsi="Times New Roman"/>
          <w:sz w:val="20"/>
        </w:rPr>
        <w:t xml:space="preserve">”),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 </w:t>
      </w:r>
    </w:p>
    <w:p>
      <w:pPr>
        <w:pStyle w:val="TextBody"/>
        <w:bidi w:val="0"/>
        <w:spacing w:before="240" w:after="0"/>
        <w:jc w:val="left"/>
        <w:rPr>
          <w:rFonts w:ascii="Times New Roman" w:hAnsi="Times New Roman"/>
          <w:sz w:val="20"/>
        </w:rPr>
      </w:pPr>
      <w:r>
        <w:rPr>
          <w:rFonts w:ascii="Times New Roman" w:hAnsi="Times New Roman"/>
          <w:b/>
          <w:sz w:val="20"/>
        </w:rPr>
        <w:t>10.19</w:t>
      </w:r>
      <w:r>
        <w:rPr>
          <w:rFonts w:ascii="Times New Roman" w:hAnsi="Times New Roman"/>
          <w:sz w:val="20"/>
        </w:rPr>
        <w:t xml:space="preserve"> </w:t>
      </w:r>
      <w:r>
        <w:rPr>
          <w:rFonts w:ascii="Times New Roman" w:hAnsi="Times New Roman"/>
          <w:b/>
          <w:sz w:val="20"/>
          <w:u w:val="single"/>
        </w:rPr>
        <w:t>USA PATRIOT ACT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Lender that is subject to the USA PATRIOT Act and the Administrative Agent (for itself and not on behalf of any Lender) hereby notifies the Borrowers that pursuant to the requirements of the USA PATRIOT Act, it is required to obtain, verify and record information that identifies the Borrowers and other Loan Parties, which information includes the name and address of each Borrower and each other Loan Party and other information that will allow such Lender or the Administrative Agent, as applicable, to identify such Borrower or other Loan Party in accordance with the USA PATRIOT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 and beneficial ownership regulations. </w:t>
      </w:r>
    </w:p>
    <w:p>
      <w:pPr>
        <w:pStyle w:val="TextBody"/>
        <w:bidi w:val="0"/>
        <w:spacing w:before="240" w:after="0"/>
        <w:jc w:val="left"/>
        <w:rPr>
          <w:rFonts w:ascii="Times New Roman" w:hAnsi="Times New Roman"/>
          <w:sz w:val="20"/>
        </w:rPr>
      </w:pPr>
      <w:r>
        <w:rPr>
          <w:rFonts w:ascii="Times New Roman" w:hAnsi="Times New Roman"/>
          <w:b/>
          <w:sz w:val="20"/>
        </w:rPr>
        <w:t>10.20</w:t>
      </w:r>
      <w:r>
        <w:rPr>
          <w:rFonts w:ascii="Times New Roman" w:hAnsi="Times New Roman"/>
          <w:sz w:val="20"/>
        </w:rPr>
        <w:t xml:space="preserve"> </w:t>
      </w:r>
      <w:r>
        <w:rPr>
          <w:rFonts w:ascii="Times New Roman" w:hAnsi="Times New Roman"/>
          <w:b/>
          <w:sz w:val="20"/>
          <w:u w:val="single"/>
        </w:rPr>
        <w:t>Acknowledgement Regarding Any Supported QFCs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To the extent that the Loan Documents provide support, through a guarantee or otherwise, for any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that, with respect to the resolution power of the Federal Deposit Insurance Corporation under the Federal Deposit Insurance Act and Title II of the Dodd- 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87</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left"/>
        <w:rPr>
          <w:rFonts w:ascii="Times New Roman" w:hAnsi="Times New Roman"/>
          <w:sz w:val="20"/>
        </w:rPr>
      </w:pPr>
      <w:r>
        <w:rPr>
          <w:rFonts w:ascii="Times New Roman" w:hAnsi="Times New Roman"/>
          <w:b/>
          <w:sz w:val="20"/>
        </w:rPr>
        <w:t>10.21</w:t>
      </w:r>
      <w:r>
        <w:rPr>
          <w:rFonts w:ascii="Times New Roman" w:hAnsi="Times New Roman"/>
          <w:sz w:val="20"/>
        </w:rPr>
        <w:t xml:space="preserve"> </w:t>
      </w:r>
      <w:r>
        <w:rPr>
          <w:rFonts w:ascii="Times New Roman" w:hAnsi="Times New Roman"/>
          <w:b/>
          <w:sz w:val="20"/>
          <w:u w:val="single"/>
        </w:rPr>
        <w:t>Acknowledgement and Consent to Bail-In of Affected Financial Institutions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Lender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b/>
          <w:sz w:val="20"/>
        </w:rPr>
        <w:t>10.22</w:t>
      </w:r>
      <w:r>
        <w:rPr>
          <w:rFonts w:ascii="Times New Roman" w:hAnsi="Times New Roman"/>
          <w:sz w:val="20"/>
        </w:rPr>
        <w:t xml:space="preserve"> </w:t>
      </w:r>
      <w:r>
        <w:rPr>
          <w:rFonts w:ascii="Times New Roman" w:hAnsi="Times New Roman"/>
          <w:b/>
          <w:sz w:val="20"/>
          <w:u w:val="single"/>
        </w:rPr>
        <w:t>Subsidiary Guarantors; Release of Subsidiary Guarantors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may, at any time after the Closing Date, upon prior written notice to the Administrative Agent, cause any of its wholly-owned Domestic Subsidiaries or any wholly-owned Foreign Subsidiary that is organized in a jurisdiction that is reasonably acceptable to the Administrative Agent (it being acknowledged that (i) Ireland and (ii) Bermuda are acceptable jurisdictions), to become a Subsidiary Guarantor by causing such Subsidiary to execute and deliver to the Administrative Agent a Subsidiary Guaranty (or a supplement thereto in the form specified therein), together with documents and opinions of the type referred to in </w:t>
      </w:r>
      <w:r>
        <w:rPr>
          <w:rFonts w:ascii="Times New Roman" w:hAnsi="Times New Roman"/>
          <w:sz w:val="20"/>
          <w:u w:val="single"/>
        </w:rPr>
        <w:t>Sections 4.01(b)</w:t>
      </w:r>
      <w:r>
        <w:rPr>
          <w:rFonts w:ascii="Times New Roman" w:hAnsi="Times New Roman"/>
          <w:sz w:val="20"/>
        </w:rPr>
        <w:t xml:space="preserve">, </w:t>
      </w:r>
      <w:r>
        <w:rPr>
          <w:rFonts w:ascii="Times New Roman" w:hAnsi="Times New Roman"/>
          <w:sz w:val="20"/>
          <w:u w:val="single"/>
        </w:rPr>
        <w:t>4.01(d)</w:t>
      </w:r>
      <w:r>
        <w:rPr>
          <w:rFonts w:ascii="Times New Roman" w:hAnsi="Times New Roman"/>
          <w:sz w:val="20"/>
        </w:rPr>
        <w:t xml:space="preserve"> and 4.01</w:t>
      </w:r>
      <w:r>
        <w:rPr>
          <w:rFonts w:ascii="Times New Roman" w:hAnsi="Times New Roman"/>
          <w:sz w:val="20"/>
          <w:u w:val="single"/>
        </w:rPr>
        <w:t>(h)</w:t>
      </w:r>
      <w:r>
        <w:rPr>
          <w:rFonts w:ascii="Times New Roman" w:hAnsi="Times New Roman"/>
          <w:sz w:val="20"/>
        </w:rPr>
        <w:t xml:space="preserve"> with respect to such Subsidiary, all in form and substance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Promptly following the Company’s written request to release a Subsidiary Guarantor, the Administrative Agent shall (and is hereby irrevocably authorized by each Lender to) execute and deliver to the Company, at the Company’s expense, a release of such Subsidiary Guarantor from its obligations under the Subsidiary Guaranty, so long as no Event of Default has occurred and is continuing or would result after giving effect to such release. In connection with any release pursuant to this paragraph, the Administrative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88</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Agent may request that the Company deliver to it a certificate of a Responsible Officer of the Company to the effect that the requirements for such release set forth in this paragraph have been satisfied, and the Administrative Agent may rely on, and shall incur no liability for relying upon, any statements made in any such certificate. Any execution and delivery of documents pursuant to this paragraph shall be without recourse to or warranty by the Administrative Agent. Upon request by the Administrative Agent at any time, the Required Lenders will confirm in writing the authority of the Administrative Agent to release any Subsidiary Guarantor form its obligations under the Subsidiary Guaranty pursuant to this paragraph.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7"/>
        <w:gridCol w:w="123"/>
        <w:gridCol w:w="3203"/>
        <w:gridCol w:w="123"/>
        <w:gridCol w:w="3309"/>
      </w:tblGrid>
      <w:tr>
        <w:trPr/>
        <w:tc>
          <w:tcPr>
            <w:tcW w:w="34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4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03" w:type="dxa"/>
            <w:tcBorders/>
          </w:tcPr>
          <w:p>
            <w:pPr>
              <w:pStyle w:val="TableContents"/>
              <w:bidi w:val="0"/>
              <w:spacing w:before="0" w:after="283"/>
              <w:jc w:val="center"/>
              <w:rPr/>
            </w:pPr>
            <w:r>
              <w:rPr/>
              <w:t>89</w:t>
            </w:r>
          </w:p>
        </w:tc>
        <w:tc>
          <w:tcPr>
            <w:tcW w:w="123" w:type="dxa"/>
            <w:tcBorders/>
            <w:vAlign w:val="bottom"/>
          </w:tcPr>
          <w:p>
            <w:pPr>
              <w:pStyle w:val="TableContents"/>
              <w:bidi w:val="0"/>
              <w:spacing w:before="0" w:after="283"/>
              <w:jc w:val="left"/>
              <w:rPr/>
            </w:pPr>
            <w:r>
              <w:rPr/>
              <w:t>  </w:t>
            </w:r>
          </w:p>
        </w:tc>
        <w:tc>
          <w:tcPr>
            <w:tcW w:w="3309"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52"/>
        <w:gridCol w:w="119"/>
        <w:gridCol w:w="1145"/>
        <w:gridCol w:w="114"/>
        <w:gridCol w:w="380"/>
        <w:gridCol w:w="270"/>
        <w:gridCol w:w="3625"/>
      </w:tblGrid>
      <w:tr>
        <w:trPr/>
        <w:tc>
          <w:tcPr>
            <w:tcW w:w="4552"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552" w:type="dxa"/>
            <w:tcBorders/>
          </w:tcPr>
          <w:p>
            <w:pPr>
              <w:pStyle w:val="TableContents"/>
              <w:bidi w:val="0"/>
              <w:spacing w:before="0" w:after="283"/>
              <w:jc w:val="left"/>
              <w:rPr/>
            </w:pPr>
            <w:r>
              <w:rPr/>
              <w:t>BORROWER:</w:t>
            </w:r>
          </w:p>
        </w:tc>
        <w:tc>
          <w:tcPr>
            <w:tcW w:w="119" w:type="dxa"/>
            <w:tcBorders/>
            <w:vAlign w:val="bottom"/>
          </w:tcPr>
          <w:p>
            <w:pPr>
              <w:pStyle w:val="TableContents"/>
              <w:bidi w:val="0"/>
              <w:spacing w:before="0" w:after="283"/>
              <w:jc w:val="left"/>
              <w:rPr/>
            </w:pPr>
            <w:r>
              <w:rPr/>
              <w:t> </w:t>
            </w:r>
          </w:p>
        </w:tc>
        <w:tc>
          <w:tcPr>
            <w:tcW w:w="5534" w:type="dxa"/>
            <w:gridSpan w:val="5"/>
            <w:tcBorders/>
          </w:tcPr>
          <w:p>
            <w:pPr>
              <w:pStyle w:val="TableContents"/>
              <w:bidi w:val="0"/>
              <w:spacing w:before="0" w:after="283"/>
              <w:jc w:val="left"/>
              <w:rPr/>
            </w:pPr>
            <w:r>
              <w:rPr/>
              <w:t xml:space="preserve">ANALOG DEVICES, INC., </w:t>
              <w:br/>
              <w:t>a Massachusetts corporation</w:t>
            </w:r>
          </w:p>
        </w:tc>
      </w:tr>
      <w:tr>
        <w:trPr>
          <w:trHeight w:val="240" w:hRule="atLeast"/>
        </w:trPr>
        <w:tc>
          <w:tcPr>
            <w:tcW w:w="4552" w:type="dxa"/>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4389" w:type="dxa"/>
            <w:gridSpan w:val="4"/>
            <w:tcBorders/>
            <w:vAlign w:val="center"/>
          </w:tcPr>
          <w:p>
            <w:pPr>
              <w:pStyle w:val="TableContents"/>
              <w:bidi w:val="0"/>
              <w:spacing w:before="0" w:after="283"/>
              <w:jc w:val="left"/>
              <w:rPr>
                <w:sz w:val="4"/>
                <w:szCs w:val="4"/>
              </w:rPr>
            </w:pPr>
            <w:r>
              <w:rPr>
                <w:sz w:val="4"/>
                <w:szCs w:val="4"/>
              </w:rPr>
            </w:r>
          </w:p>
        </w:tc>
      </w:tr>
      <w:tr>
        <w:trPr/>
        <w:tc>
          <w:tcPr>
            <w:tcW w:w="4552"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145" w:type="dxa"/>
            <w:tcBorders/>
          </w:tcPr>
          <w:p>
            <w:pPr>
              <w:pStyle w:val="TableContents"/>
              <w:bidi w:val="0"/>
              <w:spacing w:before="0" w:after="283"/>
              <w:jc w:val="left"/>
              <w:rPr/>
            </w:pPr>
            <w:r>
              <w:rPr/>
              <w:t>By: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4275" w:type="dxa"/>
            <w:gridSpan w:val="3"/>
            <w:tcBorders>
              <w:bottom w:val="single" w:sz="2" w:space="0" w:color="000000"/>
            </w:tcBorders>
            <w:tcMar>
              <w:bottom w:w="28" w:type="dxa"/>
            </w:tcMar>
          </w:tcPr>
          <w:p>
            <w:pPr>
              <w:pStyle w:val="TableContents"/>
              <w:bidi w:val="0"/>
              <w:spacing w:before="0" w:after="283"/>
              <w:jc w:val="left"/>
              <w:rPr/>
            </w:pPr>
            <w:r>
              <w:rPr/>
              <w:t>/s/ Jeffrey McPhee</w:t>
            </w:r>
          </w:p>
        </w:tc>
      </w:tr>
      <w:tr>
        <w:trPr/>
        <w:tc>
          <w:tcPr>
            <w:tcW w:w="4552"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145" w:type="dxa"/>
            <w:tcBorders/>
          </w:tcPr>
          <w:p>
            <w:pPr>
              <w:pStyle w:val="TableContents"/>
              <w:bidi w:val="0"/>
              <w:spacing w:before="0" w:after="283"/>
              <w:jc w:val="left"/>
              <w:rPr/>
            </w:pPr>
            <w:r>
              <w:rPr/>
              <w:t>Name:</w:t>
            </w:r>
          </w:p>
        </w:tc>
        <w:tc>
          <w:tcPr>
            <w:tcW w:w="114" w:type="dxa"/>
            <w:tcBorders/>
            <w:vAlign w:val="bottom"/>
          </w:tcPr>
          <w:p>
            <w:pPr>
              <w:pStyle w:val="TableContents"/>
              <w:bidi w:val="0"/>
              <w:spacing w:before="0" w:after="283"/>
              <w:jc w:val="left"/>
              <w:rPr/>
            </w:pPr>
            <w:r>
              <w:rPr/>
              <w:t> </w:t>
            </w:r>
          </w:p>
        </w:tc>
        <w:tc>
          <w:tcPr>
            <w:tcW w:w="4275" w:type="dxa"/>
            <w:gridSpan w:val="3"/>
            <w:tcBorders/>
          </w:tcPr>
          <w:p>
            <w:pPr>
              <w:pStyle w:val="TableContents"/>
              <w:bidi w:val="0"/>
              <w:spacing w:before="0" w:after="283"/>
              <w:jc w:val="left"/>
              <w:rPr/>
            </w:pPr>
            <w:r>
              <w:rPr/>
              <w:t>Jeffrey McPhee</w:t>
            </w:r>
          </w:p>
        </w:tc>
      </w:tr>
      <w:tr>
        <w:trPr/>
        <w:tc>
          <w:tcPr>
            <w:tcW w:w="4552"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145" w:type="dxa"/>
            <w:tcBorders/>
          </w:tcPr>
          <w:p>
            <w:pPr>
              <w:pStyle w:val="TableContents"/>
              <w:bidi w:val="0"/>
              <w:spacing w:before="0" w:after="283"/>
              <w:jc w:val="left"/>
              <w:rPr/>
            </w:pPr>
            <w:r>
              <w:rPr/>
              <w:t>Title:</w:t>
            </w:r>
          </w:p>
        </w:tc>
        <w:tc>
          <w:tcPr>
            <w:tcW w:w="114" w:type="dxa"/>
            <w:tcBorders/>
            <w:vAlign w:val="bottom"/>
          </w:tcPr>
          <w:p>
            <w:pPr>
              <w:pStyle w:val="TableContents"/>
              <w:bidi w:val="0"/>
              <w:spacing w:before="0" w:after="283"/>
              <w:jc w:val="left"/>
              <w:rPr/>
            </w:pPr>
            <w:r>
              <w:rPr/>
              <w:t> </w:t>
            </w:r>
          </w:p>
        </w:tc>
        <w:tc>
          <w:tcPr>
            <w:tcW w:w="4275" w:type="dxa"/>
            <w:gridSpan w:val="3"/>
            <w:tcBorders/>
          </w:tcPr>
          <w:p>
            <w:pPr>
              <w:pStyle w:val="TableContents"/>
              <w:bidi w:val="0"/>
              <w:spacing w:before="0" w:after="283"/>
              <w:jc w:val="left"/>
              <w:rPr/>
            </w:pPr>
            <w:r>
              <w:rPr/>
              <w:t>Treasurer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578"/>
        <w:gridCol w:w="106"/>
        <w:gridCol w:w="381"/>
        <w:gridCol w:w="106"/>
        <w:gridCol w:w="590"/>
        <w:gridCol w:w="106"/>
        <w:gridCol w:w="4338"/>
      </w:tblGrid>
      <w:tr>
        <w:trPr/>
        <w:tc>
          <w:tcPr>
            <w:tcW w:w="457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338" w:type="dxa"/>
            <w:tcBorders/>
            <w:vAlign w:val="center"/>
          </w:tcPr>
          <w:p>
            <w:pPr>
              <w:pStyle w:val="TableContents"/>
              <w:bidi w:val="0"/>
              <w:spacing w:before="0" w:after="283"/>
              <w:jc w:val="left"/>
              <w:rPr>
                <w:sz w:val="4"/>
                <w:szCs w:val="4"/>
              </w:rPr>
            </w:pPr>
            <w:r>
              <w:rPr>
                <w:sz w:val="4"/>
                <w:szCs w:val="4"/>
              </w:rPr>
            </w:r>
          </w:p>
        </w:tc>
      </w:tr>
      <w:tr>
        <w:trPr/>
        <w:tc>
          <w:tcPr>
            <w:tcW w:w="4578" w:type="dxa"/>
            <w:tcBorders/>
          </w:tcPr>
          <w:p>
            <w:pPr>
              <w:pStyle w:val="TableContents"/>
              <w:bidi w:val="0"/>
              <w:spacing w:before="0" w:after="283"/>
              <w:jc w:val="left"/>
              <w:rPr/>
            </w:pPr>
            <w:r>
              <w:rPr/>
              <w:t>ADMINISTRATIVE AGENT:</w:t>
            </w:r>
          </w:p>
        </w:tc>
        <w:tc>
          <w:tcPr>
            <w:tcW w:w="106"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3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BANK OF AMERICA, N.A.,</w:t>
            </w:r>
          </w:p>
          <w:p>
            <w:pPr>
              <w:pStyle w:val="TableContents"/>
              <w:bidi w:val="0"/>
              <w:spacing w:before="0" w:after="20"/>
              <w:jc w:val="left"/>
              <w:rPr>
                <w:rFonts w:ascii="Times New Roman" w:hAnsi="Times New Roman"/>
                <w:sz w:val="20"/>
              </w:rPr>
            </w:pPr>
            <w:r>
              <w:rPr>
                <w:rFonts w:ascii="Times New Roman" w:hAnsi="Times New Roman"/>
                <w:sz w:val="20"/>
              </w:rPr>
              <w:t>as Administrative Agent</w:t>
            </w:r>
          </w:p>
        </w:tc>
      </w:tr>
      <w:tr>
        <w:trPr>
          <w:trHeight w:val="240" w:hRule="atLeast"/>
        </w:trPr>
        <w:tc>
          <w:tcPr>
            <w:tcW w:w="4578" w:type="dxa"/>
            <w:tcBorders/>
            <w:vAlign w:val="center"/>
          </w:tcPr>
          <w:p>
            <w:pPr>
              <w:pStyle w:val="TableContents"/>
              <w:bidi w:val="0"/>
              <w:spacing w:before="0" w:after="283"/>
              <w:jc w:val="left"/>
              <w:rPr>
                <w:sz w:val="4"/>
                <w:szCs w:val="4"/>
              </w:rPr>
            </w:pPr>
            <w:r>
              <w:rPr>
                <w:sz w:val="4"/>
                <w:szCs w:val="4"/>
              </w:rPr>
            </w:r>
          </w:p>
        </w:tc>
        <w:tc>
          <w:tcPr>
            <w:tcW w:w="487" w:type="dxa"/>
            <w:gridSpan w:val="2"/>
            <w:tcBorders/>
            <w:vAlign w:val="center"/>
          </w:tcPr>
          <w:p>
            <w:pPr>
              <w:pStyle w:val="TableContents"/>
              <w:bidi w:val="0"/>
              <w:spacing w:before="0" w:after="283"/>
              <w:jc w:val="left"/>
              <w:rPr>
                <w:sz w:val="4"/>
                <w:szCs w:val="4"/>
              </w:rPr>
            </w:pPr>
            <w:r>
              <w:rPr>
                <w:sz w:val="4"/>
                <w:szCs w:val="4"/>
              </w:rPr>
            </w:r>
          </w:p>
        </w:tc>
        <w:tc>
          <w:tcPr>
            <w:tcW w:w="696" w:type="dxa"/>
            <w:gridSpan w:val="2"/>
            <w:tcBorders/>
            <w:vAlign w:val="center"/>
          </w:tcPr>
          <w:p>
            <w:pPr>
              <w:pStyle w:val="TableContents"/>
              <w:bidi w:val="0"/>
              <w:spacing w:before="0" w:after="283"/>
              <w:jc w:val="left"/>
              <w:rPr>
                <w:sz w:val="4"/>
                <w:szCs w:val="4"/>
              </w:rPr>
            </w:pPr>
            <w:r>
              <w:rPr>
                <w:sz w:val="4"/>
                <w:szCs w:val="4"/>
              </w:rPr>
            </w:r>
          </w:p>
        </w:tc>
        <w:tc>
          <w:tcPr>
            <w:tcW w:w="4444" w:type="dxa"/>
            <w:gridSpan w:val="2"/>
            <w:tcBorders/>
            <w:vAlign w:val="center"/>
          </w:tcPr>
          <w:p>
            <w:pPr>
              <w:pStyle w:val="TableContents"/>
              <w:bidi w:val="0"/>
              <w:spacing w:before="0" w:after="283"/>
              <w:jc w:val="left"/>
              <w:rPr>
                <w:sz w:val="4"/>
                <w:szCs w:val="4"/>
              </w:rPr>
            </w:pPr>
            <w:r>
              <w:rPr>
                <w:sz w:val="4"/>
                <w:szCs w:val="4"/>
              </w:rPr>
            </w:r>
          </w:p>
        </w:tc>
      </w:tr>
      <w:tr>
        <w:trPr/>
        <w:tc>
          <w:tcPr>
            <w:tcW w:w="457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0" w:type="dxa"/>
            <w:tcBorders/>
          </w:tcPr>
          <w:p>
            <w:pPr>
              <w:pStyle w:val="TableContents"/>
              <w:bidi w:val="0"/>
              <w:spacing w:before="0" w:after="283"/>
              <w:jc w:val="left"/>
              <w:rPr/>
            </w:pPr>
            <w:r>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338" w:type="dxa"/>
            <w:tcBorders>
              <w:bottom w:val="single" w:sz="2" w:space="0" w:color="000000"/>
            </w:tcBorders>
            <w:tcMar>
              <w:bottom w:w="28" w:type="dxa"/>
            </w:tcMar>
          </w:tcPr>
          <w:p>
            <w:pPr>
              <w:pStyle w:val="TableContents"/>
              <w:bidi w:val="0"/>
              <w:spacing w:before="0" w:after="283"/>
              <w:jc w:val="left"/>
              <w:rPr/>
            </w:pPr>
            <w:r>
              <w:rPr/>
              <w:t>/s/ David J. Smith</w:t>
            </w:r>
          </w:p>
        </w:tc>
      </w:tr>
      <w:tr>
        <w:trPr/>
        <w:tc>
          <w:tcPr>
            <w:tcW w:w="457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0"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4338" w:type="dxa"/>
            <w:tcBorders/>
          </w:tcPr>
          <w:p>
            <w:pPr>
              <w:pStyle w:val="TableContents"/>
              <w:bidi w:val="0"/>
              <w:spacing w:before="0" w:after="283"/>
              <w:jc w:val="left"/>
              <w:rPr/>
            </w:pPr>
            <w:r>
              <w:rPr/>
              <w:t>David J. Smith</w:t>
            </w:r>
          </w:p>
        </w:tc>
      </w:tr>
      <w:tr>
        <w:trPr/>
        <w:tc>
          <w:tcPr>
            <w:tcW w:w="457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0"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338"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Bank of America, N.A.</w:t>
            </w:r>
          </w:p>
          <w:p>
            <w:pPr>
              <w:pStyle w:val="TableContents"/>
              <w:bidi w:val="0"/>
              <w:spacing w:before="0" w:after="20"/>
              <w:jc w:val="left"/>
              <w:rPr>
                <w:rFonts w:ascii="Times New Roman" w:hAnsi="Times New Roman"/>
                <w:sz w:val="20"/>
              </w:rPr>
            </w:pPr>
            <w:r>
              <w:rPr>
                <w:rFonts w:ascii="Times New Roman" w:hAnsi="Times New Roman"/>
                <w:sz w:val="20"/>
              </w:rPr>
              <w:t>as a Lender</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8" w:type="dxa"/>
            <w:tcBorders>
              <w:bottom w:val="single" w:sz="2" w:space="0" w:color="000000"/>
            </w:tcBorders>
            <w:tcMar>
              <w:bottom w:w="28" w:type="dxa"/>
            </w:tcMar>
          </w:tcPr>
          <w:p>
            <w:pPr>
              <w:pStyle w:val="TableContents"/>
              <w:bidi w:val="0"/>
              <w:spacing w:before="0" w:after="283"/>
              <w:jc w:val="left"/>
              <w:rPr/>
            </w:pPr>
            <w:r>
              <w:rPr/>
              <w:t>/s/ Kurt Fuess</w:t>
            </w:r>
          </w:p>
        </w:tc>
      </w:tr>
      <w:tr>
        <w:trPr/>
        <w:tc>
          <w:tcPr>
            <w:tcW w:w="70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Kurt Fuess</w:t>
            </w:r>
          </w:p>
        </w:tc>
      </w:tr>
      <w:tr>
        <w:trPr/>
        <w:tc>
          <w:tcPr>
            <w:tcW w:w="70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Barclays Bank PLC</w:t>
            </w:r>
            <w:r>
              <w:rPr/>
              <w:t xml:space="preserve"> as a Lender</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8" w:type="dxa"/>
            <w:tcBorders>
              <w:bottom w:val="single" w:sz="2" w:space="0" w:color="000000"/>
            </w:tcBorders>
            <w:tcMar>
              <w:bottom w:w="28" w:type="dxa"/>
            </w:tcMar>
          </w:tcPr>
          <w:p>
            <w:pPr>
              <w:pStyle w:val="TableContents"/>
              <w:bidi w:val="0"/>
              <w:spacing w:before="0" w:after="283"/>
              <w:jc w:val="left"/>
              <w:rPr/>
            </w:pPr>
            <w:r>
              <w:rPr/>
              <w:t>/s/ Nicholas Sibayan</w:t>
            </w:r>
          </w:p>
        </w:tc>
      </w:tr>
      <w:tr>
        <w:trPr/>
        <w:tc>
          <w:tcPr>
            <w:tcW w:w="70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Nicholas Sibayan</w:t>
            </w:r>
          </w:p>
        </w:tc>
      </w:tr>
      <w:tr>
        <w:trPr/>
        <w:tc>
          <w:tcPr>
            <w:tcW w:w="70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BNP Paribas, as a Lender</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8" w:type="dxa"/>
            <w:tcBorders>
              <w:bottom w:val="single" w:sz="2" w:space="0" w:color="000000"/>
            </w:tcBorders>
            <w:tcMar>
              <w:bottom w:w="28" w:type="dxa"/>
            </w:tcMar>
          </w:tcPr>
          <w:p>
            <w:pPr>
              <w:pStyle w:val="TableContents"/>
              <w:bidi w:val="0"/>
              <w:spacing w:before="0" w:after="283"/>
              <w:jc w:val="left"/>
              <w:rPr/>
            </w:pPr>
            <w:r>
              <w:rPr/>
              <w:t>/s/ Nicolas Doche</w:t>
            </w:r>
          </w:p>
        </w:tc>
      </w:tr>
      <w:tr>
        <w:trPr/>
        <w:tc>
          <w:tcPr>
            <w:tcW w:w="70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vAlign w:val="bottom"/>
          </w:tcPr>
          <w:p>
            <w:pPr>
              <w:pStyle w:val="TableContents"/>
              <w:bidi w:val="0"/>
              <w:spacing w:before="0" w:after="283"/>
              <w:jc w:val="left"/>
              <w:rPr/>
            </w:pPr>
            <w:r>
              <w:rPr/>
              <w:t>Nicolas Doche</w:t>
            </w:r>
          </w:p>
        </w:tc>
      </w:tr>
      <w:tr>
        <w:trPr/>
        <w:tc>
          <w:tcPr>
            <w:tcW w:w="70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vAlign w:val="bottom"/>
          </w:tcPr>
          <w:p>
            <w:pPr>
              <w:pStyle w:val="TableContents"/>
              <w:bidi w:val="0"/>
              <w:spacing w:before="0" w:after="283"/>
              <w:jc w:val="left"/>
              <w:rPr/>
            </w:pPr>
            <w:r>
              <w:rPr/>
              <w:t>Director</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8" w:type="dxa"/>
            <w:tcBorders>
              <w:bottom w:val="single" w:sz="2" w:space="0" w:color="000000"/>
            </w:tcBorders>
            <w:tcMar>
              <w:bottom w:w="28" w:type="dxa"/>
            </w:tcMar>
          </w:tcPr>
          <w:p>
            <w:pPr>
              <w:pStyle w:val="TableContents"/>
              <w:bidi w:val="0"/>
              <w:spacing w:before="0" w:after="283"/>
              <w:jc w:val="left"/>
              <w:rPr/>
            </w:pPr>
            <w:r>
              <w:rPr/>
              <w:t>/s/ Valentin Detry</w:t>
            </w:r>
          </w:p>
        </w:tc>
      </w:tr>
      <w:tr>
        <w:trPr/>
        <w:tc>
          <w:tcPr>
            <w:tcW w:w="70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vAlign w:val="bottom"/>
          </w:tcPr>
          <w:p>
            <w:pPr>
              <w:pStyle w:val="TableContents"/>
              <w:bidi w:val="0"/>
              <w:spacing w:before="0" w:after="283"/>
              <w:jc w:val="left"/>
              <w:rPr/>
            </w:pPr>
            <w:r>
              <w:rPr/>
              <w:t>Valentin Detry</w:t>
            </w:r>
          </w:p>
        </w:tc>
      </w:tr>
      <w:tr>
        <w:trPr/>
        <w:tc>
          <w:tcPr>
            <w:tcW w:w="70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CITIBANK, N.A. as a Lender</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8" w:type="dxa"/>
            <w:tcBorders>
              <w:bottom w:val="single" w:sz="2" w:space="0" w:color="000000"/>
            </w:tcBorders>
            <w:tcMar>
              <w:bottom w:w="28" w:type="dxa"/>
            </w:tcMar>
          </w:tcPr>
          <w:p>
            <w:pPr>
              <w:pStyle w:val="TableContents"/>
              <w:bidi w:val="0"/>
              <w:spacing w:before="0" w:after="283"/>
              <w:jc w:val="left"/>
              <w:rPr/>
            </w:pPr>
            <w:r>
              <w:rPr/>
              <w:t>/s/ Daniel Boselli</w:t>
            </w:r>
          </w:p>
        </w:tc>
      </w:tr>
      <w:tr>
        <w:trPr/>
        <w:tc>
          <w:tcPr>
            <w:tcW w:w="70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Daniel Boselli</w:t>
            </w:r>
          </w:p>
        </w:tc>
      </w:tr>
      <w:tr>
        <w:trPr/>
        <w:tc>
          <w:tcPr>
            <w:tcW w:w="70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700"/>
        <w:gridCol w:w="60"/>
        <w:gridCol w:w="3322"/>
      </w:tblGrid>
      <w:tr>
        <w:trPr/>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p>
            <w:pPr>
              <w:pStyle w:val="TableContents"/>
              <w:bidi w:val="0"/>
              <w:spacing w:before="0" w:after="20"/>
              <w:jc w:val="left"/>
              <w:rPr>
                <w:rFonts w:ascii="Times New Roman" w:hAnsi="Times New Roman"/>
                <w:sz w:val="20"/>
              </w:rPr>
            </w:pPr>
            <w:r>
              <w:rPr>
                <w:rFonts w:ascii="Times New Roman" w:hAnsi="Times New Roman"/>
                <w:sz w:val="20"/>
              </w:rPr>
              <w:t>as a Lender</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2" w:type="dxa"/>
            <w:tcBorders>
              <w:bottom w:val="single" w:sz="2" w:space="0" w:color="000000"/>
            </w:tcBorders>
            <w:tcMar>
              <w:bottom w:w="28" w:type="dxa"/>
            </w:tcMar>
          </w:tcPr>
          <w:p>
            <w:pPr>
              <w:pStyle w:val="TableContents"/>
              <w:bidi w:val="0"/>
              <w:spacing w:before="0" w:after="283"/>
              <w:jc w:val="left"/>
              <w:rPr/>
            </w:pPr>
            <w:r>
              <w:rPr/>
              <w:t>/s/ Abhishek Joshi</w:t>
            </w:r>
          </w:p>
        </w:tc>
      </w:tr>
      <w:tr>
        <w:trPr/>
        <w:tc>
          <w:tcPr>
            <w:tcW w:w="70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2" w:type="dxa"/>
            <w:tcBorders/>
          </w:tcPr>
          <w:p>
            <w:pPr>
              <w:pStyle w:val="TableContents"/>
              <w:bidi w:val="0"/>
              <w:spacing w:before="0" w:after="283"/>
              <w:jc w:val="left"/>
              <w:rPr/>
            </w:pPr>
            <w:r>
              <w:rPr/>
              <w:t>Abhishek Joshi</w:t>
            </w:r>
          </w:p>
        </w:tc>
      </w:tr>
      <w:tr>
        <w:trPr/>
        <w:tc>
          <w:tcPr>
            <w:tcW w:w="70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2"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702"/>
        <w:gridCol w:w="60"/>
        <w:gridCol w:w="3320"/>
      </w:tblGrid>
      <w:tr>
        <w:trPr/>
        <w:tc>
          <w:tcPr>
            <w:tcW w:w="7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Bank, N.A. as a Lender</w:t>
            </w:r>
          </w:p>
        </w:tc>
      </w:tr>
      <w:tr>
        <w:trPr>
          <w:trHeight w:val="240" w:hRule="atLeast"/>
        </w:trPr>
        <w:tc>
          <w:tcPr>
            <w:tcW w:w="702"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0" w:type="dxa"/>
            <w:tcBorders>
              <w:bottom w:val="single" w:sz="2" w:space="0" w:color="000000"/>
            </w:tcBorders>
            <w:tcMar>
              <w:bottom w:w="28" w:type="dxa"/>
            </w:tcMar>
          </w:tcPr>
          <w:p>
            <w:pPr>
              <w:pStyle w:val="TableContents"/>
              <w:bidi w:val="0"/>
              <w:spacing w:before="0" w:after="283"/>
              <w:jc w:val="left"/>
              <w:rPr/>
            </w:pPr>
            <w:r>
              <w:rPr/>
              <w:t>/s/ Michael King</w:t>
            </w:r>
          </w:p>
        </w:tc>
      </w:tr>
      <w:tr>
        <w:trPr/>
        <w:tc>
          <w:tcPr>
            <w:tcW w:w="70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pPr>
            <w:r>
              <w:rPr/>
              <w:t>Michael King</w:t>
            </w:r>
          </w:p>
        </w:tc>
      </w:tr>
      <w:tr>
        <w:trPr/>
        <w:tc>
          <w:tcPr>
            <w:tcW w:w="70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BMO Bank N.A., as a Lender</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6" w:type="dxa"/>
            <w:tcBorders>
              <w:bottom w:val="single" w:sz="2" w:space="0" w:color="000000"/>
            </w:tcBorders>
            <w:tcMar>
              <w:bottom w:w="28" w:type="dxa"/>
            </w:tcMar>
          </w:tcPr>
          <w:p>
            <w:pPr>
              <w:pStyle w:val="TableContents"/>
              <w:bidi w:val="0"/>
              <w:spacing w:before="0" w:after="283"/>
              <w:jc w:val="left"/>
              <w:rPr/>
            </w:pPr>
            <w:r>
              <w:rPr/>
              <w:t>/s/ Kamran Khan</w:t>
            </w:r>
          </w:p>
        </w:tc>
      </w:tr>
      <w:tr>
        <w:trPr/>
        <w:tc>
          <w:tcPr>
            <w:tcW w:w="6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Kamran Khan</w:t>
            </w:r>
          </w:p>
        </w:tc>
      </w:tr>
      <w:tr>
        <w:trPr/>
        <w:tc>
          <w:tcPr>
            <w:tcW w:w="6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HSBC Bank USA, National Association as a Lender</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6" w:type="dxa"/>
            <w:tcBorders>
              <w:bottom w:val="single" w:sz="2" w:space="0" w:color="000000"/>
            </w:tcBorders>
            <w:tcMar>
              <w:bottom w:w="28" w:type="dxa"/>
            </w:tcMar>
          </w:tcPr>
          <w:p>
            <w:pPr>
              <w:pStyle w:val="TableContents"/>
              <w:bidi w:val="0"/>
              <w:spacing w:before="0" w:after="283"/>
              <w:jc w:val="left"/>
              <w:rPr/>
            </w:pPr>
            <w:r>
              <w:rPr/>
              <w:t>/s/ Mark Gibbs</w:t>
            </w:r>
          </w:p>
        </w:tc>
      </w:tr>
      <w:tr>
        <w:trPr/>
        <w:tc>
          <w:tcPr>
            <w:tcW w:w="6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Mark Gibbs</w:t>
            </w:r>
          </w:p>
        </w:tc>
      </w:tr>
      <w:tr>
        <w:trPr/>
        <w:tc>
          <w:tcPr>
            <w:tcW w:w="6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Managing</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Mizuho Bank, Ltd. as a Lender</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6" w:type="dxa"/>
            <w:tcBorders>
              <w:bottom w:val="single" w:sz="2" w:space="0" w:color="000000"/>
            </w:tcBorders>
            <w:tcMar>
              <w:bottom w:w="28" w:type="dxa"/>
            </w:tcMar>
          </w:tcPr>
          <w:p>
            <w:pPr>
              <w:pStyle w:val="TableContents"/>
              <w:bidi w:val="0"/>
              <w:spacing w:before="0" w:after="283"/>
              <w:jc w:val="left"/>
              <w:rPr/>
            </w:pPr>
            <w:r>
              <w:rPr/>
              <w:t>/s/ Tracy Rahn</w:t>
            </w:r>
          </w:p>
        </w:tc>
      </w:tr>
      <w:tr>
        <w:trPr/>
        <w:tc>
          <w:tcPr>
            <w:tcW w:w="6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Tracy Rahn</w:t>
            </w:r>
          </w:p>
        </w:tc>
      </w:tr>
      <w:tr>
        <w:trPr/>
        <w:tc>
          <w:tcPr>
            <w:tcW w:w="6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700"/>
        <w:gridCol w:w="60"/>
        <w:gridCol w:w="3322"/>
      </w:tblGrid>
      <w:tr>
        <w:trPr/>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MUFG Bank, Ltd. as a Lender</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2" w:type="dxa"/>
            <w:tcBorders>
              <w:bottom w:val="single" w:sz="2" w:space="0" w:color="000000"/>
            </w:tcBorders>
            <w:tcMar>
              <w:bottom w:w="28" w:type="dxa"/>
            </w:tcMar>
          </w:tcPr>
          <w:p>
            <w:pPr>
              <w:pStyle w:val="TableContents"/>
              <w:bidi w:val="0"/>
              <w:spacing w:before="0" w:after="283"/>
              <w:jc w:val="left"/>
              <w:rPr/>
            </w:pPr>
            <w:r>
              <w:rPr/>
              <w:t>/s/ Eric Enberg</w:t>
            </w:r>
          </w:p>
        </w:tc>
      </w:tr>
      <w:tr>
        <w:trPr/>
        <w:tc>
          <w:tcPr>
            <w:tcW w:w="70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2" w:type="dxa"/>
            <w:tcBorders/>
          </w:tcPr>
          <w:p>
            <w:pPr>
              <w:pStyle w:val="TableContents"/>
              <w:bidi w:val="0"/>
              <w:spacing w:before="0" w:after="283"/>
              <w:jc w:val="left"/>
              <w:rPr/>
            </w:pPr>
            <w:r>
              <w:rPr/>
              <w:t>Eric Enberg</w:t>
            </w:r>
          </w:p>
        </w:tc>
      </w:tr>
      <w:tr>
        <w:trPr/>
        <w:tc>
          <w:tcPr>
            <w:tcW w:w="70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2" w:type="dxa"/>
            <w:tcBorders/>
          </w:tcPr>
          <w:p>
            <w:pPr>
              <w:pStyle w:val="TableContents"/>
              <w:bidi w:val="0"/>
              <w:spacing w:before="0" w:after="283"/>
              <w:jc w:val="left"/>
              <w:rPr/>
            </w:pPr>
            <w:r>
              <w:rPr/>
              <w:t>Director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698"/>
        <w:gridCol w:w="60"/>
        <w:gridCol w:w="3324"/>
      </w:tblGrid>
      <w:tr>
        <w:trPr/>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Bank, National Association as a Lender</w:t>
            </w:r>
          </w:p>
        </w:tc>
      </w:tr>
      <w:tr>
        <w:trPr>
          <w:trHeight w:val="240" w:hRule="atLeast"/>
        </w:trPr>
        <w:tc>
          <w:tcPr>
            <w:tcW w:w="69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4" w:type="dxa"/>
            <w:tcBorders>
              <w:bottom w:val="single" w:sz="2" w:space="0" w:color="000000"/>
            </w:tcBorders>
            <w:tcMar>
              <w:bottom w:w="28" w:type="dxa"/>
            </w:tcMar>
          </w:tcPr>
          <w:p>
            <w:pPr>
              <w:pStyle w:val="TableContents"/>
              <w:bidi w:val="0"/>
              <w:spacing w:before="0" w:after="283"/>
              <w:jc w:val="left"/>
              <w:rPr/>
            </w:pPr>
            <w:r>
              <w:rPr/>
              <w:t>/s/ Terence J. O’Malley</w:t>
            </w:r>
          </w:p>
        </w:tc>
      </w:tr>
      <w:tr>
        <w:trPr/>
        <w:tc>
          <w:tcPr>
            <w:tcW w:w="69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tcPr>
          <w:p>
            <w:pPr>
              <w:pStyle w:val="TableContents"/>
              <w:bidi w:val="0"/>
              <w:spacing w:before="0" w:after="283"/>
              <w:jc w:val="left"/>
              <w:rPr/>
            </w:pPr>
            <w:r>
              <w:rPr/>
              <w:t>Terence J. O’Malley</w:t>
            </w:r>
          </w:p>
        </w:tc>
      </w:tr>
      <w:tr>
        <w:trPr/>
        <w:tc>
          <w:tcPr>
            <w:tcW w:w="69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4" w:type="dxa"/>
            <w:tcBorders/>
          </w:tcPr>
          <w:p>
            <w:pPr>
              <w:pStyle w:val="TableContents"/>
              <w:bidi w:val="0"/>
              <w:spacing w:before="0" w:after="283"/>
              <w:jc w:val="left"/>
              <w:rPr/>
            </w:pPr>
            <w:r>
              <w:rPr/>
              <w:t>SVP</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725"/>
        <w:gridCol w:w="60"/>
        <w:gridCol w:w="3297"/>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SUMITOMO MITSUI BANKING CORPORATION, as a Lender</w:t>
            </w:r>
          </w:p>
        </w:tc>
      </w:tr>
      <w:tr>
        <w:trPr>
          <w:trHeight w:val="240" w:hRule="atLeast"/>
        </w:trPr>
        <w:tc>
          <w:tcPr>
            <w:tcW w:w="725" w:type="dxa"/>
            <w:tcBorders/>
            <w:vAlign w:val="center"/>
          </w:tcPr>
          <w:p>
            <w:pPr>
              <w:pStyle w:val="TableContents"/>
              <w:bidi w:val="0"/>
              <w:spacing w:before="0" w:after="283"/>
              <w:jc w:val="left"/>
              <w:rPr>
                <w:sz w:val="4"/>
                <w:szCs w:val="4"/>
              </w:rPr>
            </w:pPr>
            <w:r>
              <w:rPr>
                <w:sz w:val="4"/>
                <w:szCs w:val="4"/>
              </w:rPr>
            </w:r>
          </w:p>
        </w:tc>
        <w:tc>
          <w:tcPr>
            <w:tcW w:w="3357"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97" w:type="dxa"/>
            <w:tcBorders>
              <w:bottom w:val="single" w:sz="2" w:space="0" w:color="000000"/>
            </w:tcBorders>
            <w:tcMar>
              <w:bottom w:w="28" w:type="dxa"/>
            </w:tcMar>
          </w:tcPr>
          <w:p>
            <w:pPr>
              <w:pStyle w:val="TableContents"/>
              <w:bidi w:val="0"/>
              <w:spacing w:before="0" w:after="283"/>
              <w:jc w:val="left"/>
              <w:rPr/>
            </w:pPr>
            <w:r>
              <w:rPr/>
              <w:t>/s/ Irlen Mak</w:t>
            </w:r>
          </w:p>
        </w:tc>
      </w:tr>
      <w:tr>
        <w:trPr/>
        <w:tc>
          <w:tcPr>
            <w:tcW w:w="72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pPr>
            <w:r>
              <w:rPr/>
              <w:t>Irlen Mak</w:t>
            </w:r>
          </w:p>
        </w:tc>
      </w:tr>
      <w:tr>
        <w:trPr/>
        <w:tc>
          <w:tcPr>
            <w:tcW w:w="72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7" w:type="dxa"/>
            <w:tcBorders/>
          </w:tcPr>
          <w:p>
            <w:pPr>
              <w:pStyle w:val="TableContents"/>
              <w:bidi w:val="0"/>
              <w:spacing w:before="0" w:after="283"/>
              <w:jc w:val="left"/>
              <w:rPr/>
            </w:pPr>
            <w:r>
              <w:rPr/>
              <w:t>Executive Director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722"/>
        <w:gridCol w:w="60"/>
        <w:gridCol w:w="3300"/>
      </w:tblGrid>
      <w:tr>
        <w:trPr/>
        <w:tc>
          <w:tcPr>
            <w:tcW w:w="72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Toronto-Dominion Bank, New York Branch as a Lender</w:t>
            </w:r>
          </w:p>
        </w:tc>
      </w:tr>
      <w:tr>
        <w:trPr>
          <w:trHeight w:val="240" w:hRule="atLeast"/>
        </w:trPr>
        <w:tc>
          <w:tcPr>
            <w:tcW w:w="722" w:type="dxa"/>
            <w:tcBorders/>
            <w:vAlign w:val="center"/>
          </w:tcPr>
          <w:p>
            <w:pPr>
              <w:pStyle w:val="TableContents"/>
              <w:bidi w:val="0"/>
              <w:spacing w:before="0" w:after="283"/>
              <w:jc w:val="left"/>
              <w:rPr>
                <w:sz w:val="4"/>
                <w:szCs w:val="4"/>
              </w:rPr>
            </w:pPr>
            <w:r>
              <w:rPr>
                <w:sz w:val="4"/>
                <w:szCs w:val="4"/>
              </w:rPr>
            </w:r>
          </w:p>
        </w:tc>
        <w:tc>
          <w:tcPr>
            <w:tcW w:w="3360" w:type="dxa"/>
            <w:gridSpan w:val="2"/>
            <w:tcBorders/>
            <w:vAlign w:val="center"/>
          </w:tcPr>
          <w:p>
            <w:pPr>
              <w:pStyle w:val="TableContents"/>
              <w:bidi w:val="0"/>
              <w:spacing w:before="0" w:after="283"/>
              <w:jc w:val="left"/>
              <w:rPr>
                <w:sz w:val="4"/>
                <w:szCs w:val="4"/>
              </w:rPr>
            </w:pPr>
            <w:r>
              <w:rPr>
                <w:sz w:val="4"/>
                <w:szCs w:val="4"/>
              </w:rPr>
            </w:r>
          </w:p>
        </w:tc>
      </w:tr>
      <w:tr>
        <w:trPr/>
        <w:tc>
          <w:tcPr>
            <w:tcW w:w="72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0" w:type="dxa"/>
            <w:tcBorders>
              <w:bottom w:val="single" w:sz="2" w:space="0" w:color="000000"/>
            </w:tcBorders>
            <w:tcMar>
              <w:bottom w:w="28" w:type="dxa"/>
            </w:tcMar>
          </w:tcPr>
          <w:p>
            <w:pPr>
              <w:pStyle w:val="TableContents"/>
              <w:bidi w:val="0"/>
              <w:spacing w:before="0" w:after="283"/>
              <w:jc w:val="left"/>
              <w:rPr/>
            </w:pPr>
            <w:r>
              <w:rPr/>
              <w:t>/s/ Timothy Brogan</w:t>
            </w:r>
          </w:p>
        </w:tc>
      </w:tr>
      <w:tr>
        <w:trPr/>
        <w:tc>
          <w:tcPr>
            <w:tcW w:w="72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Timothy Brogan</w:t>
            </w:r>
          </w:p>
        </w:tc>
      </w:tr>
      <w:tr>
        <w:trPr/>
        <w:tc>
          <w:tcPr>
            <w:tcW w:w="72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700"/>
        <w:gridCol w:w="60"/>
        <w:gridCol w:w="3322"/>
      </w:tblGrid>
      <w:tr>
        <w:trPr/>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National Association as a Lender</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2" w:type="dxa"/>
            <w:tcBorders>
              <w:bottom w:val="single" w:sz="2" w:space="0" w:color="000000"/>
            </w:tcBorders>
            <w:tcMar>
              <w:bottom w:w="28" w:type="dxa"/>
            </w:tcMar>
          </w:tcPr>
          <w:p>
            <w:pPr>
              <w:pStyle w:val="TableContents"/>
              <w:bidi w:val="0"/>
              <w:spacing w:before="0" w:after="283"/>
              <w:jc w:val="left"/>
              <w:rPr/>
            </w:pPr>
            <w:r>
              <w:rPr/>
              <w:t>/s/ Benjamin Schwartz</w:t>
            </w:r>
          </w:p>
        </w:tc>
      </w:tr>
      <w:tr>
        <w:trPr/>
        <w:tc>
          <w:tcPr>
            <w:tcW w:w="70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2" w:type="dxa"/>
            <w:tcBorders/>
          </w:tcPr>
          <w:p>
            <w:pPr>
              <w:pStyle w:val="TableContents"/>
              <w:bidi w:val="0"/>
              <w:spacing w:before="0" w:after="283"/>
              <w:jc w:val="left"/>
              <w:rPr/>
            </w:pPr>
            <w:r>
              <w:rPr/>
              <w:t>Benjamin Schwartz</w:t>
            </w:r>
          </w:p>
        </w:tc>
      </w:tr>
      <w:tr>
        <w:trPr/>
        <w:tc>
          <w:tcPr>
            <w:tcW w:w="70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2"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23"/>
        <w:gridCol w:w="3168"/>
        <w:gridCol w:w="123"/>
        <w:gridCol w:w="3328"/>
      </w:tblGrid>
      <w:tr>
        <w:trPr/>
        <w:tc>
          <w:tcPr>
            <w:tcW w:w="34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6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0"/>
              <w:jc w:val="right"/>
              <w:rPr>
                <w:rFonts w:ascii="Times New Roman" w:hAnsi="Times New Roman"/>
                <w:sz w:val="20"/>
              </w:rPr>
            </w:pPr>
            <w:r>
              <w:rPr>
                <w:rFonts w:ascii="Times New Roman" w:hAnsi="Times New Roman"/>
                <w:sz w:val="20"/>
              </w:rPr>
              <w:t>CREDIT AGREEMENT</w:t>
            </w:r>
          </w:p>
          <w:p>
            <w:pPr>
              <w:pStyle w:val="TableContents"/>
              <w:bidi w:val="0"/>
              <w:spacing w:before="0" w:after="20"/>
              <w:jc w:val="right"/>
              <w:rPr>
                <w:rFonts w:ascii="Times New Roman" w:hAnsi="Times New Roman"/>
                <w:sz w:val="20"/>
              </w:rPr>
            </w:pPr>
            <w:r>
              <w:rPr>
                <w:rFonts w:ascii="Times New Roman" w:hAnsi="Times New Roman"/>
                <w:sz w:val="20"/>
              </w:rPr>
              <w:t>ANALOG DEVICES, INC.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2.01 </w:t>
      </w:r>
    </w:p>
    <w:p>
      <w:pPr>
        <w:pStyle w:val="TextBody"/>
        <w:bidi w:val="0"/>
        <w:spacing w:before="240" w:after="0"/>
        <w:jc w:val="center"/>
        <w:rPr>
          <w:rFonts w:ascii="Times New Roman" w:hAnsi="Times New Roman"/>
          <w:b/>
          <w:sz w:val="20"/>
        </w:rPr>
      </w:pPr>
      <w:r>
        <w:rPr>
          <w:rFonts w:ascii="Times New Roman" w:hAnsi="Times New Roman"/>
          <w:b/>
          <w:sz w:val="20"/>
        </w:rPr>
        <w:t xml:space="preserve">COMMITMENTS AND APPLICABLE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38"/>
        <w:gridCol w:w="158"/>
        <w:gridCol w:w="140"/>
        <w:gridCol w:w="1995"/>
        <w:gridCol w:w="60"/>
        <w:gridCol w:w="158"/>
        <w:gridCol w:w="60"/>
        <w:gridCol w:w="1470"/>
        <w:gridCol w:w="326"/>
      </w:tblGrid>
      <w:tr>
        <w:trPr/>
        <w:tc>
          <w:tcPr>
            <w:tcW w:w="5838"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583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158" w:type="dxa"/>
            <w:tcBorders/>
            <w:vAlign w:val="bottom"/>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Commitment</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w:t>
              <w:br/>
              <w:t>Percentage</w:t>
            </w:r>
          </w:p>
        </w:tc>
        <w:tc>
          <w:tcPr>
            <w:tcW w:w="326" w:type="dxa"/>
            <w:tcBorders/>
            <w:vAlign w:val="bottom"/>
          </w:tcPr>
          <w:p>
            <w:pPr>
              <w:pStyle w:val="TableContents"/>
              <w:bidi w:val="0"/>
              <w:spacing w:before="0" w:after="283"/>
              <w:jc w:val="left"/>
              <w:rPr/>
            </w:pPr>
            <w:r>
              <w:rPr/>
              <w:t> </w:t>
            </w:r>
          </w:p>
        </w:tc>
      </w:tr>
      <w:tr>
        <w:trPr/>
        <w:tc>
          <w:tcPr>
            <w:tcW w:w="5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Bank of America, N.A.</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995" w:type="dxa"/>
            <w:tcBorders/>
            <w:shd w:fill="CCEEFF" w:val="clear"/>
            <w:vAlign w:val="bottom"/>
          </w:tcPr>
          <w:p>
            <w:pPr>
              <w:pStyle w:val="TableContents"/>
              <w:bidi w:val="0"/>
              <w:spacing w:before="0" w:after="283"/>
              <w:jc w:val="right"/>
              <w:rPr/>
            </w:pPr>
            <w:r>
              <w:rPr/>
              <w:t>290,000,000.00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9.666666667</w:t>
            </w:r>
          </w:p>
        </w:tc>
        <w:tc>
          <w:tcPr>
            <w:tcW w:w="326" w:type="dxa"/>
            <w:tcBorders/>
            <w:shd w:fill="CCEEFF" w:val="clear"/>
            <w:vAlign w:val="bottom"/>
          </w:tcPr>
          <w:p>
            <w:pPr>
              <w:pStyle w:val="TableContents"/>
              <w:bidi w:val="0"/>
              <w:spacing w:before="0" w:after="283"/>
              <w:jc w:val="left"/>
              <w:rPr/>
            </w:pPr>
            <w:r>
              <w:rPr/>
              <w:t>% </w:t>
            </w:r>
          </w:p>
        </w:tc>
      </w:tr>
      <w:tr>
        <w:trPr/>
        <w:tc>
          <w:tcPr>
            <w:tcW w:w="5838" w:type="dxa"/>
            <w:tcBorders/>
          </w:tcPr>
          <w:p>
            <w:pPr>
              <w:pStyle w:val="TableContents"/>
              <w:bidi w:val="0"/>
              <w:spacing w:before="0" w:after="0"/>
              <w:jc w:val="left"/>
              <w:rPr>
                <w:rFonts w:ascii="Times New Roman" w:hAnsi="Times New Roman"/>
                <w:sz w:val="20"/>
              </w:rPr>
            </w:pPr>
            <w:r>
              <w:rPr>
                <w:rFonts w:ascii="Times New Roman" w:hAnsi="Times New Roman"/>
                <w:sz w:val="20"/>
              </w:rPr>
              <w:t>Barclays Bank PLC</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995" w:type="dxa"/>
            <w:tcBorders/>
            <w:vAlign w:val="bottom"/>
          </w:tcPr>
          <w:p>
            <w:pPr>
              <w:pStyle w:val="TableContents"/>
              <w:bidi w:val="0"/>
              <w:spacing w:before="0" w:after="283"/>
              <w:jc w:val="right"/>
              <w:rPr/>
            </w:pPr>
            <w:r>
              <w:rPr/>
              <w:t>290,000,000.00</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9.666666667</w:t>
            </w:r>
          </w:p>
        </w:tc>
        <w:tc>
          <w:tcPr>
            <w:tcW w:w="326" w:type="dxa"/>
            <w:tcBorders/>
            <w:vAlign w:val="bottom"/>
          </w:tcPr>
          <w:p>
            <w:pPr>
              <w:pStyle w:val="TableContents"/>
              <w:bidi w:val="0"/>
              <w:spacing w:before="0" w:after="283"/>
              <w:jc w:val="left"/>
              <w:rPr/>
            </w:pPr>
            <w:r>
              <w:rPr/>
              <w:t>% </w:t>
            </w:r>
          </w:p>
        </w:tc>
      </w:tr>
      <w:tr>
        <w:trPr/>
        <w:tc>
          <w:tcPr>
            <w:tcW w:w="5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BNP Paribas</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995" w:type="dxa"/>
            <w:tcBorders/>
            <w:shd w:fill="CCEEFF" w:val="clear"/>
            <w:vAlign w:val="bottom"/>
          </w:tcPr>
          <w:p>
            <w:pPr>
              <w:pStyle w:val="TableContents"/>
              <w:bidi w:val="0"/>
              <w:spacing w:before="0" w:after="283"/>
              <w:jc w:val="right"/>
              <w:rPr/>
            </w:pPr>
            <w:r>
              <w:rPr/>
              <w:t>290,000,000.00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9.666666667</w:t>
            </w:r>
          </w:p>
        </w:tc>
        <w:tc>
          <w:tcPr>
            <w:tcW w:w="326" w:type="dxa"/>
            <w:tcBorders/>
            <w:shd w:fill="CCEEFF" w:val="clear"/>
            <w:vAlign w:val="bottom"/>
          </w:tcPr>
          <w:p>
            <w:pPr>
              <w:pStyle w:val="TableContents"/>
              <w:bidi w:val="0"/>
              <w:spacing w:before="0" w:after="283"/>
              <w:jc w:val="left"/>
              <w:rPr/>
            </w:pPr>
            <w:r>
              <w:rPr/>
              <w:t>% </w:t>
            </w:r>
          </w:p>
        </w:tc>
      </w:tr>
      <w:tr>
        <w:trPr/>
        <w:tc>
          <w:tcPr>
            <w:tcW w:w="5838" w:type="dxa"/>
            <w:tcBorders/>
          </w:tcPr>
          <w:p>
            <w:pPr>
              <w:pStyle w:val="TableContents"/>
              <w:bidi w:val="0"/>
              <w:spacing w:before="0" w:after="0"/>
              <w:jc w:val="left"/>
              <w:rPr>
                <w:rFonts w:ascii="Times New Roman" w:hAnsi="Times New Roman"/>
                <w:sz w:val="20"/>
              </w:rPr>
            </w:pPr>
            <w:r>
              <w:rPr>
                <w:rFonts w:ascii="Times New Roman" w:hAnsi="Times New Roman"/>
                <w:sz w:val="20"/>
              </w:rPr>
              <w:t>Citibank, N.A.</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995" w:type="dxa"/>
            <w:tcBorders/>
            <w:vAlign w:val="bottom"/>
          </w:tcPr>
          <w:p>
            <w:pPr>
              <w:pStyle w:val="TableContents"/>
              <w:bidi w:val="0"/>
              <w:spacing w:before="0" w:after="283"/>
              <w:jc w:val="right"/>
              <w:rPr/>
            </w:pPr>
            <w:r>
              <w:rPr/>
              <w:t>290,000,000.00</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9.666666667</w:t>
            </w:r>
          </w:p>
        </w:tc>
        <w:tc>
          <w:tcPr>
            <w:tcW w:w="326" w:type="dxa"/>
            <w:tcBorders/>
            <w:vAlign w:val="bottom"/>
          </w:tcPr>
          <w:p>
            <w:pPr>
              <w:pStyle w:val="TableContents"/>
              <w:bidi w:val="0"/>
              <w:spacing w:before="0" w:after="283"/>
              <w:jc w:val="left"/>
              <w:rPr/>
            </w:pPr>
            <w:r>
              <w:rPr/>
              <w:t>% </w:t>
            </w:r>
          </w:p>
        </w:tc>
      </w:tr>
      <w:tr>
        <w:trPr/>
        <w:tc>
          <w:tcPr>
            <w:tcW w:w="5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995" w:type="dxa"/>
            <w:tcBorders/>
            <w:shd w:fill="CCEEFF" w:val="clear"/>
            <w:vAlign w:val="bottom"/>
          </w:tcPr>
          <w:p>
            <w:pPr>
              <w:pStyle w:val="TableContents"/>
              <w:bidi w:val="0"/>
              <w:spacing w:before="0" w:after="283"/>
              <w:jc w:val="right"/>
              <w:rPr/>
            </w:pPr>
            <w:r>
              <w:rPr/>
              <w:t>290,000,000.00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9.666666666</w:t>
            </w:r>
          </w:p>
        </w:tc>
        <w:tc>
          <w:tcPr>
            <w:tcW w:w="326" w:type="dxa"/>
            <w:tcBorders/>
            <w:shd w:fill="CCEEFF" w:val="clear"/>
            <w:vAlign w:val="bottom"/>
          </w:tcPr>
          <w:p>
            <w:pPr>
              <w:pStyle w:val="TableContents"/>
              <w:bidi w:val="0"/>
              <w:spacing w:before="0" w:after="283"/>
              <w:jc w:val="left"/>
              <w:rPr/>
            </w:pPr>
            <w:r>
              <w:rPr/>
              <w:t>% </w:t>
            </w:r>
          </w:p>
        </w:tc>
      </w:tr>
      <w:tr>
        <w:trPr/>
        <w:tc>
          <w:tcPr>
            <w:tcW w:w="5838"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Bank, N.A.</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995" w:type="dxa"/>
            <w:tcBorders/>
            <w:vAlign w:val="bottom"/>
          </w:tcPr>
          <w:p>
            <w:pPr>
              <w:pStyle w:val="TableContents"/>
              <w:bidi w:val="0"/>
              <w:spacing w:before="0" w:after="283"/>
              <w:jc w:val="right"/>
              <w:rPr/>
            </w:pPr>
            <w:r>
              <w:rPr/>
              <w:t>290,000,000.00</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9.666666666</w:t>
            </w:r>
          </w:p>
        </w:tc>
        <w:tc>
          <w:tcPr>
            <w:tcW w:w="326" w:type="dxa"/>
            <w:tcBorders/>
            <w:vAlign w:val="bottom"/>
          </w:tcPr>
          <w:p>
            <w:pPr>
              <w:pStyle w:val="TableContents"/>
              <w:bidi w:val="0"/>
              <w:spacing w:before="0" w:after="283"/>
              <w:jc w:val="left"/>
              <w:rPr/>
            </w:pPr>
            <w:r>
              <w:rPr/>
              <w:t>% </w:t>
            </w:r>
          </w:p>
        </w:tc>
      </w:tr>
      <w:tr>
        <w:trPr/>
        <w:tc>
          <w:tcPr>
            <w:tcW w:w="5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BMO Bank N.A.</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995" w:type="dxa"/>
            <w:tcBorders/>
            <w:shd w:fill="CCEEFF" w:val="clear"/>
            <w:vAlign w:val="bottom"/>
          </w:tcPr>
          <w:p>
            <w:pPr>
              <w:pStyle w:val="TableContents"/>
              <w:bidi w:val="0"/>
              <w:spacing w:before="0" w:after="283"/>
              <w:jc w:val="right"/>
              <w:rPr/>
            </w:pPr>
            <w:r>
              <w:rPr/>
              <w:t>157,500,000.00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5.250000000</w:t>
            </w:r>
          </w:p>
        </w:tc>
        <w:tc>
          <w:tcPr>
            <w:tcW w:w="326" w:type="dxa"/>
            <w:tcBorders/>
            <w:shd w:fill="CCEEFF" w:val="clear"/>
            <w:vAlign w:val="bottom"/>
          </w:tcPr>
          <w:p>
            <w:pPr>
              <w:pStyle w:val="TableContents"/>
              <w:bidi w:val="0"/>
              <w:spacing w:before="0" w:after="283"/>
              <w:jc w:val="left"/>
              <w:rPr/>
            </w:pPr>
            <w:r>
              <w:rPr/>
              <w:t>% </w:t>
            </w:r>
          </w:p>
        </w:tc>
      </w:tr>
      <w:tr>
        <w:trPr/>
        <w:tc>
          <w:tcPr>
            <w:tcW w:w="5838" w:type="dxa"/>
            <w:tcBorders/>
          </w:tcPr>
          <w:p>
            <w:pPr>
              <w:pStyle w:val="TableContents"/>
              <w:bidi w:val="0"/>
              <w:spacing w:before="0" w:after="0"/>
              <w:jc w:val="left"/>
              <w:rPr>
                <w:rFonts w:ascii="Times New Roman" w:hAnsi="Times New Roman"/>
                <w:sz w:val="20"/>
              </w:rPr>
            </w:pPr>
            <w:r>
              <w:rPr>
                <w:rFonts w:ascii="Times New Roman" w:hAnsi="Times New Roman"/>
                <w:sz w:val="20"/>
              </w:rPr>
              <w:t>HSBC Bank USA, National Association</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995" w:type="dxa"/>
            <w:tcBorders/>
            <w:vAlign w:val="bottom"/>
          </w:tcPr>
          <w:p>
            <w:pPr>
              <w:pStyle w:val="TableContents"/>
              <w:bidi w:val="0"/>
              <w:spacing w:before="0" w:after="283"/>
              <w:jc w:val="right"/>
              <w:rPr/>
            </w:pPr>
            <w:r>
              <w:rPr/>
              <w:t>157,500,000.00</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5.250000000</w:t>
            </w:r>
          </w:p>
        </w:tc>
        <w:tc>
          <w:tcPr>
            <w:tcW w:w="326" w:type="dxa"/>
            <w:tcBorders/>
            <w:vAlign w:val="bottom"/>
          </w:tcPr>
          <w:p>
            <w:pPr>
              <w:pStyle w:val="TableContents"/>
              <w:bidi w:val="0"/>
              <w:spacing w:before="0" w:after="283"/>
              <w:jc w:val="left"/>
              <w:rPr/>
            </w:pPr>
            <w:r>
              <w:rPr/>
              <w:t>% </w:t>
            </w:r>
          </w:p>
        </w:tc>
      </w:tr>
      <w:tr>
        <w:trPr/>
        <w:tc>
          <w:tcPr>
            <w:tcW w:w="5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Bank, Ltd.</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995" w:type="dxa"/>
            <w:tcBorders/>
            <w:shd w:fill="CCEEFF" w:val="clear"/>
            <w:vAlign w:val="bottom"/>
          </w:tcPr>
          <w:p>
            <w:pPr>
              <w:pStyle w:val="TableContents"/>
              <w:bidi w:val="0"/>
              <w:spacing w:before="0" w:after="283"/>
              <w:jc w:val="right"/>
              <w:rPr/>
            </w:pPr>
            <w:r>
              <w:rPr/>
              <w:t>157,500,000.00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5.250000000</w:t>
            </w:r>
          </w:p>
        </w:tc>
        <w:tc>
          <w:tcPr>
            <w:tcW w:w="326" w:type="dxa"/>
            <w:tcBorders/>
            <w:shd w:fill="CCEEFF" w:val="clear"/>
            <w:vAlign w:val="bottom"/>
          </w:tcPr>
          <w:p>
            <w:pPr>
              <w:pStyle w:val="TableContents"/>
              <w:bidi w:val="0"/>
              <w:spacing w:before="0" w:after="283"/>
              <w:jc w:val="left"/>
              <w:rPr/>
            </w:pPr>
            <w:r>
              <w:rPr/>
              <w:t>% </w:t>
            </w:r>
          </w:p>
        </w:tc>
      </w:tr>
      <w:tr>
        <w:trPr/>
        <w:tc>
          <w:tcPr>
            <w:tcW w:w="5838" w:type="dxa"/>
            <w:tcBorders/>
          </w:tcPr>
          <w:p>
            <w:pPr>
              <w:pStyle w:val="TableContents"/>
              <w:bidi w:val="0"/>
              <w:spacing w:before="0" w:after="0"/>
              <w:jc w:val="left"/>
              <w:rPr>
                <w:rFonts w:ascii="Times New Roman" w:hAnsi="Times New Roman"/>
                <w:sz w:val="20"/>
              </w:rPr>
            </w:pPr>
            <w:r>
              <w:rPr>
                <w:rFonts w:ascii="Times New Roman" w:hAnsi="Times New Roman"/>
                <w:sz w:val="20"/>
              </w:rPr>
              <w:t>MUFG Bank, Ltd.</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995" w:type="dxa"/>
            <w:tcBorders/>
            <w:vAlign w:val="bottom"/>
          </w:tcPr>
          <w:p>
            <w:pPr>
              <w:pStyle w:val="TableContents"/>
              <w:bidi w:val="0"/>
              <w:spacing w:before="0" w:after="283"/>
              <w:jc w:val="right"/>
              <w:rPr/>
            </w:pPr>
            <w:r>
              <w:rPr/>
              <w:t>157,500,000.00</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5.250000000</w:t>
            </w:r>
          </w:p>
        </w:tc>
        <w:tc>
          <w:tcPr>
            <w:tcW w:w="326" w:type="dxa"/>
            <w:tcBorders/>
            <w:vAlign w:val="bottom"/>
          </w:tcPr>
          <w:p>
            <w:pPr>
              <w:pStyle w:val="TableContents"/>
              <w:bidi w:val="0"/>
              <w:spacing w:before="0" w:after="283"/>
              <w:jc w:val="left"/>
              <w:rPr/>
            </w:pPr>
            <w:r>
              <w:rPr/>
              <w:t>% </w:t>
            </w:r>
          </w:p>
        </w:tc>
      </w:tr>
      <w:tr>
        <w:trPr/>
        <w:tc>
          <w:tcPr>
            <w:tcW w:w="5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995" w:type="dxa"/>
            <w:tcBorders/>
            <w:shd w:fill="CCEEFF" w:val="clear"/>
            <w:vAlign w:val="bottom"/>
          </w:tcPr>
          <w:p>
            <w:pPr>
              <w:pStyle w:val="TableContents"/>
              <w:bidi w:val="0"/>
              <w:spacing w:before="0" w:after="283"/>
              <w:jc w:val="right"/>
              <w:rPr/>
            </w:pPr>
            <w:r>
              <w:rPr/>
              <w:t>157,500,000.00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5.250000000</w:t>
            </w:r>
          </w:p>
        </w:tc>
        <w:tc>
          <w:tcPr>
            <w:tcW w:w="326" w:type="dxa"/>
            <w:tcBorders/>
            <w:shd w:fill="CCEEFF" w:val="clear"/>
            <w:vAlign w:val="bottom"/>
          </w:tcPr>
          <w:p>
            <w:pPr>
              <w:pStyle w:val="TableContents"/>
              <w:bidi w:val="0"/>
              <w:spacing w:before="0" w:after="283"/>
              <w:jc w:val="left"/>
              <w:rPr/>
            </w:pPr>
            <w:r>
              <w:rPr/>
              <w:t>% </w:t>
            </w:r>
          </w:p>
        </w:tc>
      </w:tr>
      <w:tr>
        <w:trPr/>
        <w:tc>
          <w:tcPr>
            <w:tcW w:w="5838" w:type="dxa"/>
            <w:tcBorders/>
          </w:tcPr>
          <w:p>
            <w:pPr>
              <w:pStyle w:val="TableContents"/>
              <w:bidi w:val="0"/>
              <w:spacing w:before="0" w:after="0"/>
              <w:jc w:val="left"/>
              <w:rPr>
                <w:rFonts w:ascii="Times New Roman" w:hAnsi="Times New Roman"/>
                <w:sz w:val="20"/>
              </w:rPr>
            </w:pPr>
            <w:r>
              <w:rPr>
                <w:rFonts w:ascii="Times New Roman" w:hAnsi="Times New Roman"/>
                <w:sz w:val="20"/>
              </w:rPr>
              <w:t>Sumitomo Mitsui Banking Corporation</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995" w:type="dxa"/>
            <w:tcBorders/>
            <w:vAlign w:val="bottom"/>
          </w:tcPr>
          <w:p>
            <w:pPr>
              <w:pStyle w:val="TableContents"/>
              <w:bidi w:val="0"/>
              <w:spacing w:before="0" w:after="283"/>
              <w:jc w:val="right"/>
              <w:rPr/>
            </w:pPr>
            <w:r>
              <w:rPr/>
              <w:t>157,500,000.00</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5.250000000</w:t>
            </w:r>
          </w:p>
        </w:tc>
        <w:tc>
          <w:tcPr>
            <w:tcW w:w="326" w:type="dxa"/>
            <w:tcBorders/>
            <w:vAlign w:val="bottom"/>
          </w:tcPr>
          <w:p>
            <w:pPr>
              <w:pStyle w:val="TableContents"/>
              <w:bidi w:val="0"/>
              <w:spacing w:before="0" w:after="283"/>
              <w:jc w:val="left"/>
              <w:rPr/>
            </w:pPr>
            <w:r>
              <w:rPr/>
              <w:t>% </w:t>
            </w:r>
          </w:p>
        </w:tc>
      </w:tr>
      <w:tr>
        <w:trPr/>
        <w:tc>
          <w:tcPr>
            <w:tcW w:w="5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Toronto-Dominion Bank, New York Branch</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995" w:type="dxa"/>
            <w:tcBorders/>
            <w:shd w:fill="CCEEFF" w:val="clear"/>
            <w:vAlign w:val="bottom"/>
          </w:tcPr>
          <w:p>
            <w:pPr>
              <w:pStyle w:val="TableContents"/>
              <w:bidi w:val="0"/>
              <w:spacing w:before="0" w:after="283"/>
              <w:jc w:val="right"/>
              <w:rPr/>
            </w:pPr>
            <w:r>
              <w:rPr/>
              <w:t>157,500,000.00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5.250000000</w:t>
            </w:r>
          </w:p>
        </w:tc>
        <w:tc>
          <w:tcPr>
            <w:tcW w:w="326" w:type="dxa"/>
            <w:tcBorders/>
            <w:shd w:fill="CCEEFF" w:val="clear"/>
            <w:vAlign w:val="bottom"/>
          </w:tcPr>
          <w:p>
            <w:pPr>
              <w:pStyle w:val="TableContents"/>
              <w:bidi w:val="0"/>
              <w:spacing w:before="0" w:after="283"/>
              <w:jc w:val="left"/>
              <w:rPr/>
            </w:pPr>
            <w:r>
              <w:rPr/>
              <w:t>% </w:t>
            </w:r>
          </w:p>
        </w:tc>
      </w:tr>
      <w:tr>
        <w:trPr/>
        <w:tc>
          <w:tcPr>
            <w:tcW w:w="5838"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Bank, National Association</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995" w:type="dxa"/>
            <w:tcBorders/>
            <w:vAlign w:val="bottom"/>
          </w:tcPr>
          <w:p>
            <w:pPr>
              <w:pStyle w:val="TableContents"/>
              <w:bidi w:val="0"/>
              <w:spacing w:before="0" w:after="283"/>
              <w:jc w:val="right"/>
              <w:rPr/>
            </w:pPr>
            <w:r>
              <w:rPr/>
              <w:t>157,500,000.00</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5.250000000</w:t>
            </w:r>
          </w:p>
        </w:tc>
        <w:tc>
          <w:tcPr>
            <w:tcW w:w="326" w:type="dxa"/>
            <w:tcBorders/>
            <w:vAlign w:val="bottom"/>
          </w:tcPr>
          <w:p>
            <w:pPr>
              <w:pStyle w:val="TableContents"/>
              <w:bidi w:val="0"/>
              <w:spacing w:before="0" w:after="283"/>
              <w:jc w:val="left"/>
              <w:rPr/>
            </w:pPr>
            <w:r>
              <w:rPr/>
              <w:t>% </w:t>
            </w:r>
          </w:p>
        </w:tc>
      </w:tr>
      <w:tr>
        <w:trPr/>
        <w:tc>
          <w:tcPr>
            <w:tcW w:w="58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995" w:type="dxa"/>
            <w:tcBorders/>
            <w:shd w:fill="CCEEFF" w:val="clear"/>
            <w:vAlign w:val="bottom"/>
          </w:tcPr>
          <w:p>
            <w:pPr>
              <w:pStyle w:val="TableContents"/>
              <w:bidi w:val="0"/>
              <w:spacing w:before="0" w:after="283"/>
              <w:jc w:val="right"/>
              <w:rPr>
                <w:b/>
              </w:rPr>
            </w:pPr>
            <w:r>
              <w:rPr>
                <w:b/>
              </w:rPr>
              <w:t>3,000,000,000.00</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b/>
              </w:rPr>
            </w:pPr>
            <w:r>
              <w:rPr>
                <w:b/>
              </w:rPr>
              <w:t>100.00</w:t>
            </w:r>
          </w:p>
        </w:tc>
        <w:tc>
          <w:tcPr>
            <w:tcW w:w="326" w:type="dxa"/>
            <w:tcBorders/>
            <w:shd w:fill="CCEEFF" w:val="clear"/>
            <w:vAlign w:val="bottom"/>
          </w:tcPr>
          <w:p>
            <w:pPr>
              <w:pStyle w:val="TableContents"/>
              <w:bidi w:val="0"/>
              <w:spacing w:before="0" w:after="283"/>
              <w:jc w:val="left"/>
              <w:rPr>
                <w:b/>
              </w:rPr>
            </w:pPr>
            <w:r>
              <w:rPr>
                <w:b/>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5.12(d) </w:t>
      </w:r>
    </w:p>
    <w:p>
      <w:pPr>
        <w:pStyle w:val="TextBody"/>
        <w:bidi w:val="0"/>
        <w:spacing w:before="240" w:after="0"/>
        <w:jc w:val="center"/>
        <w:rPr>
          <w:rFonts w:ascii="Times New Roman" w:hAnsi="Times New Roman"/>
          <w:b/>
          <w:sz w:val="20"/>
        </w:rPr>
      </w:pPr>
      <w:r>
        <w:rPr>
          <w:rFonts w:ascii="Times New Roman" w:hAnsi="Times New Roman"/>
          <w:b/>
          <w:sz w:val="20"/>
        </w:rPr>
        <w:t xml:space="preserve">PENSION PLANS </w:t>
      </w:r>
    </w:p>
    <w:p>
      <w:pPr>
        <w:pStyle w:val="TextBody"/>
        <w:bidi w:val="0"/>
        <w:spacing w:before="240" w:after="0"/>
        <w:jc w:val="left"/>
        <w:rPr>
          <w:rFonts w:ascii="Times New Roman" w:hAnsi="Times New Roman"/>
          <w:sz w:val="20"/>
        </w:rPr>
      </w:pPr>
      <w:r>
        <w:rPr>
          <w:rFonts w:ascii="Times New Roman" w:hAnsi="Times New Roman"/>
          <w:sz w:val="20"/>
        </w:rPr>
        <w:t xml:space="preserve">None other than in respect of immaterial amounts in respect of existing plans.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5.13 </w:t>
      </w:r>
    </w:p>
    <w:p>
      <w:pPr>
        <w:pStyle w:val="TextBody"/>
        <w:bidi w:val="0"/>
        <w:spacing w:before="240" w:after="0"/>
        <w:jc w:val="center"/>
        <w:rPr>
          <w:rFonts w:ascii="Times New Roman" w:hAnsi="Times New Roman"/>
          <w:sz w:val="20"/>
        </w:rPr>
      </w:pPr>
      <w:r>
        <w:rPr>
          <w:rFonts w:ascii="Times New Roman" w:hAnsi="Times New Roman"/>
          <w:sz w:val="20"/>
        </w:rPr>
        <w:t xml:space="preserve">[Reserved]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5.17 </w:t>
      </w:r>
    </w:p>
    <w:p>
      <w:pPr>
        <w:pStyle w:val="TextBody"/>
        <w:bidi w:val="0"/>
        <w:spacing w:before="240" w:after="0"/>
        <w:jc w:val="center"/>
        <w:rPr>
          <w:rFonts w:ascii="Times New Roman" w:hAnsi="Times New Roman"/>
          <w:b/>
          <w:sz w:val="20"/>
        </w:rPr>
      </w:pPr>
      <w:r>
        <w:rPr>
          <w:rFonts w:ascii="Times New Roman" w:hAnsi="Times New Roman"/>
          <w:b/>
          <w:sz w:val="20"/>
        </w:rPr>
        <w:t xml:space="preserve">TAXPAYER IDENTIFICATION NUMBER </w:t>
      </w:r>
    </w:p>
    <w:p>
      <w:pPr>
        <w:pStyle w:val="TextBody"/>
        <w:bidi w:val="0"/>
        <w:spacing w:before="240" w:after="0"/>
        <w:jc w:val="left"/>
        <w:rPr>
          <w:rFonts w:ascii="Times New Roman" w:hAnsi="Times New Roman"/>
          <w:sz w:val="20"/>
        </w:rPr>
      </w:pPr>
      <w:r>
        <w:rPr>
          <w:rFonts w:ascii="Times New Roman" w:hAnsi="Times New Roman"/>
          <w:sz w:val="20"/>
        </w:rPr>
        <w:t xml:space="preserve">TIN: 04-2348234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7.01 </w:t>
      </w:r>
    </w:p>
    <w:p>
      <w:pPr>
        <w:pStyle w:val="TextBody"/>
        <w:bidi w:val="0"/>
        <w:spacing w:before="240" w:after="0"/>
        <w:jc w:val="center"/>
        <w:rPr>
          <w:rFonts w:ascii="Times New Roman" w:hAnsi="Times New Roman"/>
          <w:b/>
          <w:sz w:val="20"/>
        </w:rPr>
      </w:pPr>
      <w:r>
        <w:rPr>
          <w:rFonts w:ascii="Times New Roman" w:hAnsi="Times New Roman"/>
          <w:b/>
          <w:sz w:val="20"/>
        </w:rPr>
        <w:t xml:space="preserve">LIENS </w:t>
      </w:r>
    </w:p>
    <w:p>
      <w:pPr>
        <w:pStyle w:val="TextBody"/>
        <w:bidi w:val="0"/>
        <w:spacing w:before="24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7.02 </w:t>
      </w:r>
    </w:p>
    <w:p>
      <w:pPr>
        <w:pStyle w:val="TextBody"/>
        <w:bidi w:val="0"/>
        <w:spacing w:before="240" w:after="0"/>
        <w:jc w:val="center"/>
        <w:rPr>
          <w:rFonts w:ascii="Times New Roman" w:hAnsi="Times New Roman"/>
          <w:sz w:val="20"/>
        </w:rPr>
      </w:pPr>
      <w:r>
        <w:rPr>
          <w:rFonts w:ascii="Times New Roman" w:hAnsi="Times New Roman"/>
          <w:sz w:val="20"/>
        </w:rPr>
        <w:t xml:space="preserve">[Reserved]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10.02 </w:t>
      </w:r>
    </w:p>
    <w:p>
      <w:pPr>
        <w:pStyle w:val="TextBody"/>
        <w:bidi w:val="0"/>
        <w:spacing w:before="240" w:after="0"/>
        <w:jc w:val="center"/>
        <w:rPr>
          <w:rFonts w:ascii="Times New Roman" w:hAnsi="Times New Roman"/>
          <w:b/>
          <w:sz w:val="20"/>
        </w:rPr>
      </w:pPr>
      <w:r>
        <w:rPr>
          <w:rFonts w:ascii="Times New Roman" w:hAnsi="Times New Roman"/>
          <w:b/>
          <w:sz w:val="20"/>
        </w:rPr>
        <w:t xml:space="preserve">ADMINISTRATIVE AGENT’S OFFICE; </w:t>
      </w:r>
    </w:p>
    <w:p>
      <w:pPr>
        <w:pStyle w:val="TextBody"/>
        <w:bidi w:val="0"/>
        <w:spacing w:before="0" w:after="0"/>
        <w:jc w:val="center"/>
        <w:rPr>
          <w:rFonts w:ascii="Times New Roman" w:hAnsi="Times New Roman"/>
          <w:b/>
          <w:sz w:val="20"/>
        </w:rPr>
      </w:pPr>
      <w:r>
        <w:rPr>
          <w:rFonts w:ascii="Times New Roman" w:hAnsi="Times New Roman"/>
          <w:b/>
          <w:sz w:val="20"/>
        </w:rPr>
        <w:t xml:space="preserve">CERTAIN ADDRESSES FOR NOTICES </w:t>
      </w:r>
    </w:p>
    <w:p>
      <w:pPr>
        <w:pStyle w:val="TextBody"/>
        <w:bidi w:val="0"/>
        <w:spacing w:before="240" w:after="0"/>
        <w:jc w:val="left"/>
        <w:rPr>
          <w:rFonts w:ascii="Times New Roman" w:hAnsi="Times New Roman"/>
          <w:sz w:val="20"/>
        </w:rPr>
      </w:pPr>
      <w:r>
        <w:rPr>
          <w:rFonts w:ascii="Times New Roman" w:hAnsi="Times New Roman"/>
          <w:b/>
          <w:sz w:val="20"/>
          <w:u w:val="single"/>
        </w:rPr>
        <w:t>1. Address for ADI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Analog Devices, Inc. </w:t>
      </w:r>
    </w:p>
    <w:p>
      <w:pPr>
        <w:pStyle w:val="TextBody"/>
        <w:bidi w:val="0"/>
        <w:spacing w:before="0" w:after="0"/>
        <w:jc w:val="left"/>
        <w:rPr>
          <w:rFonts w:ascii="Times New Roman" w:hAnsi="Times New Roman"/>
          <w:sz w:val="20"/>
        </w:rPr>
      </w:pPr>
      <w:r>
        <w:rPr>
          <w:rFonts w:ascii="Times New Roman" w:hAnsi="Times New Roman"/>
          <w:sz w:val="20"/>
        </w:rPr>
        <w:t xml:space="preserve">One Analog Way </w:t>
      </w:r>
    </w:p>
    <w:p>
      <w:pPr>
        <w:pStyle w:val="TextBody"/>
        <w:bidi w:val="0"/>
        <w:spacing w:before="0" w:after="0"/>
        <w:jc w:val="left"/>
        <w:rPr>
          <w:rFonts w:ascii="Times New Roman" w:hAnsi="Times New Roman"/>
          <w:sz w:val="20"/>
        </w:rPr>
      </w:pPr>
      <w:r>
        <w:rPr>
          <w:rFonts w:ascii="Times New Roman" w:hAnsi="Times New Roman"/>
          <w:sz w:val="20"/>
        </w:rPr>
        <w:t xml:space="preserve">Wilmington, MA 01887 </w:t>
      </w:r>
    </w:p>
    <w:p>
      <w:pPr>
        <w:pStyle w:val="TextBody"/>
        <w:bidi w:val="0"/>
        <w:spacing w:before="0" w:after="0"/>
        <w:jc w:val="left"/>
        <w:rPr>
          <w:rFonts w:ascii="Times New Roman" w:hAnsi="Times New Roman"/>
          <w:sz w:val="20"/>
        </w:rPr>
      </w:pPr>
      <w:r>
        <w:rPr>
          <w:rFonts w:ascii="Times New Roman" w:hAnsi="Times New Roman"/>
          <w:sz w:val="20"/>
        </w:rPr>
        <w:t xml:space="preserve">Attention: Treasury Department, Building 7 </w:t>
      </w:r>
    </w:p>
    <w:p>
      <w:pPr>
        <w:pStyle w:val="TextBody"/>
        <w:bidi w:val="0"/>
        <w:spacing w:before="0" w:after="0"/>
        <w:jc w:val="left"/>
        <w:rPr>
          <w:rFonts w:ascii="Times New Roman" w:hAnsi="Times New Roman"/>
          <w:sz w:val="20"/>
        </w:rPr>
      </w:pPr>
      <w:r>
        <w:rPr>
          <w:rFonts w:ascii="Times New Roman" w:hAnsi="Times New Roman"/>
          <w:sz w:val="20"/>
        </w:rPr>
        <w:t xml:space="preserve">Telephone: 781-461-3388 </w:t>
      </w:r>
    </w:p>
    <w:p>
      <w:pPr>
        <w:pStyle w:val="TextBody"/>
        <w:bidi w:val="0"/>
        <w:spacing w:before="0" w:after="0"/>
        <w:jc w:val="left"/>
        <w:rPr>
          <w:rFonts w:ascii="Times New Roman" w:hAnsi="Times New Roman"/>
          <w:sz w:val="20"/>
        </w:rPr>
      </w:pPr>
      <w:r>
        <w:rPr>
          <w:rFonts w:ascii="Times New Roman" w:hAnsi="Times New Roman"/>
          <w:sz w:val="20"/>
        </w:rPr>
        <w:t xml:space="preserve">Email: ADI_Treasury@analog.com </w:t>
      </w:r>
    </w:p>
    <w:p>
      <w:pPr>
        <w:pStyle w:val="TextBody"/>
        <w:bidi w:val="0"/>
        <w:spacing w:before="240" w:after="0"/>
        <w:jc w:val="left"/>
        <w:rPr>
          <w:rFonts w:ascii="Times New Roman" w:hAnsi="Times New Roman"/>
          <w:sz w:val="20"/>
        </w:rPr>
      </w:pPr>
      <w:r>
        <w:rPr>
          <w:rFonts w:ascii="Times New Roman" w:hAnsi="Times New Roman"/>
          <w:b/>
          <w:sz w:val="20"/>
          <w:u w:val="single"/>
        </w:rPr>
        <w:t>2. Address for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Operations (Notices, including borrowing notices, continuations, conversions, etc.) </w:t>
      </w:r>
    </w:p>
    <w:p>
      <w:pPr>
        <w:pStyle w:val="TextBody"/>
        <w:bidi w:val="0"/>
        <w:spacing w:before="0" w:after="0"/>
        <w:jc w:val="left"/>
        <w:rPr>
          <w:rFonts w:ascii="Times New Roman" w:hAnsi="Times New Roman"/>
          <w:sz w:val="20"/>
        </w:rPr>
      </w:pPr>
      <w:r>
        <w:rPr>
          <w:rFonts w:ascii="Times New Roman" w:hAnsi="Times New Roman"/>
          <w:sz w:val="20"/>
        </w:rPr>
        <w:t xml:space="preserve">Bank of America, N.A. </w:t>
      </w:r>
    </w:p>
    <w:p>
      <w:pPr>
        <w:pStyle w:val="TextBody"/>
        <w:bidi w:val="0"/>
        <w:spacing w:before="0" w:after="0"/>
        <w:jc w:val="left"/>
        <w:rPr>
          <w:rFonts w:ascii="Times New Roman" w:hAnsi="Times New Roman"/>
          <w:sz w:val="20"/>
        </w:rPr>
      </w:pPr>
      <w:r>
        <w:rPr>
          <w:rFonts w:ascii="Times New Roman" w:hAnsi="Times New Roman"/>
          <w:sz w:val="20"/>
        </w:rPr>
        <w:t xml:space="preserve">NC1-026-06-04 </w:t>
      </w:r>
    </w:p>
    <w:p>
      <w:pPr>
        <w:pStyle w:val="TextBody"/>
        <w:bidi w:val="0"/>
        <w:spacing w:before="0" w:after="0"/>
        <w:jc w:val="left"/>
        <w:rPr>
          <w:rFonts w:ascii="Times New Roman" w:hAnsi="Times New Roman"/>
          <w:sz w:val="20"/>
        </w:rPr>
      </w:pPr>
      <w:r>
        <w:rPr>
          <w:rFonts w:ascii="Times New Roman" w:hAnsi="Times New Roman"/>
          <w:sz w:val="20"/>
        </w:rPr>
        <w:t xml:space="preserve">900 W Trade St, Gateway Village – 900 Bldg. </w:t>
      </w:r>
    </w:p>
    <w:p>
      <w:pPr>
        <w:pStyle w:val="TextBody"/>
        <w:bidi w:val="0"/>
        <w:spacing w:before="0" w:after="0"/>
        <w:jc w:val="left"/>
        <w:rPr>
          <w:rFonts w:ascii="Times New Roman" w:hAnsi="Times New Roman"/>
          <w:sz w:val="20"/>
        </w:rPr>
      </w:pPr>
      <w:r>
        <w:rPr>
          <w:rFonts w:ascii="Times New Roman" w:hAnsi="Times New Roman"/>
          <w:sz w:val="20"/>
        </w:rPr>
        <w:t xml:space="preserve">Charlotte, NC 28255-0001 </w:t>
      </w:r>
    </w:p>
    <w:p>
      <w:pPr>
        <w:pStyle w:val="TextBody"/>
        <w:bidi w:val="0"/>
        <w:spacing w:before="0" w:after="0"/>
        <w:jc w:val="left"/>
        <w:rPr>
          <w:rFonts w:ascii="Times New Roman" w:hAnsi="Times New Roman"/>
          <w:sz w:val="20"/>
        </w:rPr>
      </w:pPr>
      <w:r>
        <w:rPr>
          <w:rFonts w:ascii="Times New Roman" w:hAnsi="Times New Roman"/>
          <w:sz w:val="20"/>
        </w:rPr>
        <w:t xml:space="preserve">Attention: Chevelle Cozart </w:t>
      </w:r>
    </w:p>
    <w:p>
      <w:pPr>
        <w:pStyle w:val="TextBody"/>
        <w:bidi w:val="0"/>
        <w:spacing w:before="0" w:after="0"/>
        <w:jc w:val="left"/>
        <w:rPr>
          <w:rFonts w:ascii="Times New Roman" w:hAnsi="Times New Roman"/>
          <w:sz w:val="20"/>
        </w:rPr>
      </w:pPr>
      <w:r>
        <w:rPr>
          <w:rFonts w:ascii="Times New Roman" w:hAnsi="Times New Roman"/>
          <w:sz w:val="20"/>
        </w:rPr>
        <w:t xml:space="preserve">Telephone: 980-388-7473 </w:t>
      </w:r>
    </w:p>
    <w:p>
      <w:pPr>
        <w:pStyle w:val="TextBody"/>
        <w:bidi w:val="0"/>
        <w:spacing w:before="0" w:after="0"/>
        <w:jc w:val="left"/>
        <w:rPr>
          <w:rFonts w:ascii="Times New Roman" w:hAnsi="Times New Roman"/>
          <w:sz w:val="20"/>
        </w:rPr>
      </w:pPr>
      <w:r>
        <w:rPr>
          <w:rFonts w:ascii="Times New Roman" w:hAnsi="Times New Roman"/>
          <w:sz w:val="20"/>
        </w:rPr>
        <w:t xml:space="preserve">Email: chevelle.cozart@bofa.com </w:t>
      </w:r>
    </w:p>
    <w:p>
      <w:pPr>
        <w:pStyle w:val="TextBody"/>
        <w:bidi w:val="0"/>
        <w:spacing w:before="240" w:after="0"/>
        <w:jc w:val="left"/>
        <w:rPr>
          <w:rFonts w:ascii="Times New Roman" w:hAnsi="Times New Roman"/>
          <w:sz w:val="20"/>
        </w:rPr>
      </w:pPr>
      <w:r>
        <w:rPr>
          <w:rFonts w:ascii="Times New Roman" w:hAnsi="Times New Roman"/>
          <w:sz w:val="20"/>
        </w:rPr>
        <w:t xml:space="preserve">Administration (Notices, including amendments, consents, waivers, financial reporting) </w:t>
      </w:r>
    </w:p>
    <w:p>
      <w:pPr>
        <w:pStyle w:val="TextBody"/>
        <w:bidi w:val="0"/>
        <w:spacing w:before="0" w:after="0"/>
        <w:jc w:val="left"/>
        <w:rPr>
          <w:rFonts w:ascii="Times New Roman" w:hAnsi="Times New Roman"/>
          <w:sz w:val="20"/>
        </w:rPr>
      </w:pPr>
      <w:r>
        <w:rPr>
          <w:rFonts w:ascii="Times New Roman" w:hAnsi="Times New Roman"/>
          <w:sz w:val="20"/>
        </w:rPr>
        <w:t xml:space="preserve">Bank of America, N.A. </w:t>
      </w:r>
    </w:p>
    <w:p>
      <w:pPr>
        <w:pStyle w:val="TextBody"/>
        <w:bidi w:val="0"/>
        <w:spacing w:before="0" w:after="0"/>
        <w:jc w:val="left"/>
        <w:rPr>
          <w:rFonts w:ascii="Times New Roman" w:hAnsi="Times New Roman"/>
          <w:sz w:val="20"/>
        </w:rPr>
      </w:pPr>
      <w:r>
        <w:rPr>
          <w:rFonts w:ascii="Times New Roman" w:hAnsi="Times New Roman"/>
          <w:sz w:val="20"/>
        </w:rPr>
        <w:t xml:space="preserve">TX2-981-02-29 </w:t>
      </w:r>
    </w:p>
    <w:p>
      <w:pPr>
        <w:pStyle w:val="TextBody"/>
        <w:bidi w:val="0"/>
        <w:spacing w:before="0" w:after="0"/>
        <w:jc w:val="left"/>
        <w:rPr>
          <w:rFonts w:ascii="Times New Roman" w:hAnsi="Times New Roman"/>
          <w:sz w:val="20"/>
        </w:rPr>
      </w:pPr>
      <w:r>
        <w:rPr>
          <w:rFonts w:ascii="Times New Roman" w:hAnsi="Times New Roman"/>
          <w:sz w:val="20"/>
        </w:rPr>
        <w:t xml:space="preserve">7105 Corporate Dr, Bldg. B </w:t>
      </w:r>
    </w:p>
    <w:p>
      <w:pPr>
        <w:pStyle w:val="TextBody"/>
        <w:bidi w:val="0"/>
        <w:spacing w:before="0" w:after="0"/>
        <w:jc w:val="left"/>
        <w:rPr>
          <w:rFonts w:ascii="Times New Roman" w:hAnsi="Times New Roman"/>
          <w:sz w:val="20"/>
        </w:rPr>
      </w:pPr>
      <w:r>
        <w:rPr>
          <w:rFonts w:ascii="Times New Roman" w:hAnsi="Times New Roman"/>
          <w:sz w:val="20"/>
        </w:rPr>
        <w:t xml:space="preserve">Plano, TX 75024 </w:t>
      </w:r>
    </w:p>
    <w:p>
      <w:pPr>
        <w:pStyle w:val="TextBody"/>
        <w:bidi w:val="0"/>
        <w:spacing w:before="0" w:after="0"/>
        <w:jc w:val="left"/>
        <w:rPr>
          <w:rFonts w:ascii="Times New Roman" w:hAnsi="Times New Roman"/>
          <w:sz w:val="20"/>
        </w:rPr>
      </w:pPr>
      <w:r>
        <w:rPr>
          <w:rFonts w:ascii="Times New Roman" w:hAnsi="Times New Roman"/>
          <w:sz w:val="20"/>
        </w:rPr>
        <w:t xml:space="preserve">Attention: David J. Smith </w:t>
      </w:r>
    </w:p>
    <w:p>
      <w:pPr>
        <w:pStyle w:val="TextBody"/>
        <w:bidi w:val="0"/>
        <w:spacing w:before="0" w:after="0"/>
        <w:jc w:val="left"/>
        <w:rPr>
          <w:rFonts w:ascii="Times New Roman" w:hAnsi="Times New Roman"/>
          <w:sz w:val="20"/>
        </w:rPr>
      </w:pPr>
      <w:r>
        <w:rPr>
          <w:rFonts w:ascii="Times New Roman" w:hAnsi="Times New Roman"/>
          <w:sz w:val="20"/>
        </w:rPr>
        <w:t xml:space="preserve">Telephone: 214-209-4124 </w:t>
      </w:r>
    </w:p>
    <w:p>
      <w:pPr>
        <w:pStyle w:val="TextBody"/>
        <w:bidi w:val="0"/>
        <w:spacing w:before="0" w:after="0"/>
        <w:jc w:val="left"/>
        <w:rPr>
          <w:rFonts w:ascii="Times New Roman" w:hAnsi="Times New Roman"/>
          <w:sz w:val="20"/>
        </w:rPr>
      </w:pPr>
      <w:r>
        <w:rPr>
          <w:rFonts w:ascii="Times New Roman" w:hAnsi="Times New Roman"/>
          <w:sz w:val="20"/>
        </w:rPr>
        <w:t xml:space="preserve">Email: david.smith2@bofa.com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1.01(a) </w:t>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COMPANY GUARANTY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COMPANY GUARANTY </w:t>
      </w:r>
    </w:p>
    <w:p>
      <w:pPr>
        <w:pStyle w:val="TextBody"/>
        <w:bidi w:val="0"/>
        <w:spacing w:before="240" w:after="0"/>
        <w:jc w:val="left"/>
        <w:rPr>
          <w:rFonts w:ascii="Times New Roman" w:hAnsi="Times New Roman"/>
          <w:sz w:val="20"/>
        </w:rPr>
      </w:pPr>
      <w:r>
        <w:rPr>
          <w:rFonts w:ascii="Times New Roman" w:hAnsi="Times New Roman"/>
          <w:sz w:val="20"/>
        </w:rPr>
        <w:t>THIS COMPANY GUARANTY (this “</w:t>
      </w:r>
      <w:r>
        <w:rPr>
          <w:rFonts w:ascii="Times New Roman" w:hAnsi="Times New Roman"/>
          <w:sz w:val="20"/>
          <w:u w:val="single"/>
        </w:rPr>
        <w:t>Guaranty</w:t>
      </w:r>
      <w:r>
        <w:rPr>
          <w:rFonts w:ascii="Times New Roman" w:hAnsi="Times New Roman"/>
          <w:sz w:val="20"/>
        </w:rPr>
        <w:t>”), dated as of [</w:t>
      </w:r>
      <w:r>
        <w:rPr>
          <w:rFonts w:ascii="Times New Roman" w:hAnsi="Times New Roman"/>
          <w:sz w:val="20"/>
          <w:u w:val="single"/>
        </w:rPr>
        <w:t xml:space="preserve">    </w:t>
      </w:r>
      <w:r>
        <w:rPr>
          <w:rFonts w:ascii="Times New Roman" w:hAnsi="Times New Roman"/>
          <w:sz w:val="20"/>
        </w:rPr>
        <w:t>], 20[</w:t>
      </w:r>
      <w:r>
        <w:rPr>
          <w:rFonts w:ascii="Times New Roman" w:hAnsi="Times New Roman"/>
          <w:sz w:val="20"/>
          <w:u w:val="single"/>
        </w:rPr>
        <w:t> </w:t>
      </w:r>
      <w:r>
        <w:rPr>
          <w:rFonts w:ascii="Times New Roman" w:hAnsi="Times New Roman"/>
          <w:sz w:val="20"/>
        </w:rPr>
        <w:t>] is made by Analog Devices, Inc., a Massachusetts corporation (the “</w:t>
      </w:r>
      <w:r>
        <w:rPr>
          <w:rFonts w:ascii="Times New Roman" w:hAnsi="Times New Roman"/>
          <w:sz w:val="20"/>
          <w:u w:val="single"/>
        </w:rPr>
        <w:t>Guarantor</w:t>
      </w:r>
      <w:r>
        <w:rPr>
          <w:rFonts w:ascii="Times New Roman" w:hAnsi="Times New Roman"/>
          <w:sz w:val="20"/>
        </w:rPr>
        <w:t>”), in favor of the Lenders from time to time party to the Credit Agreement referred to below and Bank of America, N.A., as Administrative Agent (the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Guarantor, the Designated Borrowers party thereto, the Lenders from time to time party thereto (each a “</w:t>
      </w:r>
      <w:r>
        <w:rPr>
          <w:rFonts w:ascii="Times New Roman" w:hAnsi="Times New Roman"/>
          <w:sz w:val="20"/>
          <w:u w:val="single"/>
        </w:rPr>
        <w:t>Lender</w:t>
      </w:r>
      <w:r>
        <w:rPr>
          <w:rFonts w:ascii="Times New Roman" w:hAnsi="Times New Roman"/>
          <w:sz w:val="20"/>
        </w:rPr>
        <w:t>” and, collectively, the “</w:t>
      </w:r>
      <w:r>
        <w:rPr>
          <w:rFonts w:ascii="Times New Roman" w:hAnsi="Times New Roman"/>
          <w:sz w:val="20"/>
          <w:u w:val="single"/>
        </w:rPr>
        <w:t>Lenders</w:t>
      </w:r>
      <w:r>
        <w:rPr>
          <w:rFonts w:ascii="Times New Roman" w:hAnsi="Times New Roman"/>
          <w:sz w:val="20"/>
        </w:rPr>
        <w:t>”) and the Administrative Agent are parties to a Credit Agreement dated as of July 2, 2026 (as amended, restated, extended, supplemented or otherwise modified in writing from time to time, the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Subsidiaries of the Guarantor are permitted to become Designated Borrowers from time to time pursuant to </w:t>
      </w:r>
      <w:r>
        <w:rPr>
          <w:rFonts w:ascii="Times New Roman" w:hAnsi="Times New Roman"/>
          <w:sz w:val="20"/>
          <w:u w:val="single"/>
        </w:rPr>
        <w:t>Section 2.18</w:t>
      </w:r>
      <w:r>
        <w:rPr>
          <w:rFonts w:ascii="Times New Roman" w:hAnsi="Times New Roman"/>
          <w:sz w:val="20"/>
        </w:rPr>
        <w:t xml:space="preserve">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C. It is a condition precedent to the making of Committed Loans to the Designated Borrowers under the Credit Agreement that the Guarantor guarantee the indebtedness and other obligations of each Designated Borrower to the Guaranteed Parties under or in connection with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Guarantor, as the parent of the Designated Borrowers, will derive substantial direct and indirect benefits from the making of Committed Loans to the Designated Borrowers pursuant to the Credit Agreement (which benefits are hereby acknowledged by the Guarantor). </w:t>
      </w:r>
    </w:p>
    <w:p>
      <w:pPr>
        <w:pStyle w:val="TextBody"/>
        <w:bidi w:val="0"/>
        <w:spacing w:before="240" w:after="0"/>
        <w:jc w:val="left"/>
        <w:rPr>
          <w:rFonts w:ascii="Times New Roman" w:hAnsi="Times New Roman"/>
          <w:sz w:val="20"/>
        </w:rPr>
      </w:pPr>
      <w:r>
        <w:rPr>
          <w:rFonts w:ascii="Times New Roman" w:hAnsi="Times New Roman"/>
          <w:sz w:val="20"/>
        </w:rPr>
        <w:t xml:space="preserve">Accordingly, to induce the Administrative Agent and the Lenders to enter into the Credit Agreement, and in consideration thereof, the Guarantor hereby agrees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 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Terms Defined in Credit Agreement</w:t>
      </w:r>
      <w:r>
        <w:rPr>
          <w:rFonts w:ascii="Times New Roman" w:hAnsi="Times New Roman"/>
          <w:sz w:val="20"/>
        </w:rPr>
        <w:t xml:space="preserve">. All capitalized terms used in this Guaranty (including in the recitals hereof) and not otherwise defined herein shall have the meanings assigned to them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Defined Terms</w:t>
      </w:r>
      <w:r>
        <w:rPr>
          <w:rFonts w:ascii="Times New Roman" w:hAnsi="Times New Roman"/>
          <w:sz w:val="20"/>
        </w:rPr>
        <w:t xml:space="preserve">. As used in this Guaranty (including in the recitals hereof), the following terms shall have the following meanings: </w:t>
      </w:r>
    </w:p>
    <w:p>
      <w:pPr>
        <w:pStyle w:val="TextBody"/>
        <w:bidi w:val="0"/>
        <w:spacing w:before="120" w:after="0"/>
        <w:jc w:val="left"/>
        <w:rPr/>
      </w:pPr>
      <w:r>
        <w:rPr/>
        <w:t>“</w:t>
      </w:r>
      <w:r>
        <w:rPr>
          <w:rFonts w:ascii="Times New Roman" w:hAnsi="Times New Roman"/>
          <w:sz w:val="20"/>
          <w:u w:val="single"/>
        </w:rPr>
        <w:t>Agreement Currency</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the Federal Bankruptcy Reform Act of 1978 (11 U.S.C. § 101, et seq.), as amended. </w:t>
      </w:r>
    </w:p>
    <w:p>
      <w:pPr>
        <w:pStyle w:val="TextBody"/>
        <w:bidi w:val="0"/>
        <w:spacing w:before="240" w:after="0"/>
        <w:jc w:val="left"/>
        <w:rPr/>
      </w:pPr>
      <w:r>
        <w:rPr/>
        <w:t>“</w:t>
      </w:r>
      <w:r>
        <w:rPr>
          <w:rFonts w:ascii="Times New Roman" w:hAnsi="Times New Roman"/>
          <w:sz w:val="20"/>
          <w:u w:val="single"/>
        </w:rPr>
        <w:t>Credit Agreement</w:t>
      </w:r>
      <w:r>
        <w:rPr>
          <w:rFonts w:ascii="Times New Roman" w:hAnsi="Times New Roman"/>
          <w:sz w:val="20"/>
        </w:rPr>
        <w:t xml:space="preserve">” has the meaning specified in the recitals to this Guaranty. </w:t>
      </w:r>
    </w:p>
    <w:p>
      <w:pPr>
        <w:pStyle w:val="TextBody"/>
        <w:bidi w:val="0"/>
        <w:spacing w:before="240" w:after="0"/>
        <w:jc w:val="left"/>
        <w:rPr/>
      </w:pPr>
      <w:r>
        <w:rPr/>
        <w:t>“</w:t>
      </w:r>
      <w:r>
        <w:rPr>
          <w:rFonts w:ascii="Times New Roman" w:hAnsi="Times New Roman"/>
          <w:sz w:val="20"/>
          <w:u w:val="single"/>
        </w:rPr>
        <w:t>Guaranteed Obligations</w:t>
      </w:r>
      <w:r>
        <w:rPr>
          <w:rFonts w:ascii="Times New Roman" w:hAnsi="Times New Roman"/>
          <w:sz w:val="20"/>
        </w:rPr>
        <w:t xml:space="preserve">” has the meaning set forth in </w:t>
      </w:r>
      <w:r>
        <w:rPr>
          <w:rFonts w:ascii="Times New Roman" w:hAnsi="Times New Roman"/>
          <w:sz w:val="20"/>
          <w:u w:val="single"/>
        </w:rPr>
        <w:t>Section 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Guaranteed Parties</w:t>
      </w:r>
      <w:r>
        <w:rPr>
          <w:rFonts w:ascii="Times New Roman" w:hAnsi="Times New Roman"/>
          <w:sz w:val="20"/>
        </w:rPr>
        <w:t xml:space="preserve">” means the Administrative Agent and each Lender. </w:t>
      </w:r>
    </w:p>
    <w:p>
      <w:pPr>
        <w:pStyle w:val="TextBody"/>
        <w:bidi w:val="0"/>
        <w:spacing w:before="240" w:after="0"/>
        <w:jc w:val="left"/>
        <w:rPr/>
      </w:pPr>
      <w:r>
        <w:rPr/>
        <w:t>“</w:t>
      </w:r>
      <w:r>
        <w:rPr>
          <w:rFonts w:ascii="Times New Roman" w:hAnsi="Times New Roman"/>
          <w:sz w:val="20"/>
          <w:u w:val="single"/>
        </w:rPr>
        <w:t>Guarantor Documents</w:t>
      </w:r>
      <w:r>
        <w:rPr>
          <w:rFonts w:ascii="Times New Roman" w:hAnsi="Times New Roman"/>
          <w:sz w:val="20"/>
        </w:rPr>
        <w:t xml:space="preserve">” means this Guaranty and all other certificates, documents, agreements and instruments delivered by the Guarantor in its capacity as such to any Guaranteed Party under or in connection with this Guaranty and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Insolvency Proceeding</w:t>
      </w:r>
      <w:r>
        <w:rPr>
          <w:rFonts w:ascii="Times New Roman" w:hAnsi="Times New Roman"/>
          <w:sz w:val="20"/>
        </w:rPr>
        <w:t xml:space="preserve">” means, with respect to any Person, (i) any case, action or proceeding with respect to such Person before any court or other Governmental Authority relating to bankruptcy, reorganization, insolvency, liquidation, receivership, dissolution, winding-up or relief of debtors, or (ii) any general assignment for the benefit of creditors, composition, marshalling of assets for creditors, or other, similar arrangement in respect of its creditors generally or any substantial portion of its creditors; in either case undertaken under Debtor Relief Laws. </w:t>
      </w:r>
    </w:p>
    <w:p>
      <w:pPr>
        <w:pStyle w:val="TextBody"/>
        <w:bidi w:val="0"/>
        <w:spacing w:before="240" w:after="0"/>
        <w:jc w:val="left"/>
        <w:rPr/>
      </w:pPr>
      <w:r>
        <w:rPr/>
        <w:t>“</w:t>
      </w:r>
      <w:r>
        <w:rPr>
          <w:rFonts w:ascii="Times New Roman" w:hAnsi="Times New Roman"/>
          <w:sz w:val="20"/>
          <w:u w:val="single"/>
        </w:rPr>
        <w:t>Judgment Currency</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has the meaning specified in the recitals to this Guaranty. </w:t>
      </w:r>
    </w:p>
    <w:p>
      <w:pPr>
        <w:pStyle w:val="TextBody"/>
        <w:bidi w:val="0"/>
        <w:spacing w:before="240" w:after="0"/>
        <w:jc w:val="left"/>
        <w:rPr/>
      </w:pPr>
      <w:r>
        <w:rPr/>
        <w:t>“</w:t>
      </w:r>
      <w:r>
        <w:rPr>
          <w:rFonts w:ascii="Times New Roman" w:hAnsi="Times New Roman"/>
          <w:sz w:val="20"/>
          <w:u w:val="single"/>
        </w:rPr>
        <w:t>Organization Documents</w:t>
      </w:r>
      <w:r>
        <w:rPr>
          <w:rFonts w:ascii="Times New Roman" w:hAnsi="Times New Roman"/>
          <w:sz w:val="20"/>
        </w:rPr>
        <w:t xml:space="preserve">” means (i) with respect to any corporation, the certificate or articles of incorporation and the bylaws (or equivalent or comparable constitutive documents with respect to any non-U.S. jurisdiction); (ii) with respect to any limited liability company, the certificate or articles of formation or organization and operating agreement; and (iii)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has the meaning set forth in </w:t>
      </w:r>
      <w:r>
        <w:rPr>
          <w:rFonts w:ascii="Times New Roman" w:hAnsi="Times New Roman"/>
          <w:sz w:val="20"/>
          <w:u w:val="single"/>
        </w:rPr>
        <w:t>Section 8(c)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Interpretation</w:t>
      </w:r>
      <w:r>
        <w:rPr>
          <w:rFonts w:ascii="Times New Roman" w:hAnsi="Times New Roman"/>
          <w:sz w:val="20"/>
        </w:rPr>
        <w:t xml:space="preserve">. The rules of interpretation set forth in </w:t>
      </w:r>
      <w:r>
        <w:rPr>
          <w:rFonts w:ascii="Times New Roman" w:hAnsi="Times New Roman"/>
          <w:sz w:val="20"/>
          <w:u w:val="single"/>
        </w:rPr>
        <w:t>Sections 1.02</w:t>
      </w:r>
      <w:r>
        <w:rPr>
          <w:rFonts w:ascii="Times New Roman" w:hAnsi="Times New Roman"/>
          <w:sz w:val="20"/>
        </w:rPr>
        <w:t xml:space="preserve"> and </w:t>
      </w:r>
      <w:r>
        <w:rPr>
          <w:rFonts w:ascii="Times New Roman" w:hAnsi="Times New Roman"/>
          <w:sz w:val="20"/>
          <w:u w:val="single"/>
        </w:rPr>
        <w:t>1.03</w:t>
      </w:r>
      <w:r>
        <w:rPr>
          <w:rFonts w:ascii="Times New Roman" w:hAnsi="Times New Roman"/>
          <w:sz w:val="20"/>
        </w:rPr>
        <w:t xml:space="preserve"> of the Credit Agreement shall be applicable to this Guaranty and are incorporated herein by this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Guaranty</w:t>
      </w:r>
      <w:r>
        <w:rPr>
          <w:rFonts w:ascii="Times New Roman" w:hAnsi="Times New Roman"/>
          <w:sz w:val="20"/>
        </w:rPr>
        <w:t xml:space="preserve">. The Guarantor hereby absolutely, unconditionally and irrevocably guarantees for the Guaranteed Parties, and their respective successors, endorsees, transferees and assigns, the full and prompt payment when due (whether at stated maturity, by required prepayment, declaration, acceleration, demand or otherwise) of (a) all the indebtedness, liabilities and other payment obligations of each Designated Borrower (now existing or hereafter arising pursuant to </w:t>
      </w:r>
      <w:r>
        <w:rPr>
          <w:rFonts w:ascii="Times New Roman" w:hAnsi="Times New Roman"/>
          <w:sz w:val="20"/>
          <w:u w:val="single"/>
        </w:rPr>
        <w:t>Section 2.18</w:t>
      </w:r>
      <w:r>
        <w:rPr>
          <w:rFonts w:ascii="Times New Roman" w:hAnsi="Times New Roman"/>
          <w:sz w:val="20"/>
        </w:rPr>
        <w:t xml:space="preserve"> of the Credit Agreement) to the Guaranteed Parties under or in connection with the Credit Agreement, the Notes and the other Loan Documents, including all unpaid principal of the Loans, all interest accrued thereon, all fees due under the Credit Agreement and all other amounts payable by each Designated Borrower to the Guaranteed Parties thereunder, in connection therewith, and in connection with any other Loan Document and (b) all costs and expenses incurred in connection with enforcement and collection of the foregoing, including the fees, charges and disbursements of counsel, in each case whether direct or indirect (including those acquired by assumption). The terms “indebtedness,” “liabilities” and “obligations” are used herein in their most comprehensive sense and include any and all advances, debts, obligations and liabilities, whether now existing or hereafter arising, whether voluntary or involuntary and whether due or not due, absolute or contingent, liquidated or unliquidated, determined or undetermined, and whether recovery upon such indebtedness, liabilities and obligations may be or hereafter become unenforceable or shall be an allowed or disallowed claim under any Debtor Relief Laws, and including interest, expenses and fees that accrue after the commencement by or against any Designated Borrower or any Affiliate thereof of any proceeding under any Debtor Relief Laws naming such Person as the debtor in such proceeding. The foregoing indebtedness, liabilities and other obligations of each Designated Borrower, and all other indebtedness, liabilities and obligations to be paid or performed by the Guarantor in connection with this Guaranty (including any and all amounts due under </w:t>
      </w:r>
      <w:r>
        <w:rPr>
          <w:rFonts w:ascii="Times New Roman" w:hAnsi="Times New Roman"/>
          <w:sz w:val="20"/>
          <w:u w:val="single"/>
        </w:rPr>
        <w:t>Section 12</w:t>
      </w:r>
      <w:r>
        <w:rPr>
          <w:rFonts w:ascii="Times New Roman" w:hAnsi="Times New Roman"/>
          <w:sz w:val="20"/>
        </w:rPr>
        <w:t>), shall hereinafter be collectively referred to as the “</w:t>
      </w:r>
      <w:r>
        <w:rPr>
          <w:rFonts w:ascii="Times New Roman" w:hAnsi="Times New Roman"/>
          <w:sz w:val="20"/>
          <w:u w:val="single"/>
        </w:rPr>
        <w:t>Guaranteed Obligations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Liability of Guarantor</w:t>
      </w:r>
      <w:r>
        <w:rPr>
          <w:rFonts w:ascii="Times New Roman" w:hAnsi="Times New Roman"/>
          <w:sz w:val="20"/>
        </w:rPr>
        <w:t xml:space="preserve">. The liability of the Guarantor under this Guaranty shall be irrevocable, absolute, independent and unconditional, and shall not be affected by any circumstance which might constitute a discharge of a surety or guarantor other than the indefeasible payment and performance in full of all Guaranteed Obligations. In furtherance of the foregoing and without limiting the generality thereof, the Guarantor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Guarantor’s liability hereunder shall be the immediate, direct, and primary obligation of the Guarantor and shall not be contingent upon any Guaranteed Party’s exercise or enforcement of any remedy it may have against any Designated Borrower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(b) this Guaranty is a guarantee of payment when due and not merely of collectability; </w:t>
      </w:r>
    </w:p>
    <w:p>
      <w:pPr>
        <w:pStyle w:val="TextBody"/>
        <w:bidi w:val="0"/>
        <w:spacing w:before="24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the Guarantor’s payment of a portion, but not all, of the Guaranteed Obligations shall in no way limit, affect, modify or abridge the Guarantor’s liability for any portion of the Guaranteed Obligations remaining unsatisfied; </w:t>
      </w:r>
    </w:p>
    <w:p>
      <w:pPr>
        <w:pStyle w:val="TextBody"/>
        <w:bidi w:val="0"/>
        <w:spacing w:before="240" w:after="0"/>
        <w:jc w:val="left"/>
        <w:rPr>
          <w:rFonts w:ascii="Times New Roman" w:hAnsi="Times New Roman"/>
          <w:sz w:val="20"/>
        </w:rPr>
      </w:pPr>
      <w:r>
        <w:rPr>
          <w:rFonts w:ascii="Times New Roman" w:hAnsi="Times New Roman"/>
          <w:sz w:val="20"/>
        </w:rPr>
        <w:t xml:space="preserve">(e) the Guarantor’s liability with respect to the Guaranteed Obligations shall remain in full force and effect without regard to, and shall not be impaired or affected by, nor shall the Guarantor be exonerated or discharged by, any of the following events: </w:t>
      </w:r>
    </w:p>
    <w:p>
      <w:pPr>
        <w:pStyle w:val="TextBody"/>
        <w:bidi w:val="0"/>
        <w:spacing w:before="240" w:after="0"/>
        <w:jc w:val="left"/>
        <w:rPr>
          <w:rFonts w:ascii="Times New Roman" w:hAnsi="Times New Roman"/>
          <w:sz w:val="20"/>
        </w:rPr>
      </w:pPr>
      <w:r>
        <w:rPr>
          <w:rFonts w:ascii="Times New Roman" w:hAnsi="Times New Roman"/>
          <w:sz w:val="20"/>
        </w:rPr>
        <w:t xml:space="preserve">(i) any Insolvency Proceeding with respect to any Designated Borrower, the Guarantor, any other Loan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(ii) any limitation, discharge, or cessation of the liability of any Designated Borrower, the Guarantor, any Loan Party or any other Person for any Guaranteed Obligations due to any statute, regulation or rule of law, or any invalidity or unenforceability in whole or in part of any of the Guaranteed Obligations or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(iii) any merger, acquisition, consolidation or change in structure of any Designated Borrower, the Guarantor or any other Loan Party or Person, or any sale, lease, transfer or other disposition of any or all of the assets or shares of any Designated Borrower, the Guarantor, any other Loan Party or other Person; </w:t>
      </w:r>
    </w:p>
    <w:p>
      <w:pPr>
        <w:pStyle w:val="TextBody"/>
        <w:bidi w:val="0"/>
        <w:spacing w:before="240" w:after="0"/>
        <w:jc w:val="left"/>
        <w:rPr>
          <w:rFonts w:ascii="Times New Roman" w:hAnsi="Times New Roman"/>
          <w:sz w:val="20"/>
        </w:rPr>
      </w:pPr>
      <w:r>
        <w:rPr>
          <w:rFonts w:ascii="Times New Roman" w:hAnsi="Times New Roman"/>
          <w:sz w:val="20"/>
        </w:rPr>
        <w:t xml:space="preserve">(iv) any assignment or other transfer, in whole or in part, of any Guaranteed Party’s interests in and rights under this Guaranty or the other Loan Documents, including any Guaranteed Party’s right to receive payment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(v) any claim, defense, counterclaim or setoff, other than that of prior performance, that any Designated Borrower, the Guarantor, any other Loan Party or other Person may have or assert, including any defense of incapacity or lack of corporate or other authority to execute any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(vi) any Guaranteed Party’s amendment, modification, renewal, extension, cancellation or surrender of any Loan Document or any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(vii) any Guaranteed Party’s compromise, release, settlement or waiver with or of any Designated Borrower, any other Guarantor or other Loan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(viii) any Guaranteed Party’s vote, claim, distribution, election, acceptance, action or inaction in any Insolvency Proceeding related to the Guaranteed Obligations;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any other guaranty, whether by the Guarantor or any other Person, of all or any part of the Guaranteed Obligations or any other indebtedness, obligations or liabilities of any Designated Borrower to any Guaranteed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Consents of Guarantor</w:t>
      </w:r>
      <w:r>
        <w:rPr>
          <w:rFonts w:ascii="Times New Roman" w:hAnsi="Times New Roman"/>
          <w:sz w:val="20"/>
        </w:rPr>
        <w:t xml:space="preserve">. The Guarantor hereby unconditionally consents and agrees that, without notice to or further assent from the Guarantor: </w:t>
      </w:r>
    </w:p>
    <w:p>
      <w:pPr>
        <w:pStyle w:val="TextBody"/>
        <w:bidi w:val="0"/>
        <w:spacing w:before="240" w:after="0"/>
        <w:jc w:val="left"/>
        <w:rPr>
          <w:rFonts w:ascii="Times New Roman" w:hAnsi="Times New Roman"/>
          <w:sz w:val="20"/>
        </w:rPr>
      </w:pPr>
      <w:r>
        <w:rPr>
          <w:rFonts w:ascii="Times New Roman" w:hAnsi="Times New Roman"/>
          <w:sz w:val="20"/>
        </w:rPr>
        <w:t xml:space="preserve">(a) the principal amount of the Guaranteed Obligations may be increased or decreased and additional Obligations of the Loan Parties under the Loan Documents may be incurred, by one or more amendments, modifications, renewals or extensions of any Loan Document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the time, manner, place or terms of any payment under any Loan Document may be extended or changed, including by an increase or decrease in the interest rate on any Guaranteed Obligation or any fee or other amount payable under such Loan Document, by an amendment, modification or renewal of any Loan Document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the time for any Designated Borrower’s (or any other Person’s) performance of or compliance with any term, covenant or agreement on its part to be performed or observed under any Loan Document may be extended, or such performance or compliance waived, or failure in or departure from such performance or compliance consented to, all in such manner and upon such terms as the Guaranteed Parties may deem proper; </w:t>
      </w:r>
    </w:p>
    <w:p>
      <w:pPr>
        <w:pStyle w:val="TextBody"/>
        <w:bidi w:val="0"/>
        <w:spacing w:before="240" w:after="0"/>
        <w:jc w:val="left"/>
        <w:rPr>
          <w:rFonts w:ascii="Times New Roman" w:hAnsi="Times New Roman"/>
          <w:sz w:val="20"/>
        </w:rPr>
      </w:pPr>
      <w:r>
        <w:rPr>
          <w:rFonts w:ascii="Times New Roman" w:hAnsi="Times New Roman"/>
          <w:sz w:val="20"/>
        </w:rPr>
        <w:t xml:space="preserve">(d) any Guaranteed Party may discharge or release, in whole or in part, any other Loan Party or any other Person liable for the payment and performance of all or any part of the Guaranteed Obligations, and may permit or consent to any such action or any result of such action, nor shall any Guaranteed Party be liable to the Guarantor for any failure to collect or enforce payment or performance of the Guaranteed Obligations from any Person; </w:t>
      </w:r>
    </w:p>
    <w:p>
      <w:pPr>
        <w:pStyle w:val="TextBody"/>
        <w:bidi w:val="0"/>
        <w:spacing w:before="240" w:after="0"/>
        <w:jc w:val="left"/>
        <w:rPr>
          <w:rFonts w:ascii="Times New Roman" w:hAnsi="Times New Roman"/>
          <w:sz w:val="20"/>
        </w:rPr>
      </w:pPr>
      <w:r>
        <w:rPr>
          <w:rFonts w:ascii="Times New Roman" w:hAnsi="Times New Roman"/>
          <w:sz w:val="20"/>
        </w:rPr>
        <w:t xml:space="preserve">(e) the Guaranteed Parties may request and accept other guaranties of the Guaranteed Obligations and any other indebtedness, obligations or liabilities of any Designated Borrower to any Guaranteed Party and may, from time to time, in whole or in part, surrender, release, subordinate, modify, waive, rescind, compromise or extend any such guaranty and may permit or consent to any such action or the result of any such action; and </w:t>
      </w:r>
    </w:p>
    <w:p>
      <w:pPr>
        <w:pStyle w:val="TextBody"/>
        <w:bidi w:val="0"/>
        <w:spacing w:before="240" w:after="0"/>
        <w:jc w:val="left"/>
        <w:rPr>
          <w:rFonts w:ascii="Times New Roman" w:hAnsi="Times New Roman"/>
          <w:sz w:val="20"/>
        </w:rPr>
      </w:pPr>
      <w:r>
        <w:rPr>
          <w:rFonts w:ascii="Times New Roman" w:hAnsi="Times New Roman"/>
          <w:sz w:val="20"/>
        </w:rPr>
        <w:t xml:space="preserve">(f) the Guaranteed Parties may exercise, or waive or otherwise refrain from exercising, any other right, remedy, power or privilege (including the right to accelerate the maturity of any Loan and any power of sale) granted by any Loan Document or other security document or agreement, or otherwise available to any Guaranteed Party, with respect to the Guaranteed Obligations, even if the exercise of such right, remedy, power or privilege affects or eliminates any right of subrogation or any other right of the Guarantor against the Designated Borrowers; </w:t>
      </w:r>
    </w:p>
    <w:p>
      <w:pPr>
        <w:pStyle w:val="TextBody"/>
        <w:bidi w:val="0"/>
        <w:spacing w:before="240" w:after="0"/>
        <w:jc w:val="left"/>
        <w:rPr>
          <w:rFonts w:ascii="Times New Roman" w:hAnsi="Times New Roman"/>
          <w:sz w:val="20"/>
        </w:rPr>
      </w:pPr>
      <w:r>
        <w:rPr>
          <w:rFonts w:ascii="Times New Roman" w:hAnsi="Times New Roman"/>
          <w:sz w:val="20"/>
        </w:rPr>
        <w:t xml:space="preserve">all as the Guaranteed Parties may deem advisable, and all without impairing, abridging, releasing or affecting this Guaranty.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Guarantor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Waivers</w:t>
      </w:r>
      <w:r>
        <w:rPr>
          <w:rFonts w:ascii="Times New Roman" w:hAnsi="Times New Roman"/>
          <w:sz w:val="20"/>
        </w:rPr>
        <w:t xml:space="preserve">. The Guarantor waives and agrees not to assert: </w:t>
      </w:r>
    </w:p>
    <w:p>
      <w:pPr>
        <w:pStyle w:val="TextBody"/>
        <w:bidi w:val="0"/>
        <w:spacing w:before="120" w:after="0"/>
        <w:jc w:val="left"/>
        <w:rPr>
          <w:rFonts w:ascii="Times New Roman" w:hAnsi="Times New Roman"/>
          <w:sz w:val="20"/>
        </w:rPr>
      </w:pPr>
      <w:r>
        <w:rPr>
          <w:rFonts w:ascii="Times New Roman" w:hAnsi="Times New Roman"/>
          <w:sz w:val="20"/>
        </w:rPr>
        <w:t xml:space="preserve">(i) any right to require any Guaranteed Party to marshal assets in favor of any Designated Borrower, the Guarantor, any other Loan Party or any other Person, to proceed against the Designated Borrowers, any other Loan Party or any other Person, or comply with any other provisions of § 9-611 of the New York Uniform Commercial Code (or any equivalent provision of any other applicable law) or to pursue any other right, remedy, power or privilege of any Guaranteed Party whatsoever; </w:t>
      </w:r>
    </w:p>
    <w:p>
      <w:pPr>
        <w:pStyle w:val="TextBody"/>
        <w:bidi w:val="0"/>
        <w:spacing w:before="240" w:after="0"/>
        <w:jc w:val="left"/>
        <w:rPr>
          <w:rFonts w:ascii="Times New Roman" w:hAnsi="Times New Roman"/>
          <w:sz w:val="20"/>
        </w:rPr>
      </w:pPr>
      <w:r>
        <w:rPr>
          <w:rFonts w:ascii="Times New Roman" w:hAnsi="Times New Roman"/>
          <w:sz w:val="20"/>
        </w:rPr>
        <w:t xml:space="preserve">(ii) the defense of the statute of limitations in any action hereunder or for the collection or performance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(iii) any defense arising by reason of any lack of corporate or other authority or any other defense of the Designated Borrowers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(iv) any defense based upon any Guaranteed Party’s errors or omissions in the administration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(v) any rights to set-offs and counterclaims; </w:t>
      </w:r>
    </w:p>
    <w:p>
      <w:pPr>
        <w:pStyle w:val="TextBody"/>
        <w:bidi w:val="0"/>
        <w:spacing w:before="240" w:after="0"/>
        <w:jc w:val="left"/>
        <w:rPr>
          <w:rFonts w:ascii="Times New Roman" w:hAnsi="Times New Roman"/>
          <w:sz w:val="20"/>
        </w:rPr>
      </w:pPr>
      <w:r>
        <w:rPr>
          <w:rFonts w:ascii="Times New Roman" w:hAnsi="Times New Roman"/>
          <w:sz w:val="20"/>
        </w:rPr>
        <w:t xml:space="preserve">(vi) any defense based upon an election of remedies (including, if available, an election to proceed by nonjudicial foreclosure) which destroys or impairs the subrogation rights of the Guarantor or the right of the Guarantor to proceed against any Designated Borrower or any other obligor of the Guaranteed Obligations for reimbursement; and </w:t>
      </w:r>
    </w:p>
    <w:p>
      <w:pPr>
        <w:pStyle w:val="TextBody"/>
        <w:bidi w:val="0"/>
        <w:spacing w:before="240" w:after="0"/>
        <w:jc w:val="left"/>
        <w:rPr>
          <w:rFonts w:ascii="Times New Roman" w:hAnsi="Times New Roman"/>
          <w:sz w:val="20"/>
        </w:rPr>
      </w:pPr>
      <w:r>
        <w:rPr>
          <w:rFonts w:ascii="Times New Roman" w:hAnsi="Times New Roman"/>
          <w:sz w:val="20"/>
        </w:rPr>
        <w:t xml:space="preserve">(vii) without limiting the generality of the foregoing, to the fullest extent permitted by law, any defenses or benefits that may be derived from or afforded by applicable law limiting the liability of or exonerating guarantors or sureties, or which may conflict with the terms of this Guaranty, other than the defense of payment and performance in full.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Additional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Guarantor waives any and all notice of the acceptance of this Guaranty, and any and all notice of the creation, renewal, modification, extension or accrual of the Guaranteed Obligations, or the reliance by the Guaranteed Parties upon this Guaranty, or the exercise of any right, power or privilege hereunder. The Guaranteed Obligations shall conclusively be deemed to have been created, contracted, incurred and permitted to exist in reliance upon this Guaranty. The Guarantor waives promptness, diligence, presentment, protest, demand for payment, notice of default, dishonor or nonpayment and all other notices to or upon the Designated Borrowers, the Guarantor or any other Person with respect to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(ii) Until the Guaranteed Obligations have been paid in full in cash, the Guarantor waives (A) any defenses the Guarantor may have to the Guaranty by reason of an election of remedies by the Guaranteed Parties, (B) any rights or defenses the Guarantor may have by reason of protection afforded to any Designated Borrower or any other Loan Party pursuant to the anti-deficiency or other laws of the State of New York or other applicable law (to the extent waivable under such applicable law) limiting or discharging the Designated Borrowers’ or such other Loan Party’s indebtedness, (C) any defenses arising by reason of any disability or other defense of the Designated Borrowers or any other guarantor, or the cessation from any cause whatsoever (including any act or omission of any Guaranteed Party) of the liability of any Designated Borrower, (D) any defenses based on any claim that the Guarantor’s obligations exceed or are more burdensome than those of the Designated Borrowers, (E) any right to compel any Guaranteed Party to proceed against or exhaust any security for the Guaranteed Obligations (or to proceed against such security in a particular order) or to pursue any other remedy in such Guaranteed Party’s power whatsoever, and (F) any benefit of and any right to participate in any security now or hereafter held by the Guaranteed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Guarantor warrants and agrees that each of the waivers set forth herein is made with full knowledge of its significance and consequences and that if any such waivers are determined to be contrary to any applicable law or public policy, such waivers shall be effective only to the maximum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Independent Obligations</w:t>
      </w:r>
      <w:r>
        <w:rPr>
          <w:rFonts w:ascii="Times New Roman" w:hAnsi="Times New Roman"/>
          <w:sz w:val="20"/>
        </w:rPr>
        <w:t xml:space="preserve">. The obligations of the Guarantor hereunder are those of primary obligor, and not merely as surety, and are independent of and separate from the obligations of any other guarantor of the Guaranteed Obligations, the Designated Borrowers and any other Loan Party and upon the occurrence and during the continuance of any Event of Default, a separate action or actions may be brought against the Guarantor, whether or not the Designated Borrowers or any such other Loan Party is joined therein or a separate action or actions are brought against any Designated Borrower or any such other Loan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Financial Condition of Designated Borrowers</w:t>
      </w:r>
      <w:r>
        <w:rPr>
          <w:rFonts w:ascii="Times New Roman" w:hAnsi="Times New Roman"/>
          <w:sz w:val="20"/>
        </w:rPr>
        <w:t xml:space="preserve">. The Guarantor shall not have any right to require any Guaranteed Party to obtain or disclose any information with respect to: (i) the financial condition or character of the Designated Borrowers or the ability of the Designated Borrowers to pay and perform the Obligations; (ii) the Guaranteed Obligations; (iii) the existence or nonexistence of any other guarantees of all or any part of the Guaranteed Obligations; (iv) any action or inaction on the part of any Guaranteed Party or any other Person; or (v) any other matter, fact or occurrence whatsoever.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Subrogation</w:t>
      </w:r>
      <w:r>
        <w:rPr>
          <w:rFonts w:ascii="Times New Roman" w:hAnsi="Times New Roman"/>
          <w:sz w:val="20"/>
        </w:rPr>
        <w:t xml:space="preserve">. Until the Guaranteed Obligations (other than contingent indemnification, tax gross up or expense reimbursement obligations) shall be satisfied in full and the Commitments shall be terminated, the Guarantor shall not have, and the Guarantor shall not directly or indirectly exercise, (a) any rights that it may acquire by way of subrogation under this Guaranty, by any payment hereunder or otherwise, (b) any rights of contribution, indemnification, reimbursement or similar suretyship claims arising out of this Guaranty, or (c) any other right which it might otherwise have or acquire (in any way whatsoever) which could entitle it at any time to share or participate in any right, remedy or security of any Guaranteed Party as against the Designated Borrowers or any other Loan Party, whether in connection with this Guaranty, any of the other Loan Documents or otherwise. If any amount shall be paid to the Guarantor on account of the foregoing rights at any time when all the Guaranteed Obligations (other than contingent indemnification, tax gross up or expense reimbursement obligations) shall not have been paid in full, such amount shall be held in trust for the benefit of the Guaranteed Parties and shall forthwith be paid to the Administrative Agent to be credited and applied to the Guaranteed Obligations, whether matured or unmatured, in accordance with the terms of the Loan Documents. Upon the indefeasible payment in full of the Guaranteed Obligations and the termination of all Commitments, the Guarantor shall be subrogated to the rights of the Guaranteed Parties against the Designated Borrowers to the extent otherwise permitted by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such subrogation shall not (i) constitute a representation or warranty, express or implied, by any Guaranteed Party as to the enforceability or collectability of any obligations of the Designated Borrowers under the Loan Documents or as to the perfection, priority or enforceability of any lien or security interest contained in or relating to any Loan Document; (ii) grant to the Guarantor any right of recourse against any Guaranteed Party in respect thereof; (iii) give rise to any duty on the part of any Guaranteed Party to cooperate with the Guarantor in the protection, preservation or enforcement of any rights the Guarantor may have against any Designated Borrower or any other Loan Party; (iv) impair any Guaranteed Party’s unfettered discretion to settle or otherwise compromise any claims such Guaranteed Party may have against any Designated Borrower or otherwise impair or affect any of the waivers or consents contained herein; or (v) restrict any Guaranteed Party from enforcing or forbearing from enforcing any of its rights or remedies against any Designated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Guarantor shall, upon demand, indemnify each Guaranteed Party against any and all costs and expenses arising directly or indirectly in connection with such right of subrogation.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Continuing Guaranty; Reinstatement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Guaranty is a continuing guarantee relating to any Guaranteed Obligations, including Guaranteed Obligations which may exist continuously or which may arise from time to time in connection with successive transactions consummated under the Credit Agreement and the other Loan Documents, and the Guarantor expressly acknowledges that this Guaranty shall remain in full force and effect notwithstanding that there may be periods in which no Guaranteed Obligations exist. This Guaranty shall continue in effect and be binding upon the Guarantor until termination of the Commitments and payment and performance in full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(b) This Guaranty shall continue to be effective or shall be reinstated and revived, as the case may be, if, for any reason, any payment of the Guaranteed Obligations by or on behalf of any of the Borrowers shall be rescinded, invalidated, declared to be fraudulent or preferential, set aside, voided or otherwise required to be repaid to such Borrower, its estate, trustee, receiver or any other Person (including under the Bankruptcy Code or other state or federal law), or must otherwise be restored by the Administrative Agent or any Lender, whether as a result of Insolvency Proceedings or otherwise. To the extent any payment is so rescinded, set aside, voided or otherwise repaid or restored, the Guaranteed Obligations shall be revived in full force and effect without reduction or discharge for such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Guarantor hereby agrees, in furtherance of the foregoing provisions of this Guaranty and not in limitation of any other right which any Guaranteed Party or any other Person may have against the Guarantor by virtue hereof, upon the failure of any Designated Borrower to pay any of the Guaranteed Obligations when and as the same shall become due, whether at stated maturity, by required prepayment, declaration, acceleration, demand or otherwise (including amounts that would become due but for the operation of the automatic stay under § 362(a) of the Bankruptcy Code or comparable provision of other applicable Debtor Relief Laws), the Guarantor shall forthwith pay, or cause to be paid, in cash, to the Administrative Agent an amount equal to the amount of the Guaranteed Obligations then due as aforesaid (including interest which, but for the filing of a petition in any Insolvency Proceeding with respect to any Designated Borrower, would have accrued on such Guaranteed Obligations, whether or not a claim is allowed against the Designated Borrower for such interest in any such Insolvency Proceeding). The Guarantor shall make each payment hereunder, unconditionally in full without set-off, counterclaim or other defense, on the day when due in the currency in which such Guaranteed Obligations are denominated in Same Day Funds, to the Administrative Agent at such office of the Administrative Agent and to such account as is specified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(b) Any and all payments by or on account of any obligation of the Guarantor hereunder shall be made without deduction or withholding for any Taxes, except as required by applicable law. If any applicable law requires the deduction or withholding of any Tax from any such payment, then the Guarantor and, if applicable, the Administrative Agent shall be entitled to make such deduction or withholding and shall timely pay the full amount deducted or withheld to the relevant Governmental Authority in accordance with applicable law and, if such Tax is an Indemnified Tax, then the sum payable by the Guarantor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Upon request by the Administrative Agent, after any payment of Taxes by the Guarantor to a Governmental Authority pursuant to this </w:t>
      </w:r>
      <w:r>
        <w:rPr>
          <w:rFonts w:ascii="Times New Roman" w:hAnsi="Times New Roman"/>
          <w:sz w:val="20"/>
          <w:u w:val="single"/>
        </w:rPr>
        <w:t>Section 8</w:t>
      </w:r>
      <w:r>
        <w:rPr>
          <w:rFonts w:ascii="Times New Roman" w:hAnsi="Times New Roman"/>
          <w:sz w:val="20"/>
        </w:rPr>
        <w:t xml:space="preserve">, the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In addition, the Guarantor agrees to pay any and all present or future stamp, court or documentary taxes and any other excise or property taxes or charges or similar levies which arise from any payment made by the Guarantor in its capacity as such under the Guarantor Documents or from the execution, delivery, performance, enforcement or registration of, or otherwise with respect to, the Guarantor Documents (hereinafter referred to as “</w:t>
      </w:r>
      <w:r>
        <w:rPr>
          <w:rFonts w:ascii="Times New Roman" w:hAnsi="Times New Roman"/>
          <w:sz w:val="20"/>
          <w:u w:val="single"/>
        </w:rPr>
        <w:t>Other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the provisions of </w:t>
      </w:r>
      <w:r>
        <w:rPr>
          <w:rFonts w:ascii="Times New Roman" w:hAnsi="Times New Roman"/>
          <w:sz w:val="20"/>
          <w:u w:val="single"/>
        </w:rPr>
        <w:t>subsection (c)</w:t>
      </w:r>
      <w:r>
        <w:rPr>
          <w:rFonts w:ascii="Times New Roman" w:hAnsi="Times New Roman"/>
          <w:sz w:val="20"/>
        </w:rPr>
        <w:t xml:space="preserve"> above, the Guarantor shall timely pay any Other Taxes to the relevant Governmental Authority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The Guarantor shall indemnify each Recipient, within 10 days after demand therefor, for the full amount of any Indemnified Taxes and Other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Guarantor by a Lender (with a copy to the Administrative Agent), or by the Administrative Agent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(f) Any payment by the Guarantor hereunder the application of which is not otherwise provided for herein, shall be applied in the order specified in </w:t>
      </w:r>
      <w:r>
        <w:rPr>
          <w:rFonts w:ascii="Times New Roman" w:hAnsi="Times New Roman"/>
          <w:sz w:val="20"/>
          <w:u w:val="single"/>
        </w:rPr>
        <w:t>Section 8.03</w:t>
      </w:r>
      <w:r>
        <w:rPr>
          <w:rFonts w:ascii="Times New Roman" w:hAnsi="Times New Roman"/>
          <w:sz w:val="20"/>
        </w:rPr>
        <w:t xml:space="preserve">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(g) If any Recipient determines, in its sole discretion exercised in good faith, that it has received a refund of any Taxes as to which it has been indemnified by the Guarantor or with respect to which the Guarantor has paid additional amounts pursuant to this </w:t>
      </w:r>
      <w:r>
        <w:rPr>
          <w:rFonts w:ascii="Times New Roman" w:hAnsi="Times New Roman"/>
          <w:sz w:val="20"/>
          <w:u w:val="single"/>
        </w:rPr>
        <w:t>Section 8</w:t>
      </w:r>
      <w:r>
        <w:rPr>
          <w:rFonts w:ascii="Times New Roman" w:hAnsi="Times New Roman"/>
          <w:sz w:val="20"/>
        </w:rPr>
        <w:t xml:space="preserve">, it shall pay to the Guarantor an amount equal to such refund (but only to the extent of indemnity payments made, or additional amounts paid, by the Guarantor under this </w:t>
      </w:r>
      <w:r>
        <w:rPr>
          <w:rFonts w:ascii="Times New Roman" w:hAnsi="Times New Roman"/>
          <w:sz w:val="20"/>
          <w:u w:val="single"/>
        </w:rPr>
        <w:t>Section 8</w:t>
      </w:r>
      <w:r>
        <w:rPr>
          <w:rFonts w:ascii="Times New Roman" w:hAnsi="Times New Roman"/>
          <w:sz w:val="20"/>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the Guarantor, upon the request of the Recipient, agrees to repay the amount paid over to the Guarantor (plus any penalties, interest or other charges imposed by the relevant Governmental Authority, other than any penalties, interest, or other charges attributable to the gross negligence or willful misconduct on the part of the Recipient as determined by a court of competent jurisdiction by final and nonappealable judgment) to the Recipient in the event the Recipient is required to repay such refund to such Governmental Authority. Notwithstanding anything to the contrary in this subsection, in no event will the applicable Recipient be required to pay any amount to the Guarantor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Guarantor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(h) The agreements in this </w:t>
      </w:r>
      <w:r>
        <w:rPr>
          <w:rFonts w:ascii="Times New Roman" w:hAnsi="Times New Roman"/>
          <w:sz w:val="20"/>
          <w:u w:val="single"/>
        </w:rPr>
        <w:t>Section 8</w:t>
      </w:r>
      <w:r>
        <w:rPr>
          <w:rFonts w:ascii="Times New Roman" w:hAnsi="Times New Roman"/>
          <w:sz w:val="20"/>
        </w:rPr>
        <w:t xml:space="preserve"> shall survive the payment of all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Consideration</w:t>
      </w:r>
      <w:r>
        <w:rPr>
          <w:rFonts w:ascii="Times New Roman" w:hAnsi="Times New Roman"/>
          <w:sz w:val="20"/>
        </w:rPr>
        <w:t xml:space="preserve">. In order to induce the Lenders to make Committed Loans to the Designated Borrowers pursuant to the Credit Agreement, the Guarantor represents and warrants to each Guaranteed Party that the Guarantor has received at least “reasonably equivalent value” (as such phrase is used in § 548 of the Bankruptcy Code), and at least “fair consideration” (as such term is used in § 272 of the New York Uniform Fraudulent Conveyance Act) and more than sufficient consideration to support its obligations hereunder in respect of the Guaranteed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Notices</w:t>
      </w:r>
      <w:r>
        <w:rPr>
          <w:rFonts w:ascii="Times New Roman" w:hAnsi="Times New Roman"/>
          <w:sz w:val="20"/>
        </w:rPr>
        <w:t xml:space="preserve">. Unless otherwise expressly provided herein, all notices and other communications provided for hereunder shall be delivered to the Guarantor’s attention at the address of the Company as set forth in </w:t>
      </w:r>
      <w:r>
        <w:rPr>
          <w:rFonts w:ascii="Times New Roman" w:hAnsi="Times New Roman"/>
          <w:sz w:val="20"/>
          <w:u w:val="single"/>
        </w:rPr>
        <w:t>Section 10.02</w:t>
      </w:r>
      <w:r>
        <w:rPr>
          <w:rFonts w:ascii="Times New Roman" w:hAnsi="Times New Roman"/>
          <w:sz w:val="20"/>
        </w:rPr>
        <w:t xml:space="preserve"> of the Credit Agreement and the terms of </w:t>
      </w:r>
      <w:r>
        <w:rPr>
          <w:rFonts w:ascii="Times New Roman" w:hAnsi="Times New Roman"/>
          <w:sz w:val="20"/>
          <w:u w:val="single"/>
        </w:rPr>
        <w:t>Section 10.02</w:t>
      </w:r>
      <w:r>
        <w:rPr>
          <w:rFonts w:ascii="Times New Roman" w:hAnsi="Times New Roman"/>
          <w:sz w:val="20"/>
        </w:rPr>
        <w:t xml:space="preserve"> of the Credit Agreement with respect to notices are incorporated herein by reference, </w:t>
      </w:r>
      <w:r>
        <w:rPr>
          <w:rFonts w:ascii="Times New Roman" w:hAnsi="Times New Roman"/>
          <w:i/>
          <w:sz w:val="20"/>
        </w:rPr>
        <w:t>mutatis mutandis</w:t>
      </w:r>
      <w:r>
        <w:rPr>
          <w:rFonts w:ascii="Times New Roman" w:hAnsi="Times New Roman"/>
          <w:sz w:val="20"/>
        </w:rPr>
        <w:t xml:space="preserve">, with each reference to the “Company,” “Borrower” or the “Borrowers” therein (whether express or by reference to the Company or Borrower or the Company or Borrowers as a “party” thereto) being a reference to the Guarantor and each reference to any “Loan Document” or the “Loan Documents” therein being a reference to the “Guarantor Documents”, and the parties hereto agree to such terms.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 Waiver; Cumulative Remedies</w:t>
      </w:r>
      <w:r>
        <w:rPr>
          <w:rFonts w:ascii="Times New Roman" w:hAnsi="Times New Roman"/>
          <w:sz w:val="20"/>
        </w:rPr>
        <w:t xml:space="preserve">. No failure by any Guaranteed Party to exercise, and no delay by any such Person in exercising, any right, remedy, power or privilege hereunder or under any other Guarantor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Guarantor Document, are cumulative and not exclusive of any rights, remedies, powers and privileges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Costs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Costs and Expenses</w:t>
      </w:r>
      <w:r>
        <w:rPr>
          <w:rFonts w:ascii="Times New Roman" w:hAnsi="Times New Roman"/>
          <w:sz w:val="20"/>
        </w:rPr>
        <w:t xml:space="preserve">. The Guarantor shall: (i) pay or reimburse the Administrative Agent and its Affiliates for all reasonable out-of-pocket costs and expenses incurred in connection with the development, preparation, negotiation and execution of this Guaranty and the other Guarantor Documents and any amendment, waiver, consent or other modification of the provisions hereof or thereof (whether or not the transactions contemplated hereby or thereby are consummated), and the consummation and administration of the transactions contemplated hereby and thereby, including all reasonable costs and expenses of counsel for the Administrative Agent; and (ii) pay or reimburse the Administrative Agent and each other Guaranteed Party for all out-of-pocket costs and expenses incurred in connection with the enforcement, attempted enforcement, or preservation of any rights or remedies under this Guaranty or the other Guarantor Documents (including all such costs and expenses incurred during any “workout” or restructuring in respect of the Guaranteed Obligations and during any legal proceeding, including any proceeding under any Debtor Relief Laws), including all costs and expenses of counsel for the Administrative Agent. The foregoing costs and expenses shall include all search, filing, recording, title insurance and appraisal charges and fees and taxes related thereto, and other out-of-pocket expenses incurred by the Administrative Agent and the cost of independent public accountants and other outside experts retained by any Guaranteed Party.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Interest</w:t>
      </w:r>
      <w:r>
        <w:rPr>
          <w:rFonts w:ascii="Times New Roman" w:hAnsi="Times New Roman"/>
          <w:sz w:val="20"/>
        </w:rPr>
        <w:t xml:space="preserve">. Any amounts payable by the Guarantor under this </w:t>
      </w:r>
      <w:r>
        <w:rPr>
          <w:rFonts w:ascii="Times New Roman" w:hAnsi="Times New Roman"/>
          <w:sz w:val="20"/>
          <w:u w:val="single"/>
        </w:rPr>
        <w:t>Section 12</w:t>
      </w:r>
      <w:r>
        <w:rPr>
          <w:rFonts w:ascii="Times New Roman" w:hAnsi="Times New Roman"/>
          <w:sz w:val="20"/>
        </w:rPr>
        <w:t xml:space="preserve"> or otherwise under this Guaranty if not paid when due shall bear interest from such due date until paid in full, at a fluctuating interest rate per annum at all times equal to the Default Rate applicable to Base Rate Loans to the fullest extent permitted by applicable law. Any such interest shall be due and payable upon demand in accordance with the Credit Agreement and shall be calculated on the basis of a year of 365 or 366 days, as the case may be, and the actual number of days elapsed.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w:t>
      </w:r>
      <w:r>
        <w:rPr>
          <w:rFonts w:ascii="Times New Roman" w:hAnsi="Times New Roman"/>
          <w:sz w:val="20"/>
        </w:rPr>
        <w:t xml:space="preserve">. All amounts due under this </w:t>
      </w:r>
      <w:r>
        <w:rPr>
          <w:rFonts w:ascii="Times New Roman" w:hAnsi="Times New Roman"/>
          <w:sz w:val="20"/>
          <w:u w:val="single"/>
        </w:rPr>
        <w:t>Section 12</w:t>
      </w:r>
      <w:r>
        <w:rPr>
          <w:rFonts w:ascii="Times New Roman" w:hAnsi="Times New Roman"/>
          <w:sz w:val="20"/>
        </w:rPr>
        <w:t xml:space="preserve"> shall be payable after demand therefor in accordance with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Survival</w:t>
      </w:r>
      <w:r>
        <w:rPr>
          <w:rFonts w:ascii="Times New Roman" w:hAnsi="Times New Roman"/>
          <w:sz w:val="20"/>
        </w:rPr>
        <w:t xml:space="preserve">. The agreements in this </w:t>
      </w:r>
      <w:r>
        <w:rPr>
          <w:rFonts w:ascii="Times New Roman" w:hAnsi="Times New Roman"/>
          <w:sz w:val="20"/>
          <w:u w:val="single"/>
        </w:rPr>
        <w:t>Section 12</w:t>
      </w:r>
      <w:r>
        <w:rPr>
          <w:rFonts w:ascii="Times New Roman" w:hAnsi="Times New Roman"/>
          <w:sz w:val="20"/>
        </w:rPr>
        <w:t xml:space="preserve"> shall survive the termination of the Commitments and repayment of all Guaranteed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Right of Set-Off</w:t>
      </w:r>
      <w:r>
        <w:rPr>
          <w:rFonts w:ascii="Times New Roman" w:hAnsi="Times New Roman"/>
          <w:sz w:val="20"/>
        </w:rPr>
        <w:t xml:space="preserve">. In addition to any rights and remedies of the Lenders provided by law, upon the occurrence and during the continuance of any Event of Default each Lender and each of their Affiliates is authorized at any time and from time to time, without prior notice to the Guarantor, any such notice being waived by the Guarantor to the fullest extent permitted by applicable law, to set off and apply any and all deposits (general or special, time or demand, provisional or final, in whatever currency) at any time held by, and other indebtedness at any time owing by, such Lender or any such Affiliate to or for the credit or the account of the Guarantor against any and all Guaranteed Obligations of such Guarantor owing to such Lender, now or hereafter existing, irrespective of whether or not the Administrative Agent or such Lender shall have made demand under this Guaranty or any other Guarantor Document and although such Guaranteed Obligations may be contingent or unmatured or denominated in a currency different from that of the applicable deposit or indebtedness. Each of the Lenders agrees (by its acceptance hereof) promptly to notify the Guarantor and the Administrative Agent after any such set-off and application made by such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failure to give such notice shall not affect the validity of such set-off and application. The rights of each Lender and each of their Affiliates under this Section are in addition to other rights and remedies (including other rights of setoff) that such Lender or its Affiliates may have.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Marshalling; Payments Set Aside</w:t>
      </w:r>
      <w:r>
        <w:rPr>
          <w:rFonts w:ascii="Times New Roman" w:hAnsi="Times New Roman"/>
          <w:sz w:val="20"/>
        </w:rPr>
        <w:t xml:space="preserve">. Neither the Administrative Agent nor any other Guaranteed Party shall be under any obligation to marshal any assets in favor of the Guarantor or any other Person or against or in payment of any or all of the Guaranteed Obligations. To the extent that the Guarantor makes a payment to any Guaranteed Party, or any Guaranteed Party exercises its right of set-off, and such payment or the proceeds of such set-off or any part thereof are subsequently invalidated, declared to be fraudulent or preferential, set aside or required (including pursuant to any settlement entered into by any Guaranteed Party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of the Lenders severally agrees (by its acceptance hereof) to pay to the Administrative Agent upon demand its pro rata share of any amount so recovered from or repaid by the Administrative Agent, plus interest thereon from the date of such demand to the date such payment is made at a rate per annum equal to the Federal Funds Rate from time to time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Benefits of Guaranty</w:t>
      </w:r>
      <w:r>
        <w:rPr>
          <w:rFonts w:ascii="Times New Roman" w:hAnsi="Times New Roman"/>
          <w:sz w:val="20"/>
        </w:rPr>
        <w:t xml:space="preserve">. This Guaranty is entered into for the sole protection and benefit of the Administrative Agent and each other Guaranteed Party and their respective successors and assigns, and no other Person (other than any Indemnitee specified herein) shall be a direct or indirect beneficiary of, or shall have any direct or indirect cause of action or claim in connection with, this Guaranty. The Guaranteed Parties, by their acceptance of this Guaranty, shall not have any obligations under this Guaranty to any Person other than the Guarantor, and such obligations shall be limited to those expressly stated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Binding Effect; Assignment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Binding Effect</w:t>
      </w:r>
      <w:r>
        <w:rPr>
          <w:rFonts w:ascii="Times New Roman" w:hAnsi="Times New Roman"/>
          <w:sz w:val="20"/>
        </w:rPr>
        <w:t xml:space="preserve">. This Guaranty shall be binding upon the Guarantor and its successors and assigns, and inure to the benefit of and be enforceable by the Administrative Agent and each other Guaranteed Party and their respective successors, endorsees, transferees and assigns.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w:t>
      </w:r>
      <w:r>
        <w:rPr>
          <w:rFonts w:ascii="Times New Roman" w:hAnsi="Times New Roman"/>
          <w:sz w:val="20"/>
        </w:rPr>
        <w:t xml:space="preserve">. Except to the extent otherwise provided in the Credit Agreement, the Guarantor shall not have the right to assign or transfer its rights and obligations hereunder or under any other Guarantor Documents without the prior written consent of the Required Lenders. Each Lender may, without notice to or consent by the Guarantor, sell, assign, transfer or grant participations in all or any portion of such Lender’s rights and obligations hereunder and under the other Guarantor Documents in connection with any sale, assignment, transfer or grant of a participation by such Lender in accordance with Section 10.06 of the Credit Agreement of or in its rights and obligations thereunder and under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of any grant of a participation, the participant (A) shall be deemed to have a right of setoff under </w:t>
      </w:r>
      <w:r>
        <w:rPr>
          <w:rFonts w:ascii="Times New Roman" w:hAnsi="Times New Roman"/>
          <w:sz w:val="20"/>
          <w:u w:val="single"/>
        </w:rPr>
        <w:t>Section 13</w:t>
      </w:r>
      <w:r>
        <w:rPr>
          <w:rFonts w:ascii="Times New Roman" w:hAnsi="Times New Roman"/>
          <w:sz w:val="20"/>
        </w:rPr>
        <w:t xml:space="preserve"> hereof in respect of its participation to the same extent as if it were such “Guaranteed Party;” and (B) shall also be entitled to the benefits of </w:t>
      </w:r>
      <w:r>
        <w:rPr>
          <w:rFonts w:ascii="Times New Roman" w:hAnsi="Times New Roman"/>
          <w:sz w:val="20"/>
          <w:u w:val="single"/>
        </w:rPr>
        <w:t>Section 12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Governing Law and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GUARANTY AND THE OTHER GUARANTOR DOCUMENTS (EXCEPT, AS TO ANY OTHER GUARANTOR DOCUMENT, WHERE SUCH OTHER GUARANTOR DOCUMENT EXPRESSLY SETS FORTH OTHERWISE) AND ANY CLAIMS, CONTROVERSY, DISPUTE OR CAUSE OF ACTION (WHETHER IN CONTRACT OR TORT OR OTHERWISE) BASED UPON, ARISING OUT OF OR RELATING TO THIS GUARANTY OR ANY OTHER GUARANTOR DOCUMENT (EXCEPT, AS TO ANY OTHER GUARANTOR DOCUMENT, AS EXPRESSLY SET FORTH THEREIN) AND THE TRANSACTIONS CONTEMPLATED HEREBY AND THEREBY SHALL BE GOVERNED BY, AND CONSTRUED IN ACCORDANCE WITH,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SUBMISSION TO JURISDICTION</w:t>
      </w:r>
      <w:r>
        <w:rPr>
          <w:rFonts w:ascii="Times New Roman" w:hAnsi="Times New Roman"/>
          <w:sz w:val="20"/>
        </w:rPr>
        <w:t xml:space="preserve">. EACH OF THE PARTIES HERETO IRREVOCABLY AND UNCONDITIONALLY SUBMITS, FOR ITSELF AND ITS PROPERTY, TO THE EXCLUSIVE JURISDICTION OF THE COURTS OF THE STATE OF NEW YORK SITTING IN THE BOROUGH OF MANHATTAN AND OF THE UNITED STATES DISTRICT COURT IN SUCH BOROUGH, AND ANY APPELLATE COURT FROM ANY THEREOF, IN ANY ACTION OR PROCEEDING ARISING OUT OF OR RELATING TO THIS GUARANTY OR ANY OTHER GUARANTOR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GUARANTY OR IN ANY OTHER GUARANTOR DOCUMENT SHALL AFFECT ANY RIGHT THAT THE ADMINISTRATIVE AGENT, ANY LENDER MAY OTHERWISE HAVE TO BRING ANY ACTION OR PROCEEDING RELATING TO THIS GUARANTY OR ANY OTHER GUARANTOR DOCUMENT AGAINST THE GUARANTOR OR ITS PROPERTIES IN THE COURTS OF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VENUE</w:t>
      </w:r>
      <w:r>
        <w:rPr>
          <w:rFonts w:ascii="Times New Roman" w:hAnsi="Times New Roman"/>
          <w:sz w:val="20"/>
        </w:rPr>
        <w:t xml:space="preserve">. EACH OF THE PARTIES HERETO IRREVOCABLY AND UNCONDITIONALLY WAIVES, TO THE FULLEST EXTENT PERMITTED BY APPLICABLE LAW, ANY OBJECTION THAT IT MAY NOW OR HEREAFTER HAVE TO THE LAYING OF VENUE OF ANY ACTION OR PROCEEDING ARISING OUT OF OR RELATING TO THIS GUARANTY OR ANY OTHER GUARANTOR DOCUMENT IN ANY COURT REFERRED TO IN </w:t>
      </w:r>
      <w:r>
        <w:rPr>
          <w:rFonts w:ascii="Times New Roman" w:hAnsi="Times New Roman"/>
          <w:sz w:val="20"/>
          <w:u w:val="single"/>
        </w:rPr>
        <w:t>PARAGRAPH (b)</w:t>
      </w:r>
      <w:r>
        <w:rPr>
          <w:rFonts w:ascii="Times New Roman" w:hAnsi="Times New Roman"/>
          <w:sz w:val="20"/>
        </w:rPr>
        <w:t xml:space="preserve"> OF THIS </w:t>
      </w:r>
      <w:r>
        <w:rPr>
          <w:rFonts w:ascii="Times New Roman" w:hAnsi="Times New Roman"/>
          <w:sz w:val="20"/>
          <w:u w:val="single"/>
        </w:rPr>
        <w:t>SECTION 17</w:t>
      </w:r>
      <w:r>
        <w:rPr>
          <w:rFonts w:ascii="Times New Roman" w:hAnsi="Times New Roman"/>
          <w:sz w:val="20"/>
        </w:rPr>
        <w:t xml:space="preserve">. EACH OF THE PARTIES HERETO HEREBY IRREVOCABLY WAIVES, TO THE FULLEST EXTENT PERMITTED BY APPLICABLE LAW, THE DEFENSE OF AN INCONVENIENT FORUM TO THE MAINTENANCE OF SUCH ACTION OR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SERVICE OF PROCESS</w:t>
      </w:r>
      <w:r>
        <w:rPr>
          <w:rFonts w:ascii="Times New Roman" w:hAnsi="Times New Roman"/>
          <w:sz w:val="20"/>
        </w:rPr>
        <w:t>. EACH PARTY HERETO IRREVOCABLY CONSENTS TO SERVICE OF PROCESS IN THE MANNER PROVIDED FOR NOTICES IN</w:t>
      </w:r>
      <w:r>
        <w:rPr>
          <w:rFonts w:ascii="Times New Roman" w:hAnsi="Times New Roman"/>
          <w:sz w:val="20"/>
          <w:u w:val="single"/>
        </w:rPr>
        <w:t xml:space="preserve"> SECTION 10</w:t>
      </w:r>
      <w:r>
        <w:rPr>
          <w:rFonts w:ascii="Times New Roman" w:hAnsi="Times New Roman"/>
          <w:sz w:val="20"/>
        </w:rPr>
        <w:t xml:space="preserve">. NOTHING IN THIS GUARANTY WILL AFFECT THE RIGHT OF ANY PARTY HERETO TO SERVE PROCESS IN ANY OTHER MANNER PERMITTED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Waiver of Jury Trial</w:t>
      </w:r>
      <w:r>
        <w:rPr>
          <w:rFonts w:ascii="Times New Roman" w:hAnsi="Times New Roman"/>
          <w:sz w:val="20"/>
        </w:rPr>
        <w:t xml:space="preserve">. EACH PARTY HERETO HEREBY IRREVOCABLY WAIVES, TO THE FULLEST EXTENT PERMITTED BY APPLICABLE LAW, ANY RIGHT IT MAY HAVE TO A TRIAL BY JURY IN ANY LEGAL PROCEEDING DIRECTLY OR INDIRECTLY ARISING OUT OF OR RELATING TO THIS GUARANTY OR ANY OTHER GUARANTOR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GUARANTY AND THE OTHER GUARANTOR DOCUMENTS BY, AMONG OTHER THINGS, THE MUTUAL WAIVERS AND CERTIFICATIONS IN THIS </w:t>
      </w:r>
      <w:r>
        <w:rPr>
          <w:rFonts w:ascii="Times New Roman" w:hAnsi="Times New Roman"/>
          <w:sz w:val="20"/>
          <w:u w:val="single"/>
        </w:rPr>
        <w:t>SECTION 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Entire Agreement; Amendments and Waivers</w:t>
      </w:r>
      <w:r>
        <w:rPr>
          <w:rFonts w:ascii="Times New Roman" w:hAnsi="Times New Roman"/>
          <w:sz w:val="20"/>
        </w:rPr>
        <w:t xml:space="preserve">. This Guaranty together with the other Guarantor Documents embodies the entire final agreement of the Guarantor with respect to the matters set forth herein and supersedes all prior or contemporaneous agreements and understandings of the Guarantor, verbal or written, relating to the subject matter hereof and thereof and shall not be amended except by written agreement of the Guarantor, the Administrative Agent and the Required Lenders. This Guaranty and the other Guarantor Documents may not be contradicted by evidence of prior, contemporaneous, or subsequent oral agreements of the parties. There are no unwritten oral agreements among the parties. No waiver of any rights of the Guaranteed Parties under any provision of this Guaranty or consent to any departure by the Guarantor therefrom shall be effective unless in writing and signed by the Administrative Agent and the Required Lenders, or the Administrative Agent (with the written consent of the Required Lenders). Any such amendment, waiver or consent shall be effective only in the specific instance and for the specific purpose for which given.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Severability</w:t>
      </w:r>
      <w:r>
        <w:rPr>
          <w:rFonts w:ascii="Times New Roman" w:hAnsi="Times New Roman"/>
          <w:sz w:val="20"/>
        </w:rPr>
        <w:t xml:space="preserve">. If any provision of this Guaranty or the other Guarantor Documents is held to be illegal, invalid or unenforceable, (a) the legality, validity and enforceability of the remaining provisions of this Guaranty and the other Guarantor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Counterparts</w:t>
      </w:r>
      <w:r>
        <w:rPr>
          <w:rFonts w:ascii="Times New Roman" w:hAnsi="Times New Roman"/>
          <w:sz w:val="20"/>
        </w:rPr>
        <w:t xml:space="preserve">. This Guaranty may be executed in one or more counterparts (and by different parties hereto in different counterparts), each of which shall constitute an original, but all of which together shall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Judgment Currency</w:t>
      </w:r>
      <w:r>
        <w:rPr>
          <w:rFonts w:ascii="Times New Roman" w:hAnsi="Times New Roman"/>
          <w:sz w:val="20"/>
        </w:rPr>
        <w:t>. If, for the purposes of obtaining judgment in any court, it is necessary to convert a sum due hereunder or any other Guarantor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Guarantor in respect of any such sum due from it to any Guaranteed Party hereunder or under the other Guarantor Documents shall, notwithstanding any judgment in a currency (the “</w:t>
      </w:r>
      <w:r>
        <w:rPr>
          <w:rFonts w:ascii="Times New Roman" w:hAnsi="Times New Roman"/>
          <w:sz w:val="20"/>
          <w:u w:val="single"/>
        </w:rPr>
        <w:t>Judgment Currency</w:t>
      </w:r>
      <w:r>
        <w:rPr>
          <w:rFonts w:ascii="Times New Roman" w:hAnsi="Times New Roman"/>
          <w:sz w:val="20"/>
        </w:rPr>
        <w:t>”) other than that in which such sum is denominated in accordance with the applicable provisions of the Credit Agreement (the “</w:t>
      </w:r>
      <w:r>
        <w:rPr>
          <w:rFonts w:ascii="Times New Roman" w:hAnsi="Times New Roman"/>
          <w:sz w:val="20"/>
          <w:u w:val="single"/>
        </w:rPr>
        <w:t>Agreement Currency</w:t>
      </w:r>
      <w:r>
        <w:rPr>
          <w:rFonts w:ascii="Times New Roman" w:hAnsi="Times New Roman"/>
          <w:sz w:val="20"/>
        </w:rPr>
        <w:t xml:space="preserve">”),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Guarantor in the Agreement Currency, the Guarantor agrees, as a separate obligation and notwithstanding any such judgment, to indemnify the Administrative Agent or the Person to whom such obligation was owing against such loss. If the amount of the Agreement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purchased is greater than the sum originally due to the Administrative Agent or the Person to whom such obligation was owing in such currency, the Administrative Agent (by its acceptance hereof) or the Person to whom such obligation was owing agrees to return the amount of any excess to the Guarantor (or to any other Person who may be entitled thereto under applicable law). The agreements in this </w:t>
      </w:r>
      <w:r>
        <w:rPr>
          <w:rFonts w:ascii="Times New Roman" w:hAnsi="Times New Roman"/>
          <w:sz w:val="20"/>
          <w:u w:val="single"/>
        </w:rPr>
        <w:t>Section 22</w:t>
      </w:r>
      <w:r>
        <w:rPr>
          <w:rFonts w:ascii="Times New Roman" w:hAnsi="Times New Roman"/>
          <w:sz w:val="20"/>
        </w:rPr>
        <w:t xml:space="preserve"> shall survive the termination of the Commitments and repayment of all Guaranteed Obligations.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Guarantor has executed this Guaranty,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07"/>
        <w:gridCol w:w="126"/>
        <w:gridCol w:w="2649"/>
      </w:tblGrid>
      <w:tr>
        <w:trPr/>
        <w:tc>
          <w:tcPr>
            <w:tcW w:w="1307"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ANALOG DEVICES, INC.,</w:t>
              <w:br/>
              <w:t>a Massachusetts corporation</w:t>
            </w:r>
          </w:p>
        </w:tc>
      </w:tr>
      <w:tr>
        <w:trPr>
          <w:trHeight w:val="240" w:hRule="atLeast"/>
        </w:trPr>
        <w:tc>
          <w:tcPr>
            <w:tcW w:w="1307" w:type="dxa"/>
            <w:tcBorders/>
            <w:vAlign w:val="center"/>
          </w:tcPr>
          <w:p>
            <w:pPr>
              <w:pStyle w:val="TableContents"/>
              <w:bidi w:val="0"/>
              <w:spacing w:before="0" w:after="283"/>
              <w:jc w:val="left"/>
              <w:rPr>
                <w:sz w:val="4"/>
                <w:szCs w:val="4"/>
              </w:rPr>
            </w:pPr>
            <w:r>
              <w:rPr>
                <w:sz w:val="4"/>
                <w:szCs w:val="4"/>
              </w:rPr>
            </w:r>
          </w:p>
        </w:tc>
        <w:tc>
          <w:tcPr>
            <w:tcW w:w="2775" w:type="dxa"/>
            <w:gridSpan w:val="2"/>
            <w:tcBorders/>
            <w:vAlign w:val="center"/>
          </w:tcPr>
          <w:p>
            <w:pPr>
              <w:pStyle w:val="TableContents"/>
              <w:bidi w:val="0"/>
              <w:spacing w:before="0" w:after="283"/>
              <w:jc w:val="left"/>
              <w:rPr>
                <w:sz w:val="4"/>
                <w:szCs w:val="4"/>
              </w:rPr>
            </w:pPr>
            <w:r>
              <w:rPr>
                <w:sz w:val="4"/>
                <w:szCs w:val="4"/>
              </w:rPr>
            </w:r>
          </w:p>
        </w:tc>
      </w:tr>
      <w:tr>
        <w:trPr/>
        <w:tc>
          <w:tcPr>
            <w:tcW w:w="1307" w:type="dxa"/>
            <w:tcBorders/>
          </w:tcPr>
          <w:p>
            <w:pPr>
              <w:pStyle w:val="TableContents"/>
              <w:bidi w:val="0"/>
              <w:spacing w:before="0" w:after="283"/>
              <w:jc w:val="left"/>
              <w:rPr/>
            </w:pPr>
            <w:r>
              <w:rPr/>
              <w:t>By:</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2649" w:type="dxa"/>
            <w:tcBorders>
              <w:bottom w:val="single" w:sz="2" w:space="0" w:color="000000"/>
            </w:tcBorders>
            <w:tcMar>
              <w:bottom w:w="28" w:type="dxa"/>
            </w:tcMar>
          </w:tcPr>
          <w:p>
            <w:pPr>
              <w:pStyle w:val="TableContents"/>
              <w:bidi w:val="0"/>
              <w:spacing w:before="0" w:after="283"/>
              <w:jc w:val="left"/>
              <w:rPr/>
            </w:pPr>
            <w:r>
              <w:rPr/>
              <w:t> </w:t>
            </w:r>
          </w:p>
        </w:tc>
      </w:tr>
      <w:tr>
        <w:trPr/>
        <w:tc>
          <w:tcPr>
            <w:tcW w:w="1307" w:type="dxa"/>
            <w:tcBorders/>
          </w:tcPr>
          <w:p>
            <w:pPr>
              <w:pStyle w:val="TableContents"/>
              <w:bidi w:val="0"/>
              <w:spacing w:before="0" w:after="283"/>
              <w:jc w:val="left"/>
              <w:rPr/>
            </w:pPr>
            <w:r>
              <w:rPr/>
              <w:t>Name:</w:t>
            </w:r>
          </w:p>
        </w:tc>
        <w:tc>
          <w:tcPr>
            <w:tcW w:w="126" w:type="dxa"/>
            <w:tcBorders/>
            <w:vAlign w:val="bottom"/>
          </w:tcPr>
          <w:p>
            <w:pPr>
              <w:pStyle w:val="TableContents"/>
              <w:bidi w:val="0"/>
              <w:spacing w:before="0" w:after="283"/>
              <w:jc w:val="left"/>
              <w:rPr/>
            </w:pPr>
            <w:r>
              <w:rPr/>
              <w:t> </w:t>
            </w:r>
          </w:p>
        </w:tc>
        <w:tc>
          <w:tcPr>
            <w:tcW w:w="2649" w:type="dxa"/>
            <w:tcBorders/>
          </w:tcPr>
          <w:p>
            <w:pPr>
              <w:pStyle w:val="TableContents"/>
              <w:bidi w:val="0"/>
              <w:spacing w:before="0" w:after="283"/>
              <w:jc w:val="left"/>
              <w:rPr>
                <w:sz w:val="4"/>
                <w:szCs w:val="4"/>
              </w:rPr>
            </w:pPr>
            <w:r>
              <w:rPr>
                <w:sz w:val="4"/>
                <w:szCs w:val="4"/>
              </w:rPr>
            </w:r>
          </w:p>
        </w:tc>
      </w:tr>
      <w:tr>
        <w:trPr/>
        <w:tc>
          <w:tcPr>
            <w:tcW w:w="1307" w:type="dxa"/>
            <w:tcBorders/>
          </w:tcPr>
          <w:p>
            <w:pPr>
              <w:pStyle w:val="TableContents"/>
              <w:bidi w:val="0"/>
              <w:spacing w:before="0" w:after="283"/>
              <w:jc w:val="left"/>
              <w:rPr/>
            </w:pPr>
            <w:r>
              <w:rPr/>
              <w:t>Title:</w:t>
            </w:r>
          </w:p>
        </w:tc>
        <w:tc>
          <w:tcPr>
            <w:tcW w:w="126" w:type="dxa"/>
            <w:tcBorders/>
            <w:vAlign w:val="bottom"/>
          </w:tcPr>
          <w:p>
            <w:pPr>
              <w:pStyle w:val="TableContents"/>
              <w:bidi w:val="0"/>
              <w:spacing w:before="0" w:after="283"/>
              <w:jc w:val="left"/>
              <w:rPr/>
            </w:pPr>
            <w:r>
              <w:rPr/>
              <w:t> </w:t>
            </w:r>
          </w:p>
        </w:tc>
        <w:tc>
          <w:tcPr>
            <w:tcW w:w="264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EXHIBIT 1.01(b)</w:t>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SUBSIDIARY GUARANTY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SUBSIDIARY GUARANTY </w:t>
      </w:r>
    </w:p>
    <w:p>
      <w:pPr>
        <w:pStyle w:val="TextBody"/>
        <w:bidi w:val="0"/>
        <w:spacing w:before="240" w:after="0"/>
        <w:jc w:val="left"/>
        <w:rPr>
          <w:rFonts w:ascii="Times New Roman" w:hAnsi="Times New Roman"/>
          <w:sz w:val="20"/>
        </w:rPr>
      </w:pPr>
      <w:r>
        <w:rPr>
          <w:rFonts w:ascii="Times New Roman" w:hAnsi="Times New Roman"/>
          <w:sz w:val="20"/>
        </w:rPr>
        <w:t>THIS SUBSIDIARY GUARANTY (this “</w:t>
      </w:r>
      <w:r>
        <w:rPr>
          <w:rFonts w:ascii="Times New Roman" w:hAnsi="Times New Roman"/>
          <w:sz w:val="20"/>
          <w:u w:val="single"/>
        </w:rPr>
        <w:t>Guaranty</w:t>
      </w:r>
      <w:r>
        <w:rPr>
          <w:rFonts w:ascii="Times New Roman" w:hAnsi="Times New Roman"/>
          <w:sz w:val="20"/>
        </w:rPr>
        <w:t>”), dated as of [</w:t>
      </w:r>
      <w:r>
        <w:rPr>
          <w:rFonts w:ascii="Times New Roman" w:hAnsi="Times New Roman"/>
          <w:sz w:val="20"/>
          <w:u w:val="single"/>
        </w:rPr>
        <w:t xml:space="preserve">    </w:t>
      </w:r>
      <w:r>
        <w:rPr>
          <w:rFonts w:ascii="Times New Roman" w:hAnsi="Times New Roman"/>
          <w:sz w:val="20"/>
        </w:rPr>
        <w:t>], 20[</w:t>
      </w:r>
      <w:r>
        <w:rPr>
          <w:rFonts w:ascii="Times New Roman" w:hAnsi="Times New Roman"/>
          <w:sz w:val="20"/>
          <w:u w:val="single"/>
        </w:rPr>
        <w:t> </w:t>
      </w:r>
      <w:r>
        <w:rPr>
          <w:rFonts w:ascii="Times New Roman" w:hAnsi="Times New Roman"/>
          <w:sz w:val="20"/>
        </w:rPr>
        <w:t>], is made by each of the undersigned (together, the “</w:t>
      </w:r>
      <w:r>
        <w:rPr>
          <w:rFonts w:ascii="Times New Roman" w:hAnsi="Times New Roman"/>
          <w:sz w:val="20"/>
          <w:u w:val="single"/>
        </w:rPr>
        <w:t>Subsidiary Guarantors</w:t>
      </w:r>
      <w:r>
        <w:rPr>
          <w:rFonts w:ascii="Times New Roman" w:hAnsi="Times New Roman"/>
          <w:sz w:val="20"/>
        </w:rPr>
        <w:t>”; each a “</w:t>
      </w:r>
      <w:r>
        <w:rPr>
          <w:rFonts w:ascii="Times New Roman" w:hAnsi="Times New Roman"/>
          <w:sz w:val="20"/>
          <w:u w:val="single"/>
        </w:rPr>
        <w:t>Subsidiary</w:t>
      </w:r>
      <w:r>
        <w:rPr>
          <w:rFonts w:ascii="Times New Roman" w:hAnsi="Times New Roman"/>
          <w:sz w:val="20"/>
        </w:rPr>
        <w:t xml:space="preserve"> </w:t>
      </w:r>
      <w:r>
        <w:rPr>
          <w:rFonts w:ascii="Times New Roman" w:hAnsi="Times New Roman"/>
          <w:sz w:val="20"/>
          <w:u w:val="single"/>
        </w:rPr>
        <w:t>Guarantor</w:t>
      </w:r>
      <w:r>
        <w:rPr>
          <w:rFonts w:ascii="Times New Roman" w:hAnsi="Times New Roman"/>
          <w:sz w:val="20"/>
        </w:rPr>
        <w:t>”), in favor of the Lenders from time to time party to the Credit Agreement referred to below and Bank of America, N.A., as Administrative Agent (the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Analog Devices, Inc., a Massachusetts corporation (the “</w:t>
      </w:r>
      <w:r>
        <w:rPr>
          <w:rFonts w:ascii="Times New Roman" w:hAnsi="Times New Roman"/>
          <w:sz w:val="20"/>
          <w:u w:val="single"/>
        </w:rPr>
        <w:t>Company</w:t>
      </w:r>
      <w:r>
        <w:rPr>
          <w:rFonts w:ascii="Times New Roman" w:hAnsi="Times New Roman"/>
          <w:sz w:val="20"/>
        </w:rPr>
        <w:t>”), the Designated Borrowers party thereto (collectively, together with the Company, the “</w:t>
      </w:r>
      <w:r>
        <w:rPr>
          <w:rFonts w:ascii="Times New Roman" w:hAnsi="Times New Roman"/>
          <w:sz w:val="20"/>
          <w:u w:val="single"/>
        </w:rPr>
        <w:t>Borrowers</w:t>
      </w:r>
      <w:r>
        <w:rPr>
          <w:rFonts w:ascii="Times New Roman" w:hAnsi="Times New Roman"/>
          <w:sz w:val="20"/>
        </w:rPr>
        <w:t>”), the Lenders from time to time party thereto (each a “</w:t>
      </w:r>
      <w:r>
        <w:rPr>
          <w:rFonts w:ascii="Times New Roman" w:hAnsi="Times New Roman"/>
          <w:sz w:val="20"/>
          <w:u w:val="single"/>
        </w:rPr>
        <w:t>Lender</w:t>
      </w:r>
      <w:r>
        <w:rPr>
          <w:rFonts w:ascii="Times New Roman" w:hAnsi="Times New Roman"/>
          <w:sz w:val="20"/>
        </w:rPr>
        <w:t>” and, collectively, the “</w:t>
      </w:r>
      <w:r>
        <w:rPr>
          <w:rFonts w:ascii="Times New Roman" w:hAnsi="Times New Roman"/>
          <w:sz w:val="20"/>
          <w:u w:val="single"/>
        </w:rPr>
        <w:t>Lenders</w:t>
      </w:r>
      <w:r>
        <w:rPr>
          <w:rFonts w:ascii="Times New Roman" w:hAnsi="Times New Roman"/>
          <w:sz w:val="20"/>
        </w:rPr>
        <w:t>”) and the Administrative Agent are parties to a Credit Agreement dated as of July 2, 2026 (as amended, restated, extended, supplemented or otherwise modified in writing from time to time, the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Subsidiary Guarantors are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Subsidiary Guarantors, as Subsidiaries or Affiliates of the Borrowers, will derive substantial direct and indirect benefits from the making of the Loans to the Borrowers pursuant to the Credit Agreement (which benefits are hereby acknowledged by the Subsidiary Guarantors). </w:t>
      </w:r>
    </w:p>
    <w:p>
      <w:pPr>
        <w:pStyle w:val="TextBody"/>
        <w:bidi w:val="0"/>
        <w:spacing w:before="240" w:after="0"/>
        <w:jc w:val="left"/>
        <w:rPr>
          <w:rFonts w:ascii="Times New Roman" w:hAnsi="Times New Roman"/>
          <w:sz w:val="20"/>
        </w:rPr>
      </w:pPr>
      <w:r>
        <w:rPr>
          <w:rFonts w:ascii="Times New Roman" w:hAnsi="Times New Roman"/>
          <w:sz w:val="20"/>
        </w:rPr>
        <w:t xml:space="preserve">Accordingly, to induce the Administrative Agent and the Lenders to continue to make Loans under the Credit Agreement, and in consideration thereof, the Subsidiary Guarantors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 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Terms Defined in Credit Agreement</w:t>
      </w:r>
      <w:r>
        <w:rPr>
          <w:rFonts w:ascii="Times New Roman" w:hAnsi="Times New Roman"/>
          <w:sz w:val="20"/>
        </w:rPr>
        <w:t xml:space="preserve">. All capitalized terms used in this Guaranty (including in the recitals hereof) and not otherwise defined herein shall have the meanings assigned to them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Defined Terms</w:t>
      </w:r>
      <w:r>
        <w:rPr>
          <w:rFonts w:ascii="Times New Roman" w:hAnsi="Times New Roman"/>
          <w:sz w:val="20"/>
        </w:rPr>
        <w:t xml:space="preserve">. As used in this Guaranty (including in the recitals hereof), the following terms shall have the following meanings: </w:t>
      </w:r>
    </w:p>
    <w:p>
      <w:pPr>
        <w:pStyle w:val="TextBody"/>
        <w:bidi w:val="0"/>
        <w:spacing w:before="120" w:after="0"/>
        <w:jc w:val="left"/>
        <w:rPr/>
      </w:pPr>
      <w:r>
        <w:rPr/>
        <w:t>“</w:t>
      </w:r>
      <w:r>
        <w:rPr>
          <w:rFonts w:ascii="Times New Roman" w:hAnsi="Times New Roman"/>
          <w:sz w:val="20"/>
          <w:u w:val="single"/>
        </w:rPr>
        <w:t>Agreement Currency</w:t>
      </w:r>
      <w:r>
        <w:rPr>
          <w:rFonts w:ascii="Times New Roman" w:hAnsi="Times New Roman"/>
          <w:sz w:val="20"/>
        </w:rPr>
        <w:t xml:space="preserve">” has the meaning set forth in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the Federal Bankruptcy Reform Act of 1978 (11 U.S.C. § 101, et seq.), as amended. </w:t>
      </w:r>
    </w:p>
    <w:p>
      <w:pPr>
        <w:pStyle w:val="TextBody"/>
        <w:bidi w:val="0"/>
        <w:spacing w:before="240" w:after="0"/>
        <w:jc w:val="left"/>
        <w:rPr/>
      </w:pPr>
      <w:r>
        <w:rPr/>
        <w:t>“</w:t>
      </w:r>
      <w:r>
        <w:rPr>
          <w:rFonts w:ascii="Times New Roman" w:hAnsi="Times New Roman"/>
          <w:sz w:val="20"/>
          <w:u w:val="single"/>
        </w:rPr>
        <w:t>Credit Agreement</w:t>
      </w:r>
      <w:r>
        <w:rPr>
          <w:rFonts w:ascii="Times New Roman" w:hAnsi="Times New Roman"/>
          <w:sz w:val="20"/>
        </w:rPr>
        <w:t xml:space="preserve">” has the meaning specified in the recitals to this Guaranty. </w:t>
      </w:r>
    </w:p>
    <w:p>
      <w:pPr>
        <w:pStyle w:val="TextBody"/>
        <w:bidi w:val="0"/>
        <w:spacing w:before="240" w:after="0"/>
        <w:jc w:val="left"/>
        <w:rPr/>
      </w:pPr>
      <w:r>
        <w:rPr/>
        <w:t>“</w:t>
      </w:r>
      <w:r>
        <w:rPr>
          <w:rFonts w:ascii="Times New Roman" w:hAnsi="Times New Roman"/>
          <w:sz w:val="20"/>
          <w:u w:val="single"/>
        </w:rPr>
        <w:t>Guaranteed Obligations</w:t>
      </w:r>
      <w:r>
        <w:rPr>
          <w:rFonts w:ascii="Times New Roman" w:hAnsi="Times New Roman"/>
          <w:sz w:val="20"/>
        </w:rPr>
        <w:t xml:space="preserve">” has the meaning set forth in </w:t>
      </w:r>
      <w:r>
        <w:rPr>
          <w:rFonts w:ascii="Times New Roman" w:hAnsi="Times New Roman"/>
          <w:sz w:val="20"/>
          <w:u w:val="single"/>
        </w:rPr>
        <w:t>Section 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Guaranteed Parties</w:t>
      </w:r>
      <w:r>
        <w:rPr>
          <w:rFonts w:ascii="Times New Roman" w:hAnsi="Times New Roman"/>
          <w:sz w:val="20"/>
        </w:rPr>
        <w:t xml:space="preserve">” means the Administrative Agent and each Lender. </w:t>
      </w:r>
    </w:p>
    <w:p>
      <w:pPr>
        <w:pStyle w:val="TextBody"/>
        <w:bidi w:val="0"/>
        <w:spacing w:before="240" w:after="0"/>
        <w:jc w:val="left"/>
        <w:rPr/>
      </w:pPr>
      <w:r>
        <w:rPr/>
        <w:t>“</w:t>
      </w:r>
      <w:r>
        <w:rPr>
          <w:rFonts w:ascii="Times New Roman" w:hAnsi="Times New Roman"/>
          <w:sz w:val="20"/>
          <w:u w:val="single"/>
        </w:rPr>
        <w:t>Guarantor Documents</w:t>
      </w:r>
      <w:r>
        <w:rPr>
          <w:rFonts w:ascii="Times New Roman" w:hAnsi="Times New Roman"/>
          <w:sz w:val="20"/>
        </w:rPr>
        <w:t xml:space="preserve">” means this Guaranty and all other certificates, documents, agreements and instruments delivered to any Guaranteed Party by a Subsidiary Guarantor in its capacity as such under or in connection with this Guaranty and the Loan Documents. </w:t>
      </w:r>
    </w:p>
    <w:p>
      <w:pPr>
        <w:pStyle w:val="TextBody"/>
        <w:bidi w:val="0"/>
        <w:spacing w:before="240" w:after="0"/>
        <w:jc w:val="left"/>
        <w:rPr/>
      </w:pPr>
      <w:r>
        <w:rPr/>
        <w:t>“</w:t>
      </w:r>
      <w:r>
        <w:rPr>
          <w:rFonts w:ascii="Times New Roman" w:hAnsi="Times New Roman"/>
          <w:sz w:val="20"/>
          <w:u w:val="single"/>
        </w:rPr>
        <w:t>Insolvency Proceeding</w:t>
      </w:r>
      <w:r>
        <w:rPr>
          <w:rFonts w:ascii="Times New Roman" w:hAnsi="Times New Roman"/>
          <w:sz w:val="20"/>
        </w:rPr>
        <w:t xml:space="preserve">” means, with respect to any Person, (i) any case, action or proceeding with respect to such Person before any court or other Governmental Authority relating to bankruptcy, reorganization, insolvency, liquidation, receivership, dissolution, winding-up or relief of debtors, or (ii) any general assignment for the benefit of creditors, composition, marshalling of assets for creditors, or other, similar arrangement in respect of its creditors generally or any substantial portion of its creditors; in either case undertaken under Debtor Relief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Judgment Currency</w:t>
      </w:r>
      <w:r>
        <w:rPr>
          <w:rFonts w:ascii="Times New Roman" w:hAnsi="Times New Roman"/>
          <w:sz w:val="20"/>
        </w:rPr>
        <w:t xml:space="preserve">” has the meaning set forth in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has the meaning specified in the recitals to this Guaranty. </w:t>
      </w:r>
    </w:p>
    <w:p>
      <w:pPr>
        <w:pStyle w:val="TextBody"/>
        <w:bidi w:val="0"/>
        <w:spacing w:before="240" w:after="0"/>
        <w:jc w:val="left"/>
        <w:rPr/>
      </w:pPr>
      <w:r>
        <w:rPr/>
        <w:t>“</w:t>
      </w:r>
      <w:r>
        <w:rPr>
          <w:rFonts w:ascii="Times New Roman" w:hAnsi="Times New Roman"/>
          <w:sz w:val="20"/>
          <w:u w:val="single"/>
        </w:rPr>
        <w:t>Organization Documents</w:t>
      </w:r>
      <w:r>
        <w:rPr>
          <w:rFonts w:ascii="Times New Roman" w:hAnsi="Times New Roman"/>
          <w:sz w:val="20"/>
        </w:rPr>
        <w:t xml:space="preserve">” means (i) with respect to any corporation, the certificate or articles of incorporation and the bylaws (or equivalent or comparable constitutive documents with respect to any non-U.S. jurisdiction); (ii) with respect to any limited liability company, the certificate or articles of formation or organization and operating agreement; and (iii)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has the meaning set forth in </w:t>
      </w:r>
      <w:r>
        <w:rPr>
          <w:rFonts w:ascii="Times New Roman" w:hAnsi="Times New Roman"/>
          <w:sz w:val="20"/>
          <w:u w:val="single"/>
        </w:rPr>
        <w:t>Section 8(c)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Interpretation</w:t>
      </w:r>
      <w:r>
        <w:rPr>
          <w:rFonts w:ascii="Times New Roman" w:hAnsi="Times New Roman"/>
          <w:sz w:val="20"/>
        </w:rPr>
        <w:t xml:space="preserve">. The rules of interpretation set forth in </w:t>
      </w:r>
      <w:r>
        <w:rPr>
          <w:rFonts w:ascii="Times New Roman" w:hAnsi="Times New Roman"/>
          <w:sz w:val="20"/>
          <w:u w:val="single"/>
        </w:rPr>
        <w:t>Sections 1.02</w:t>
      </w:r>
      <w:r>
        <w:rPr>
          <w:rFonts w:ascii="Times New Roman" w:hAnsi="Times New Roman"/>
          <w:sz w:val="20"/>
        </w:rPr>
        <w:t xml:space="preserve"> and </w:t>
      </w:r>
      <w:r>
        <w:rPr>
          <w:rFonts w:ascii="Times New Roman" w:hAnsi="Times New Roman"/>
          <w:sz w:val="20"/>
          <w:u w:val="single"/>
        </w:rPr>
        <w:t>1.03</w:t>
      </w:r>
      <w:r>
        <w:rPr>
          <w:rFonts w:ascii="Times New Roman" w:hAnsi="Times New Roman"/>
          <w:sz w:val="20"/>
        </w:rPr>
        <w:t xml:space="preserve"> of the Credit Agreement shall be applicable to this Guaranty and are incorporated herein by this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Guaranty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Subsidiary Guarantor hereby severally absolutely, unconditionally and irrevocably guarantees for the Guaranteed Parties, and their respective successors, endorsees, transferees and assigns, the full and prompt payment when due (whether at stated maturity, by required prepayment, declaration, acceleration, demand or otherwise) of (a) all (and not merely a lesser or proportional part of) the indebtedness, liabilities and other obligations of each Loan Party (now existing or hereafter arising pursuant to </w:t>
      </w:r>
      <w:r>
        <w:rPr>
          <w:rFonts w:ascii="Times New Roman" w:hAnsi="Times New Roman"/>
          <w:sz w:val="20"/>
          <w:u w:val="single"/>
        </w:rPr>
        <w:t>Section 2.18</w:t>
      </w:r>
      <w:r>
        <w:rPr>
          <w:rFonts w:ascii="Times New Roman" w:hAnsi="Times New Roman"/>
          <w:sz w:val="20"/>
        </w:rPr>
        <w:t xml:space="preserve"> of the Credit Agreement) to the Guaranteed Parties under or in connection with the Credit Agreement, the Notes and the other Loan Documents, including all unpaid principal of the Loans, all interest accrued thereon, all fees due under the Credit Agreement and all other amounts payable by each Borrower to the Guaranteed Parties thereunder, in connection therewith, and in connection with any other Loan Document and (b) all costs and expenses incurred in connection with enforcement and collection of the foregoing, including the fees, charges and disbursements of counsel, in each case whether direct or indirect (including those acquired by assumption). The terms “indebtedness,” “liabilities” and “obligations” are used herein in their most comprehensive sense and include without limitation any and all advances, debts, obligations and liabilities, whether now existing or hereafter arising, whether voluntary or involuntary and whether due or not due, absolute or contingent, liquidated or unliquidated, determined or undetermined, and whether recovery upon such indebtedness, liabilities and obligations may be or hereafter become unenforceable or shall be an allowed or disallowed claim under any Debtor Relief Law, and including interest, expenses and fees that accrue after the commencement by or against any Borrower or any Affiliate thereof of any proceeding under any Debtor Relief Laws naming such Person as the debtor in such proceeding. The foregoing indebtedness, liabilities and other obligations of each Borrower, and all other indebtedness, liabilities and obligations to be paid or performed by the Subsidiary Guarantors in connection with this Guaranty (including any and all amounts due under </w:t>
      </w:r>
      <w:r>
        <w:rPr>
          <w:rFonts w:ascii="Times New Roman" w:hAnsi="Times New Roman"/>
          <w:sz w:val="20"/>
          <w:u w:val="single"/>
        </w:rPr>
        <w:t>Section 14</w:t>
      </w:r>
      <w:r>
        <w:rPr>
          <w:rFonts w:ascii="Times New Roman" w:hAnsi="Times New Roman"/>
          <w:sz w:val="20"/>
        </w:rPr>
        <w:t>), shall hereinafter be collectively referred to as the “</w:t>
      </w:r>
      <w:r>
        <w:rPr>
          <w:rFonts w:ascii="Times New Roman" w:hAnsi="Times New Roman"/>
          <w:sz w:val="20"/>
          <w:u w:val="single"/>
        </w:rPr>
        <w:t>Guaranteed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that any court of competent jurisdiction shall impose by final judgment under applicable law (including if applicable, the New York Uniform Fraudulent Conveyance Act or other applicable state law and §§ 544 and 548 of the Bankruptcy Code) any limitations on the amount of any Subsidiary Guarantor’s liability with respect to the Guaranteed Obligations which any Guaranteed Party can enforce under this Guaranty, the Guaranteed Parties by their acceptance hereof accept such limitation on the amount of such Subsidiary Guarantor’s liability hereunder to the extent needed to make this Guaranty and the Subsidiary Guarantor Documents fully enforceable and nonavoidable.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Liability of Subsidiary Guarantors</w:t>
      </w:r>
      <w:r>
        <w:rPr>
          <w:rFonts w:ascii="Times New Roman" w:hAnsi="Times New Roman"/>
          <w:sz w:val="20"/>
        </w:rPr>
        <w:t xml:space="preserve">. The liability of each Subsidiary Guarantor under this Guaranty shall be irrevocable, absolute, independent and unconditional, and shall not be affected by any circumstance which might constitute a discharge of a surety or guarantor other than the indefeasible payment and performance in full of all Guaranteed Obligations. In furtherance of the foregoing and without limiting the generality thereof, each Subsidiary Guarantor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Such Subsidiary Guarantor’s liability hereunder shall be the immediate, direct, and primary obligation of such Subsidiary Guarantor and shall not be contingent upon any Guaranteed Party’s exercise or enforcement of any remedy it may have against any Borrower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(b) this Guaranty is a guarantee of payment when due and not merely of collectability; </w:t>
      </w:r>
    </w:p>
    <w:p>
      <w:pPr>
        <w:pStyle w:val="TextBody"/>
        <w:bidi w:val="0"/>
        <w:spacing w:before="24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such Subsidiary Guarantor’s payment of a portion, but not all, of the Guaranteed Obligations shall in no way limit, affect, modify or abridge such Subsidiary Guarantor’s liability for any portion of the Guaranteed Obligations remaining unsatisfied; and </w:t>
      </w:r>
    </w:p>
    <w:p>
      <w:pPr>
        <w:pStyle w:val="TextBody"/>
        <w:bidi w:val="0"/>
        <w:spacing w:before="240" w:after="0"/>
        <w:jc w:val="left"/>
        <w:rPr>
          <w:rFonts w:ascii="Times New Roman" w:hAnsi="Times New Roman"/>
          <w:sz w:val="20"/>
        </w:rPr>
      </w:pPr>
      <w:r>
        <w:rPr>
          <w:rFonts w:ascii="Times New Roman" w:hAnsi="Times New Roman"/>
          <w:sz w:val="20"/>
        </w:rPr>
        <w:t xml:space="preserve">(e) such Subsidiary Guarantor’s liability with respect to the Guaranteed Obligations shall remain in full force and effect without regard to, and shall not be impaired or affected by, nor shall such Subsidiary Guarantor be exonerated or discharged by, any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(i) any Insolvency Proceeding with respect to any Borrower, such Subsidiary Guarantor, any other Subsidiary Guarantor or other Loan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(ii) any limitation, discharge, or cessation of the liability of any Borrower, such Subsidiary Guarantor, any other Subsidiary Guarantor or other Loan Party or any other Person for any Guaranteed Obligations due to any statute, regulation or rule of law, or any invalidity or unenforceability in whole or in part of any of the Guaranteed Obligations or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(iii) any merger, acquisition, consolidation or change in structure of any Borrower, such Subsidiary Guarantor or any other Subsidiary Guarantor or other Loan Party or Person, or any sale, lease, transfer or other disposition of any or all of the assets or shares of any Borrower, such Subsidiary Guarantor, any other Subsidiary Guarantor or other Loan Party or other Person (in each case, except as otherwise provided in </w:t>
      </w:r>
      <w:r>
        <w:rPr>
          <w:rFonts w:ascii="Times New Roman" w:hAnsi="Times New Roman"/>
          <w:sz w:val="20"/>
          <w:u w:val="single"/>
        </w:rPr>
        <w:t>Section 26</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(iv) any assignment or other transfer, in whole or in part, of any Guaranteed Party’s interests in and rights under this Guaranty or the other Loan Documents, including any Guaranteed Party’s right to receive payment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(v) any claim, defense, counterclaim or setoff, other than that of prior performance, that any Borrower, such Subsidiary Guarantor, any other Subsidiary Guarantor or other Loan Party or other Person may have or assert, including any defense of incapacity or lack of corporate or other authority to execute any of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any Guaranteed Party’s amendment, modification, renewal, extension, cancellation or surrender of any Loan Document or any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(vii) any Guaranteed Party’s compromise, release, settlement or waiver with or of any Borrower, any other Subsidiary Guarantor or other Loan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(viii) any Guaranteed Party’s vote, claim, distribution, election, acceptance, action or inaction in any Insolvency Proceeding related to the Guaranteed Obligations; and </w:t>
      </w:r>
    </w:p>
    <w:p>
      <w:pPr>
        <w:pStyle w:val="TextBody"/>
        <w:bidi w:val="0"/>
        <w:spacing w:before="240" w:after="0"/>
        <w:jc w:val="left"/>
        <w:rPr>
          <w:rFonts w:ascii="Times New Roman" w:hAnsi="Times New Roman"/>
          <w:sz w:val="20"/>
        </w:rPr>
      </w:pPr>
      <w:r>
        <w:rPr>
          <w:rFonts w:ascii="Times New Roman" w:hAnsi="Times New Roman"/>
          <w:sz w:val="20"/>
        </w:rPr>
        <w:t xml:space="preserve">(ix) any other guaranty, whether by such Subsidiary Guarantor or any other Subsidiary Guarantor or other Person, of all or any part of the Guaranteed Obligations or any other indebtedness, obligations or liabilities of any Borrower to any Guaranteed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Consents of Subsidiary Guarantors</w:t>
      </w:r>
      <w:r>
        <w:rPr>
          <w:rFonts w:ascii="Times New Roman" w:hAnsi="Times New Roman"/>
          <w:sz w:val="20"/>
        </w:rPr>
        <w:t xml:space="preserve">. Each Subsidiary Guarantor hereby unconditionally consents and agrees that, without notice to or further assent from the Subsidiary Guarantor: </w:t>
      </w:r>
    </w:p>
    <w:p>
      <w:pPr>
        <w:pStyle w:val="TextBody"/>
        <w:bidi w:val="0"/>
        <w:spacing w:before="120" w:after="0"/>
        <w:jc w:val="left"/>
        <w:rPr>
          <w:rFonts w:ascii="Times New Roman" w:hAnsi="Times New Roman"/>
          <w:sz w:val="20"/>
        </w:rPr>
      </w:pPr>
      <w:r>
        <w:rPr>
          <w:rFonts w:ascii="Times New Roman" w:hAnsi="Times New Roman"/>
          <w:sz w:val="20"/>
        </w:rPr>
        <w:t xml:space="preserve">(a) the principal amount of the Guaranteed Obligations may be increased or decreased and additional Obligations of the Loan Parties under the Loan Documents may be incurred, by one or more amendments, modifications, renewals or extensions of any Loan Document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the time, manner, place or terms of any payment under any Loan Document may be extended or changed, including by an increase or decrease in the interest rate on any Guaranteed Obligation or any fee or other amount payable under such Loan Document, by an amendment, modification or renewal of any Loan Document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the time for any Borrower’s (or any other Person’s) performance of or compliance with any term, covenant or agreement on its part to be performed or observed under any Loan Document may be extended, or such performance or compliance waived, or failure in or departure from such performance or compliance consented to, all in such manner and upon such terms as the Guaranteed Parties may deem proper; </w:t>
      </w:r>
    </w:p>
    <w:p>
      <w:pPr>
        <w:pStyle w:val="TextBody"/>
        <w:bidi w:val="0"/>
        <w:spacing w:before="240" w:after="0"/>
        <w:jc w:val="left"/>
        <w:rPr>
          <w:rFonts w:ascii="Times New Roman" w:hAnsi="Times New Roman"/>
          <w:sz w:val="20"/>
        </w:rPr>
      </w:pPr>
      <w:r>
        <w:rPr>
          <w:rFonts w:ascii="Times New Roman" w:hAnsi="Times New Roman"/>
          <w:sz w:val="20"/>
        </w:rPr>
        <w:t xml:space="preserve">(d) any Guaranteed Party may discharge or release, in whole or in part, any other Subsidiary Guarantor or other Loan Party or any other Person liable for the payment and performance of all or any part of the Guaranteed Obligations, and may permit or consent to any such action or any result of such action, nor shall any Guaranteed Party be liable to such Subsidiary Guarantor for any failure to collect or enforce payment or performance of the Guaranteed Obligations from any Person; </w:t>
      </w:r>
    </w:p>
    <w:p>
      <w:pPr>
        <w:pStyle w:val="TextBody"/>
        <w:bidi w:val="0"/>
        <w:spacing w:before="240" w:after="0"/>
        <w:jc w:val="left"/>
        <w:rPr>
          <w:rFonts w:ascii="Times New Roman" w:hAnsi="Times New Roman"/>
          <w:sz w:val="20"/>
        </w:rPr>
      </w:pPr>
      <w:r>
        <w:rPr>
          <w:rFonts w:ascii="Times New Roman" w:hAnsi="Times New Roman"/>
          <w:sz w:val="20"/>
        </w:rPr>
        <w:t xml:space="preserve">(e) the Guaranteed Parties may request and accept other guaranties of the Guaranteed Obligations and any other indebtedness, obligations or liabilities of any Borrower to any Guaranteed Party and may, from time to time, in whole or in part, surrender, release, subordinate, modify, waive, rescind, compromise or extend any such guaranty and may permit or consent to any such action or the result of any such action; and </w:t>
      </w:r>
    </w:p>
    <w:p>
      <w:pPr>
        <w:pStyle w:val="TextBody"/>
        <w:bidi w:val="0"/>
        <w:spacing w:before="240" w:after="0"/>
        <w:jc w:val="left"/>
        <w:rPr>
          <w:rFonts w:ascii="Times New Roman" w:hAnsi="Times New Roman"/>
          <w:sz w:val="20"/>
        </w:rPr>
      </w:pPr>
      <w:r>
        <w:rPr>
          <w:rFonts w:ascii="Times New Roman" w:hAnsi="Times New Roman"/>
          <w:sz w:val="20"/>
        </w:rPr>
        <w:t xml:space="preserve">(f) the Guaranteed Parties may exercise, or waive or otherwise refrain from exercising, any other right, remedy, power or privilege (including the right to accelerate the maturity of any Loan and any power of sale) granted by any Loan Document or other security document or agreement, or otherwise available to any Guaranteed Party, with respect to the Guaranteed Obligations, even if the exercise of such right, remedy, power or privilege affects or eliminates any right of subrogation or any other right of such Subsidiary Guarantor against the Borrowers;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as the Guaranteed Parties may deem advisable, and all without impairing, abridging, releasing or affecting this Guaranty.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Subsidiary Guarantor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Waivers</w:t>
      </w:r>
      <w:r>
        <w:rPr>
          <w:rFonts w:ascii="Times New Roman" w:hAnsi="Times New Roman"/>
          <w:sz w:val="20"/>
        </w:rPr>
        <w:t xml:space="preserve">. Each Subsidiary Guarantor waives and agrees not to assert: </w:t>
      </w:r>
    </w:p>
    <w:p>
      <w:pPr>
        <w:pStyle w:val="TextBody"/>
        <w:bidi w:val="0"/>
        <w:spacing w:before="120" w:after="0"/>
        <w:jc w:val="left"/>
        <w:rPr>
          <w:rFonts w:ascii="Times New Roman" w:hAnsi="Times New Roman"/>
          <w:sz w:val="20"/>
        </w:rPr>
      </w:pPr>
      <w:r>
        <w:rPr>
          <w:rFonts w:ascii="Times New Roman" w:hAnsi="Times New Roman"/>
          <w:sz w:val="20"/>
        </w:rPr>
        <w:t xml:space="preserve">(i) any right to require any Guaranteed Party to marshal assets in favor of any Borrower, such Subsidiary Guarantor, any other Loan Party or any other Person, or comply with any other provisions of § 9-611 of the New York Uniform Commercial Code (or any equivalent provision of any other applicable law) or to pursue any other right, remedy, power or privilege of any Guaranteed Party whatsoever; </w:t>
      </w:r>
    </w:p>
    <w:p>
      <w:pPr>
        <w:pStyle w:val="TextBody"/>
        <w:bidi w:val="0"/>
        <w:spacing w:before="240" w:after="0"/>
        <w:jc w:val="left"/>
        <w:rPr>
          <w:rFonts w:ascii="Times New Roman" w:hAnsi="Times New Roman"/>
          <w:sz w:val="20"/>
        </w:rPr>
      </w:pPr>
      <w:r>
        <w:rPr>
          <w:rFonts w:ascii="Times New Roman" w:hAnsi="Times New Roman"/>
          <w:sz w:val="20"/>
        </w:rPr>
        <w:t xml:space="preserve">(ii) the defense of the statute of limitations in any action hereunder or for the collection or performance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(iii) any defense arising by reason of any lack of corporate or other authority or any other defense of the Borrowers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(iv) any defense based upon any Guaranteed Party’s errors or omissions in the administration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(v) any rights to set-offs and counterclaims; </w:t>
      </w:r>
    </w:p>
    <w:p>
      <w:pPr>
        <w:pStyle w:val="TextBody"/>
        <w:bidi w:val="0"/>
        <w:spacing w:before="240" w:after="0"/>
        <w:jc w:val="left"/>
        <w:rPr>
          <w:rFonts w:ascii="Times New Roman" w:hAnsi="Times New Roman"/>
          <w:sz w:val="20"/>
        </w:rPr>
      </w:pPr>
      <w:r>
        <w:rPr>
          <w:rFonts w:ascii="Times New Roman" w:hAnsi="Times New Roman"/>
          <w:sz w:val="20"/>
        </w:rPr>
        <w:t xml:space="preserve">(vi) any defense based upon an election of remedies (including, if available, an election to proceed by nonjudicial foreclosure) which destroys or impairs the subrogation rights of such Subsidiary Guarantor or the right of such Subsidiary Guarantor to proceed against any Borrower or any other obligor of the Guaranteed Obligations for reimbursement; and </w:t>
      </w:r>
    </w:p>
    <w:p>
      <w:pPr>
        <w:pStyle w:val="TextBody"/>
        <w:bidi w:val="0"/>
        <w:spacing w:before="240" w:after="0"/>
        <w:jc w:val="left"/>
        <w:rPr>
          <w:rFonts w:ascii="Times New Roman" w:hAnsi="Times New Roman"/>
          <w:sz w:val="20"/>
        </w:rPr>
      </w:pPr>
      <w:r>
        <w:rPr>
          <w:rFonts w:ascii="Times New Roman" w:hAnsi="Times New Roman"/>
          <w:sz w:val="20"/>
        </w:rPr>
        <w:t xml:space="preserve">(vii) without limiting the generality of the foregoing, to the fullest extent permitted by law, any defenses or benefits that may be derived from or afforded by applicable law limiting the liability of or exonerating guarantors or sureties, or which may conflict with the terms of this Guaranty, other than the defense of payment and performance in full.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Additional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Subsidiary Guarantor waives any and all notice of the acceptance of this Guaranty, and any and all notice of the creation, renewal, modification, extension or accrual of the Guaranteed Obligations, or the reliance by the Guaranteed Parties upon this Guaranty, or the exercise of any right, power or privilege hereunder. The Guaranteed Obligations shall conclusively be deemed to have been created, contracted, incurred and permitted to exist in reliance upon this Guaranty. Each Subsidiary Guarantor waives promptness, diligence, presentment, protest, demand for payment, notice of default, dishonor or nonpayment and all other notices to or upon the Borrowers, such Subsidiary Guarantor or any other Subsidiary Guarantor or other Person with respect to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(ii) Until the Guaranteed Obligations have been paid in full in cash, each Subsidiary Guarantor waives (A) any defenses such Subsidiary Guarantor may have to the Guaranty by reason of an election of remedies by the Guaranteed Parties, (B) any rights or defenses such Subsidiary Guarantor may have by reason of protection afforded to any Borrower or any other Loan Party pursuant to the anti-deficiency or other laws of the State of New York or other applicable law (to the extent waivable under such applicable law) limiting or discharging the Borrowers’ or such other Loan Party’s indebtedness, (C) any defenses arising by reason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any disability or other defense of the Borrowers or any other guarantor, or the cessation from any cause whatsoever (including any act or omission of any Guaranteed Party) of the liability of any Borrower, (D) any defenses based on any claim that such Subsidiary Guarantor’s obligations exceed or are more burdensome than those of the Borrowers, (E) any right to compel any Guaranteed Party to proceed against or exhaust any security for the Guaranteed Obligations (or to proceed against such security in a particular order) or to pursue any other remedy in such Guaranteed Party’s power whatsoever, and (F) any benefit of and any right to participate in any security now or hereafter held by the Guaranteed Parties. </w:t>
      </w:r>
    </w:p>
    <w:p>
      <w:pPr>
        <w:pStyle w:val="TextBody"/>
        <w:bidi w:val="0"/>
        <w:spacing w:before="240" w:after="0"/>
        <w:jc w:val="left"/>
        <w:rPr>
          <w:rFonts w:ascii="Times New Roman" w:hAnsi="Times New Roman"/>
          <w:sz w:val="20"/>
        </w:rPr>
      </w:pPr>
      <w:r>
        <w:rPr>
          <w:rFonts w:ascii="Times New Roman" w:hAnsi="Times New Roman"/>
          <w:sz w:val="20"/>
        </w:rPr>
        <w:t xml:space="preserve">(iii) Each Subsidiary Guarantor warrants and agrees that each of the waivers set forth herein is made with full knowledge of its significance and consequences and that if any such waivers are determined to be contrary to any applicable law or public policy, such waivers shall be effective only to the maximum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Independent Obligations</w:t>
      </w:r>
      <w:r>
        <w:rPr>
          <w:rFonts w:ascii="Times New Roman" w:hAnsi="Times New Roman"/>
          <w:sz w:val="20"/>
        </w:rPr>
        <w:t xml:space="preserve">. The obligations of each Subsidiary Guarantor hereunder are those of primary obligor, and not merely as surety, and are independent of and separate from the obligations of any other Subsidiary Guarantor or other Subsidiary Guarantor of the Guaranteed Obligations, the Borrowers and any other Loan Party and upon the occurrence and during the continuance of any Event of Default, a separate action or actions may be brought against each Subsidiary Guarantor, whether or not the Borrowers or any such other Subsidiary Guarantor or other Loan Party is joined therein or a separate action or actions are brought against any Borrower or any such other Subsidiary Guarantor or other Loan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Financial Condition of Borrowers</w:t>
      </w:r>
      <w:r>
        <w:rPr>
          <w:rFonts w:ascii="Times New Roman" w:hAnsi="Times New Roman"/>
          <w:sz w:val="20"/>
        </w:rPr>
        <w:t xml:space="preserve">. No Subsidiary Guarantor shall have any right to require any Guaranteed Party to obtain or disclose any information with respect to: (i) the financial condition or character of the Borrowers or the ability of the Borrowers to pay and perform the Obligations; (ii) the Guaranteed Obligations; (iii) the existence or nonexistence of any other guarantees of all or any part of the Guaranteed Obligations; (iv) any action or inaction on the part of any Guaranteed Party or any other Person; or (v) any other matter, fact or occurrence whatsoever.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Subrogation</w:t>
      </w:r>
      <w:r>
        <w:rPr>
          <w:rFonts w:ascii="Times New Roman" w:hAnsi="Times New Roman"/>
          <w:sz w:val="20"/>
        </w:rPr>
        <w:t xml:space="preserve">. Until the Guaranteed Obligations (other than contingent indemnification, tax gross up or expense reimbursement obligations) shall be satisfied in full and the Commitments shall be terminated, no Subsidiary Guarantor shall have, and no Subsidiary Guarantor shall directly or indirectly exercise, (a) any rights that it may acquire by way of subrogation under this Guaranty, by any payment hereunder or otherwise, (b) any rights of contribution, indemnification, reimbursement or similar suretyship claims arising out of this Guaranty, or (c) any other right which it might otherwise have or acquire (in any way whatsoever) which could entitle it at any time to share or participate in any right, remedy or security of any Guaranteed Party as against the Borrowers or any other Subsidiary Guarantor or other Loan Party, whether in connection with this Guaranty, any of the other Loan Documents or otherwise. If any amount shall be paid to any Subsidiary Guarantor on account of the foregoing rights at any time when all the Guaranteed Obligations (other than contingent indemnification, tax gross up or expense reimbursement obligations) shall not have been paid in full, such amount shall be held in trust for the benefit of the Guaranteed Parties and shall forthwith be paid to the Administrative Agent to be credited and applied to the Guaranteed Obligations, whether matured or unmatured, in accordance with the terms of the Loan Documents. Upon the indefeasible payment in full of the Guaranteed Obligations and the termination of all Commitments, each Subsidiary Guarantor shall be subrogated to the rights of the Guaranteed Parties against the Borrowers to the extent otherwise permitted by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such subrogation shall not (i) constitute a representation or warranty, express or implied, by any Guaranteed Party as to the enforceability or collectibility of any obligations of the Borrowers under the Loan Documents or as to the perfection, priority or enforceability of any lien or security interest contained in or relating to any Loan Document; (ii) grant to such Subsidiary Guarantor any right of recourse against any Guaranteed Party in respect thereof; (iii) give rise to any duty on the part of any Guaranteed Party to cooperate with such Subsidiary Guarantor in the protection, preservation or enforcement of any rights such Subsidiary Guarantor may have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Borrower or any other Loan Party; (iv) impair any Guaranteed Party’s unfettered discretion to settle or otherwise compromise any claims such Guaranteed Party may have against any Borrower or otherwise impair or affect any of the waivers or consents contained herein; or (v) restrict any Guaranteed Party from enforcing or forbearing from enforcing any of its rights or remedies against any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each Subsidiary Guarantor shall, upon demand, indemnify each Guaranteed Party against any and all costs and expenses arising directly or indirectly in connection with such right of subrogation.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Continuing Guaranty; Reinstatement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This Guaranty is a continuing guarantee relating to any Guaranteed Obligations, including Guaranteed Obligations which may exist continuously or which may arise from time to time in connection with successive transactions consummated under the Credit Agreement and the other Loan Documents, and each Subsidiary Guarantor expressly acknowledges that this Guaranty shall remain in full force and effect notwithstanding that there may be periods in which no Guaranteed Obligations exist. This Guaranty shall, subject to</w:t>
      </w:r>
      <w:r>
        <w:rPr>
          <w:rFonts w:ascii="Times New Roman" w:hAnsi="Times New Roman"/>
          <w:sz w:val="20"/>
          <w:u w:val="single"/>
        </w:rPr>
        <w:t xml:space="preserve"> Section 26</w:t>
      </w:r>
      <w:r>
        <w:rPr>
          <w:rFonts w:ascii="Times New Roman" w:hAnsi="Times New Roman"/>
          <w:sz w:val="20"/>
        </w:rPr>
        <w:t xml:space="preserve"> hereof, continue in effect and be binding upon each Subsidiary Guarantor until termination of the Commitments and payment and performance in full of the Guaranteed Obligations, except as to any Subsidiary Guarantor that has been released from its Guaranty pursuant to Section 10.22(b)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(b) This Guaranty shall continue to be effective or shall be reinstated and revived, as the case may be, if, for any reason, any payment of the Guaranteed Obligations by or on behalf of any of the Borrowers shall be rescinded, invalidated, declared to be fraudulent or preferential, set aside, voided or otherwise required to be repaid to such Borrower, its estate, trustee, receiver or any other Person (including under the Bankruptcy Code or other state or federal law), or must otherwise be restored by the Administrative Agent or any Lender, whether as a result of Insolvency Proceedings or otherwise. To the extent any payment is so rescinded, set aside, voided or otherwise repaid or restored, the Guaranteed Obligations shall be revived in full force and effect without reduction or discharge for such payment, except as to any Subsidiary Guarantor that has been released from its Guaranty pursuant to </w:t>
      </w:r>
      <w:r>
        <w:rPr>
          <w:rFonts w:ascii="Times New Roman" w:hAnsi="Times New Roman"/>
          <w:sz w:val="20"/>
          <w:u w:val="single"/>
        </w:rPr>
        <w:t>Section 10.22(b)</w:t>
      </w:r>
      <w:r>
        <w:rPr>
          <w:rFonts w:ascii="Times New Roman" w:hAnsi="Times New Roman"/>
          <w:sz w:val="20"/>
        </w:rPr>
        <w:t xml:space="preserve">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Subsidiary Guarantor hereby agrees, in furtherance of the foregoing provisions of this Guaranty and not in limitation of any other right which any Guaranteed Party or any other Person may have against such Subsidiary Guarantor by virtue hereof, upon the failure of any Borrower to pay any of the Guaranteed Obligations when and as the same shall become due, whether at stated maturity, by required prepayment, declaration, acceleration, demand or otherwise (including amounts that would become due but for the operation of the automatic stay under § 362(a) of the Bankruptcy Code or comparable provision of other applicable Debtor Relief Law), such Subsidiary Guarantor shall forthwith pay, or cause to be paid, in cash, to the Administrative Agent an amount equal to the amount of the Guaranteed Obligations then due as aforesaid (including interest which, but for the filing of a petition in any Insolvency Proceeding with respect to any Borrower, would have accrued on such Guaranteed Obligations, whether or not a claim is allowed against the Borrower for such interest in any such Insolvency Proceeding). Each Subsidiary Guarantor shall make each payment hereunder, unconditionally in full without set-off, counterclaim or other defense, on the day when due in the currency in which such Guaranteed Obligations are denominated in Same Day Funds, to the Administrative Agent at such office of the Administrative Agent and to such account as is specified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(b) Any and all payments by or on account of any obligation of any Subsidiary Guarantor hereunder shall be made without deduction or withholding for any Taxes, except as required by applicable law. If any applicable law requires the deduction or withholding of any Tax from any such payment, then the applicable Subsidiary Guarantor and, if applicable, the Administrative Agent shall be entitled to make such deduction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withholding and shall timely pay the full amount deducted or withheld to the relevant Governmental Authority in accordance with applicable law and, if such Tax is an Indemnified Tax, then the sum payable by the applicable Subsidiary Guarantor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Upon request by the Administrative Agent, after any payment of Taxes by any Subsidiary Guarantor to a Governmental Authority pursuant to this </w:t>
      </w:r>
      <w:r>
        <w:rPr>
          <w:rFonts w:ascii="Times New Roman" w:hAnsi="Times New Roman"/>
          <w:sz w:val="20"/>
          <w:u w:val="single"/>
        </w:rPr>
        <w:t>Section 8</w:t>
      </w:r>
      <w:r>
        <w:rPr>
          <w:rFonts w:ascii="Times New Roman" w:hAnsi="Times New Roman"/>
          <w:sz w:val="20"/>
        </w:rPr>
        <w:t xml:space="preserve">, such Subsidiary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(c) In addition, each Subsidiary Guarantor agrees to pay any and all present or future stamp, court or documentary taxes and any other excise or property taxes or charges or similar levies which arise from any payment made by such Subsidiary Guarantor in its capacity as such under the Guarantor Documents or from the execution, delivery, performance, enforcement or registration of, or otherwise with respect to, the Guarantor Documents (hereinafter referred to as “</w:t>
      </w:r>
      <w:r>
        <w:rPr>
          <w:rFonts w:ascii="Times New Roman" w:hAnsi="Times New Roman"/>
          <w:sz w:val="20"/>
          <w:u w:val="single"/>
        </w:rPr>
        <w:t>Other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the provisions of </w:t>
      </w:r>
      <w:r>
        <w:rPr>
          <w:rFonts w:ascii="Times New Roman" w:hAnsi="Times New Roman"/>
          <w:sz w:val="20"/>
          <w:u w:val="single"/>
        </w:rPr>
        <w:t>subsection (c)</w:t>
      </w:r>
      <w:r>
        <w:rPr>
          <w:rFonts w:ascii="Times New Roman" w:hAnsi="Times New Roman"/>
          <w:sz w:val="20"/>
        </w:rPr>
        <w:t xml:space="preserve"> above, each Subsidiary Guarantor shall timely pay any Other Taxes to the relevant Governmental Authority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The Subsidiary Guarantors shall indemnify each Recipient, within 10 days after demand therefor, for the full amount of any Indemnified Taxes and Other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(f) Any payment by any Subsidiary Guarantor hereunder the application of which is not otherwise provided for herein, shall be applied in the order specified in </w:t>
      </w:r>
      <w:r>
        <w:rPr>
          <w:rFonts w:ascii="Times New Roman" w:hAnsi="Times New Roman"/>
          <w:sz w:val="20"/>
          <w:u w:val="single"/>
        </w:rPr>
        <w:t>Section 8.03</w:t>
      </w:r>
      <w:r>
        <w:rPr>
          <w:rFonts w:ascii="Times New Roman" w:hAnsi="Times New Roman"/>
          <w:sz w:val="20"/>
        </w:rPr>
        <w:t xml:space="preserve">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(g) If any Recipient determines, in its sole discretion exercised in good faith, that it has received a refund of any Taxes as to which it has been indemnified by any Subsidiary Guarantor or with respect to which any Subsidiary Guarantor has paid additional amounts pursuant to this </w:t>
      </w:r>
      <w:r>
        <w:rPr>
          <w:rFonts w:ascii="Times New Roman" w:hAnsi="Times New Roman"/>
          <w:sz w:val="20"/>
          <w:u w:val="single"/>
        </w:rPr>
        <w:t>Section 8</w:t>
      </w:r>
      <w:r>
        <w:rPr>
          <w:rFonts w:ascii="Times New Roman" w:hAnsi="Times New Roman"/>
          <w:sz w:val="20"/>
        </w:rPr>
        <w:t xml:space="preserve">, it shall pay to such Subsidiary Guarantor an amount equal to such refund (but only to the extent of indemnity payments made, or additional amounts paid, by such Subsidiary Guarantor under this </w:t>
      </w:r>
      <w:r>
        <w:rPr>
          <w:rFonts w:ascii="Times New Roman" w:hAnsi="Times New Roman"/>
          <w:sz w:val="20"/>
          <w:u w:val="single"/>
        </w:rPr>
        <w:t>Section 8</w:t>
      </w:r>
      <w:r>
        <w:rPr>
          <w:rFonts w:ascii="Times New Roman" w:hAnsi="Times New Roman"/>
          <w:sz w:val="20"/>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such Subsidiary Guarantor, upon the request of the Recipient, agrees to repay the amount paid over to such Subsidiary Guarantor (plus any penalties, interest or other charges imposed by the relevant Governmental Authority, other than any penalties, interest, or other charges attributable to the gross negligence or willful misconduct on the part of the Recipient as determined by a court of competent jurisdiction by final and nonappealable judgment) to the Recipient in the event the Recipient is required to repay such refund to such Governmental Authority. Notwithstanding anything to the contrary in this subsection, in no event will the applicable Recipient be required to pay any amount to a Subsidiary Guarantor pursuant to this subsection the payment of which would place the Recipient in a less favorable net after- 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Subsidiary Guarantor 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agreements in this </w:t>
      </w:r>
      <w:r>
        <w:rPr>
          <w:rFonts w:ascii="Times New Roman" w:hAnsi="Times New Roman"/>
          <w:sz w:val="20"/>
          <w:u w:val="single"/>
        </w:rPr>
        <w:t>Section 8</w:t>
      </w:r>
      <w:r>
        <w:rPr>
          <w:rFonts w:ascii="Times New Roman" w:hAnsi="Times New Roman"/>
          <w:sz w:val="20"/>
        </w:rPr>
        <w:t xml:space="preserve"> shall survive the payment of all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Right of Contribution</w:t>
      </w:r>
      <w:r>
        <w:rPr>
          <w:rFonts w:ascii="Times New Roman" w:hAnsi="Times New Roman"/>
          <w:sz w:val="20"/>
        </w:rPr>
        <w:t xml:space="preserve">. The Subsidiary Guarantors agree among themselves that, in connection with payments made hereunder, each Subsidiary Guarantor shall have contribution rights against any other Subsidiary Guarantors party hereto as permitted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Representations and Warranties</w:t>
      </w:r>
      <w:r>
        <w:rPr>
          <w:rFonts w:ascii="Times New Roman" w:hAnsi="Times New Roman"/>
          <w:sz w:val="20"/>
        </w:rPr>
        <w:t xml:space="preserve">. In order to induce the Lenders to continue to make Loans to the Borrowers pursuant to the Credit Agreement, each Subsidiary Guarantor represents and warrants to each Guaranteed Party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Consideration</w:t>
      </w:r>
      <w:r>
        <w:rPr>
          <w:rFonts w:ascii="Times New Roman" w:hAnsi="Times New Roman"/>
          <w:sz w:val="20"/>
        </w:rPr>
        <w:t xml:space="preserve">. Such Subsidiary Guarantor has received at least “reasonably equivalent value” (as such phrase is used in § 548 of the Bankruptcy Code), and at least “fair consideration” (as such term is used in § 272 of the New York Uniform Fraudulent Conveyance Act) and more than sufficient consideration to support its obligations hereunder in respect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Credit Agreement Representations</w:t>
      </w:r>
      <w:r>
        <w:rPr>
          <w:rFonts w:ascii="Times New Roman" w:hAnsi="Times New Roman"/>
          <w:sz w:val="20"/>
        </w:rPr>
        <w:t xml:space="preserve">. Each representation and warranty made by the Borrowers in the Credit Agreement in reference to any Subsidiary Guarantor or “Loan Party” is true and correct as to such Subsidiary Guarantor.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Credit Agreement Covenants</w:t>
      </w:r>
      <w:r>
        <w:rPr>
          <w:rFonts w:ascii="Times New Roman" w:hAnsi="Times New Roman"/>
          <w:sz w:val="20"/>
        </w:rPr>
        <w:t xml:space="preserve">. Each Subsidiary Guarantor shall observe, perform and comply with all covenants applicable to such Subsidiary Guarantor or “Loan Party” set forth in </w:t>
      </w:r>
      <w:r>
        <w:rPr>
          <w:rFonts w:ascii="Times New Roman" w:hAnsi="Times New Roman"/>
          <w:sz w:val="20"/>
          <w:u w:val="single"/>
        </w:rPr>
        <w:t>Articles VI</w:t>
      </w:r>
      <w:r>
        <w:rPr>
          <w:rFonts w:ascii="Times New Roman" w:hAnsi="Times New Roman"/>
          <w:sz w:val="20"/>
        </w:rPr>
        <w:t xml:space="preserve"> and VII of the Credit Agreement, which by their terms any Borrower is required to cause such Subsidiary Guarantor to observe, perform and comply with (or which by the terms of such Articles are to be complied with by such Subsidiary Guarantor), as if such covenants were set forth in full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Notices</w:t>
      </w:r>
      <w:r>
        <w:rPr>
          <w:rFonts w:ascii="Times New Roman" w:hAnsi="Times New Roman"/>
          <w:sz w:val="20"/>
        </w:rPr>
        <w:t xml:space="preserve">. Unless otherwise expressly provided herein, all notices and other communications with a Subsidiary Guarantor provided for hereunder shall be delivered to such Subsidiary Guarantor’s attention at the address of the Company as set forth in </w:t>
      </w:r>
      <w:r>
        <w:rPr>
          <w:rFonts w:ascii="Times New Roman" w:hAnsi="Times New Roman"/>
          <w:sz w:val="20"/>
          <w:u w:val="single"/>
        </w:rPr>
        <w:t>Section 10.02</w:t>
      </w:r>
      <w:r>
        <w:rPr>
          <w:rFonts w:ascii="Times New Roman" w:hAnsi="Times New Roman"/>
          <w:sz w:val="20"/>
        </w:rPr>
        <w:t xml:space="preserve"> of the Credit Agreement and the terms of </w:t>
      </w:r>
      <w:r>
        <w:rPr>
          <w:rFonts w:ascii="Times New Roman" w:hAnsi="Times New Roman"/>
          <w:sz w:val="20"/>
          <w:u w:val="single"/>
        </w:rPr>
        <w:t>Section 10.02</w:t>
      </w:r>
      <w:r>
        <w:rPr>
          <w:rFonts w:ascii="Times New Roman" w:hAnsi="Times New Roman"/>
          <w:sz w:val="20"/>
        </w:rPr>
        <w:t xml:space="preserve"> of the Credit Agreement with respect to notices are incorporated herein by reference, </w:t>
      </w:r>
      <w:r>
        <w:rPr>
          <w:rFonts w:ascii="Times New Roman" w:hAnsi="Times New Roman"/>
          <w:i/>
          <w:sz w:val="20"/>
        </w:rPr>
        <w:t>mutatis mutandis</w:t>
      </w:r>
      <w:r>
        <w:rPr>
          <w:rFonts w:ascii="Times New Roman" w:hAnsi="Times New Roman"/>
          <w:sz w:val="20"/>
        </w:rPr>
        <w:t xml:space="preserve">, with each reference to the “Company,” “Borrower” or the “Borrowers” therein (whether express or by reference to the Company or Borrower or the Company or Borrowers as a “party” thereto) being a reference to each Subsidiary Guarantor and each reference to any “Loan Document” or the “Loan Documents” therein being a reference to the “Guarantor Documents”, and the parties hereto agree to such terms.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 Waiver; Cumulative Remedies</w:t>
      </w:r>
      <w:r>
        <w:rPr>
          <w:rFonts w:ascii="Times New Roman" w:hAnsi="Times New Roman"/>
          <w:sz w:val="20"/>
        </w:rPr>
        <w:t xml:space="preserve">. No failure by any Guaranteed Party to exercise, and no delay by any such Person in exercising, any right, remedy, power or privilege hereunder or under any other Guarantor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Guarantor Document, are cumulative and not exclusive of any rights, remedies, powers and privileges provided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Costs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Costs and Expenses</w:t>
      </w:r>
      <w:r>
        <w:rPr>
          <w:rFonts w:ascii="Times New Roman" w:hAnsi="Times New Roman"/>
          <w:sz w:val="20"/>
        </w:rPr>
        <w:t xml:space="preserve">. Each Subsidiary Guarantor, severally, shall: (i) pay or reimburse the Administrative Agent and its Affiliates for all reasonable out-of-pocket costs and expenses incurred in connection with the development, preparation, negotiation and execution of this Guaranty and the other Guarantor Documents and any amendment, waiver, consent or other modification of the provisions hereof or thereof (whether or not the transactions contemplated hereby or thereby are consummated), and the consummation and administration of the transactions contemplated hereby and thereby, including all reasonable costs and expenses of counsel for the Administrative Agent; and (ii) pay or reimburse the Administrative Agent and each other Guaranteed Party for all out-of-pocket costs and expenses incurred in connection with the enforcement, attempted enforcement, or preservation of any rights or remedies under this Guaranty or the other Guarantor Documents (including all such costs and expenses incurred during any “workout” or restructuring in respect of the Guaranteed Obligations and during any legal proceeding, including any proceeding under any Debtor Relief Law), including all costs and expenses of counsel for the Administrative Agent. The foregoing costs and expenses shall include all search, filing, recording, title insurance and appraisal charges and fees and taxes related thereto, and other out-of-pocket expenses incurred by the Administrative Agent and the cost of independent public accountants and other outside experts retained by any Guaranteed Party.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Interest</w:t>
      </w:r>
      <w:r>
        <w:rPr>
          <w:rFonts w:ascii="Times New Roman" w:hAnsi="Times New Roman"/>
          <w:sz w:val="20"/>
        </w:rPr>
        <w:t>. Any amounts payable by any Subsidiary Guarantor under this</w:t>
      </w:r>
      <w:r>
        <w:rPr>
          <w:rFonts w:ascii="Times New Roman" w:hAnsi="Times New Roman"/>
          <w:sz w:val="20"/>
          <w:u w:val="single"/>
        </w:rPr>
        <w:t xml:space="preserve"> Section 14</w:t>
      </w:r>
      <w:r>
        <w:rPr>
          <w:rFonts w:ascii="Times New Roman" w:hAnsi="Times New Roman"/>
          <w:sz w:val="20"/>
        </w:rPr>
        <w:t xml:space="preserve"> or otherwise under this Guaranty if not paid when due shall bear interest from such due date until paid in full, at a fluctuating interest rate per annum at all times equal to the Default Rate applicable to Base Rate Loans to the fullest extent permitted by applicable law. Any such interest shall be due and payable upon demand in accordance with the Credit Agreement and shall be calculated on the basis of a year of 365 or 366 days, as the case may be, and the actual number of days elapsed.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w:t>
      </w:r>
      <w:r>
        <w:rPr>
          <w:rFonts w:ascii="Times New Roman" w:hAnsi="Times New Roman"/>
          <w:sz w:val="20"/>
        </w:rPr>
        <w:t xml:space="preserve">. All amounts due under this </w:t>
      </w:r>
      <w:r>
        <w:rPr>
          <w:rFonts w:ascii="Times New Roman" w:hAnsi="Times New Roman"/>
          <w:sz w:val="20"/>
          <w:u w:val="single"/>
        </w:rPr>
        <w:t>Section 14</w:t>
      </w:r>
      <w:r>
        <w:rPr>
          <w:rFonts w:ascii="Times New Roman" w:hAnsi="Times New Roman"/>
          <w:sz w:val="20"/>
        </w:rPr>
        <w:t xml:space="preserve"> shall be payable after demand therefor in accordance with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Survival</w:t>
      </w:r>
      <w:r>
        <w:rPr>
          <w:rFonts w:ascii="Times New Roman" w:hAnsi="Times New Roman"/>
          <w:sz w:val="20"/>
        </w:rPr>
        <w:t xml:space="preserve">. The agreements in this </w:t>
      </w:r>
      <w:r>
        <w:rPr>
          <w:rFonts w:ascii="Times New Roman" w:hAnsi="Times New Roman"/>
          <w:sz w:val="20"/>
          <w:u w:val="single"/>
        </w:rPr>
        <w:t>Section 14</w:t>
      </w:r>
      <w:r>
        <w:rPr>
          <w:rFonts w:ascii="Times New Roman" w:hAnsi="Times New Roman"/>
          <w:sz w:val="20"/>
        </w:rPr>
        <w:t xml:space="preserve"> shall survive the termination of the Commitments and repayment of all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Right of Set-Off</w:t>
      </w:r>
      <w:r>
        <w:rPr>
          <w:rFonts w:ascii="Times New Roman" w:hAnsi="Times New Roman"/>
          <w:sz w:val="20"/>
        </w:rPr>
        <w:t xml:space="preserve">. In addition to any rights and remedies of the Lenders provided by law, upon the occurrence and during the continuance of any Event of Default each Lender and each of their respective Affiliates is authorized at any time and from time to time, without prior notice to the applicable Subsidiary Guarantor, any such notice being waived by such Subsidiary Guarantor to the fullest extent permitted by law, to set off and apply any and all deposits (general or special, time or demand, provisional or final) at any time held by, and other indebtedness at any time owing by, such Lender or any such Affiliate to or for the credit or the account of such Subsidiary Guarantor against any and all Guaranteed Obligations owing to such Lender, now or hereafter existing, irrespective of whether or not the Administrative Agent or such Lender shall have made demand under this Guaranty or any other Guarantor Document and although such Guaranteed Obligations may be contingent or unmatured or denominated in a currency different from that of the applicable deposit or indebtedness. Each of the Lenders agrees (by its acceptance hereof) promptly to notify such Subsidiary Guarantor and the Administrative Agent after any such set-off and application made by such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failure to give such notice shall not affect the validity of such set-off and application. The rights of each Lender and their respective Affiliates under this Section are in addition to other rights and remedies (including other rights of setoff) that such Lender or its Affiliates may have.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Marshalling; Payments Set Aside</w:t>
      </w:r>
      <w:r>
        <w:rPr>
          <w:rFonts w:ascii="Times New Roman" w:hAnsi="Times New Roman"/>
          <w:sz w:val="20"/>
        </w:rPr>
        <w:t xml:space="preserve">. Neither the Administrative Agent nor any other Guaranteed Party shall be under any obligation to marshal any assets in favor of any Subsidiary Guarantor or any other Person or against or in payment of any or all of the Guaranteed Obligations. To the extent that any Subsidiary Guarantor makes a payment to any Guaranteed Party, or any Guaranteed Party exercises its right of set-off, and such payment or the proceeds of such set-off or any part thereof are subsequently invalidated, declared to be fraudulent or preferential, set aside or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pursuant to any settlement entered into by any Guaranteed Party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of the Lenders severally agrees (by its acceptance hereof) to pay to the Administrative Agent upon demand its pro rata share of any amount so recovered from or repaid by the Administrative Agent, plus interest thereon from the date of such demand to the date such payment is made at a rate per annum equal to the Federal Funds Rate from time to time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Benefits of Guaranty</w:t>
      </w:r>
      <w:r>
        <w:rPr>
          <w:rFonts w:ascii="Times New Roman" w:hAnsi="Times New Roman"/>
          <w:sz w:val="20"/>
        </w:rPr>
        <w:t xml:space="preserve">. This Guaranty is entered into for the sole protection and benefit of the Administrative Agent and each other Guaranteed Party and their respective successors and assigns, and no other Person (other than any Indemnitee specified herein) shall be a direct or indirect beneficiary of, or shall have any direct or indirect cause of action or claim in connection with, this Guaranty. The Guaranteed Parties, by their acceptance of this Guaranty, shall not have any obligations under this Guaranty to any Person other than the Subsidiary Guarantors, and such obligations shall be limited to those expressly stated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Binding Effect; Assignment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Binding Effect</w:t>
      </w:r>
      <w:r>
        <w:rPr>
          <w:rFonts w:ascii="Times New Roman" w:hAnsi="Times New Roman"/>
          <w:sz w:val="20"/>
        </w:rPr>
        <w:t xml:space="preserve">. This Guaranty shall be binding upon each Subsidiary Guarantor and its successors and assigns, and inure to the benefit of and be enforceable by the Administrative Agent and each other Guaranteed Party and their respective successors, endorsees, transferees and assigns.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w:t>
      </w:r>
      <w:r>
        <w:rPr>
          <w:rFonts w:ascii="Times New Roman" w:hAnsi="Times New Roman"/>
          <w:sz w:val="20"/>
        </w:rPr>
        <w:t xml:space="preserve">. Except to the extent otherwise provided in the Credit Agreement, no Subsidiary Guarantor shall have the right to assign or transfer its rights and obligations hereunder or under any other Guarantor Documents without the prior written consent of the Required Lenders. Each Lender may, without notice to or consent by any Subsidiary Guarantor, sell, assign, transfer or grant participations in all or any portion of such Lender’s rights and obligations hereunder and under the other Guarantor Documents in connection with any sale, assignment, transfer or grant of a participation by such Lender in accordance with </w:t>
      </w:r>
      <w:r>
        <w:rPr>
          <w:rFonts w:ascii="Times New Roman" w:hAnsi="Times New Roman"/>
          <w:sz w:val="20"/>
          <w:u w:val="single"/>
        </w:rPr>
        <w:t>Section 10.06</w:t>
      </w:r>
      <w:r>
        <w:rPr>
          <w:rFonts w:ascii="Times New Roman" w:hAnsi="Times New Roman"/>
          <w:sz w:val="20"/>
        </w:rPr>
        <w:t xml:space="preserve"> of the Credit Agreement of or in its rights and obligations thereunder and under the other Loan Documents. In the event of any grant of a participation, the participant (A) shall be deemed to have a right of setoff under </w:t>
      </w:r>
      <w:r>
        <w:rPr>
          <w:rFonts w:ascii="Times New Roman" w:hAnsi="Times New Roman"/>
          <w:sz w:val="20"/>
          <w:u w:val="single"/>
        </w:rPr>
        <w:t>Section 15</w:t>
      </w:r>
      <w:r>
        <w:rPr>
          <w:rFonts w:ascii="Times New Roman" w:hAnsi="Times New Roman"/>
          <w:sz w:val="20"/>
        </w:rPr>
        <w:t xml:space="preserve"> hereof in respect of its participation to the same extent as if it were such “Guaranteed Party;” and (B) shall also be entitled to the benefits of</w:t>
      </w:r>
      <w:r>
        <w:rPr>
          <w:rFonts w:ascii="Times New Roman" w:hAnsi="Times New Roman"/>
          <w:sz w:val="20"/>
          <w:u w:val="single"/>
        </w:rPr>
        <w:t xml:space="preserve"> Section 14</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Governing Law and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GUARANTY AND THE OTHER GUARANTOR DOCUMENTS (EXCEPT, AS TO ANY OTHER GUARANTOR DOCUMENT, WHERE SUCH OTHER GUARANTOR DOCUMENT EXPRESSLY SETS FORTH OTHERWISE) AND ANY CLAIMS, CONTROVERSY, DISPUTE OR CAUSE OF ACTION (WHETHER IN CONTRACT OR TORT OR OTHERWISE) BASED UPON, ARISING OUT OF OR RELATING TO THIS GUARANTY OR ANY OTHER GUARANTOR DOCUMENT (EXCEPT, AS TO ANY OTHER GUARANTOR DOCUMENT, AS EXPRESSLY SET FORTH THEREIN) AND THE TRANSACTIONS CONTEMPLATED HEREBY AND THEREBY SHALL BE GOVERNED BY, AND CONSTRUED IN ACCORDANCE WITH,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SUBMISSION TO JURISDICTION</w:t>
      </w:r>
      <w:r>
        <w:rPr>
          <w:rFonts w:ascii="Times New Roman" w:hAnsi="Times New Roman"/>
          <w:sz w:val="20"/>
        </w:rPr>
        <w:t xml:space="preserve">. EACH OF THE PARTIES HERETO IRREVOCABLY AND UNCONDITIONALLY SUBMITS, FOR ITSELF AND ITS PROPERTY, TO THE EXCLUSIVE JURISDICTION OF THE COURTS OF THE STATE OF NEW YORK SITTING IN THE BOROUGH OF MANHATTAN AND OF THE UNITED STATES DISTRICT COURT IN SUCH BOROUGH, AND ANY APPELLATE COURT FROM ANY THEREOF, IN ANY ACTION OR PROCEEDING ARISING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 OF OR RELATING TO THIS GUARANTY OR ANY OTHER GUARANTOR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GUARANTY OR IN ANY OTHER GUARANTOR DOCUMENT SHALL AFFECT ANY RIGHT THAT THE ADMINISTRATIVE AGENT OR ANY LENDER MAY OTHERWISE HAVE TO BRING ANY ACTION OR PROCEEDING RELATING TO THIS GUARANTY OR ANY OTHER GUARANTOR DOCUMENT AGAINST ANY SUBSIDIARY GUARANTOR OR ITS PROPERTIES IN THE COURTS OF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VENUE</w:t>
      </w:r>
      <w:r>
        <w:rPr>
          <w:rFonts w:ascii="Times New Roman" w:hAnsi="Times New Roman"/>
          <w:sz w:val="20"/>
        </w:rPr>
        <w:t xml:space="preserve">. EACH OF THE PARTIES HERETO IRREVOCABLY AND UNCONDITIONALLY WAIVES, TO THE FULLEST EXTENT PERMITTED BY APPLICABLE LAW, ANY OBJECTION THAT IT MAY NOW OR HEREAFTER HAVE TO THE LAYING OF VENUE OF ANY ACTION OR PROCEEDING ARISING OUT OF OR RELATING TO THIS GUARANTY OR ANY OTHER GUARANTOR DOCUMENT IN ANY COURT REFERRED TO IN </w:t>
      </w:r>
      <w:r>
        <w:rPr>
          <w:rFonts w:ascii="Times New Roman" w:hAnsi="Times New Roman"/>
          <w:sz w:val="20"/>
          <w:u w:val="single"/>
        </w:rPr>
        <w:t>PARAGRAPH (b)</w:t>
      </w:r>
      <w:r>
        <w:rPr>
          <w:rFonts w:ascii="Times New Roman" w:hAnsi="Times New Roman"/>
          <w:sz w:val="20"/>
        </w:rPr>
        <w:t xml:space="preserve"> OF THIS </w:t>
      </w:r>
      <w:r>
        <w:rPr>
          <w:rFonts w:ascii="Times New Roman" w:hAnsi="Times New Roman"/>
          <w:sz w:val="20"/>
          <w:u w:val="single"/>
        </w:rPr>
        <w:t>SECTION 19</w:t>
      </w:r>
      <w:r>
        <w:rPr>
          <w:rFonts w:ascii="Times New Roman" w:hAnsi="Times New Roman"/>
          <w:sz w:val="20"/>
        </w:rPr>
        <w:t xml:space="preserve">. EACH OF THE PARTIES HERETO HEREBY IRREVOCABLY WAIVES, TO THE FULLEST EXTENT PERMITTED BY APPLICABLE LAW, THE DEFENSE OF AN INCONVENIENT FORUM TO THE MAINTENANCE OF SUCH ACTION OR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SERVICE OF PROCESS</w:t>
      </w:r>
      <w:r>
        <w:rPr>
          <w:rFonts w:ascii="Times New Roman" w:hAnsi="Times New Roman"/>
          <w:sz w:val="20"/>
        </w:rPr>
        <w:t>. EACH PARTY HERETO IRREVOCABLY CONSENTS TO SERVICE OF PROCESS IN THE MANNER PROVIDED FOR NOTICES IN</w:t>
      </w:r>
      <w:r>
        <w:rPr>
          <w:rFonts w:ascii="Times New Roman" w:hAnsi="Times New Roman"/>
          <w:sz w:val="20"/>
          <w:u w:val="single"/>
        </w:rPr>
        <w:t xml:space="preserve"> SECTION 12</w:t>
      </w:r>
      <w:r>
        <w:rPr>
          <w:rFonts w:ascii="Times New Roman" w:hAnsi="Times New Roman"/>
          <w:sz w:val="20"/>
        </w:rPr>
        <w:t xml:space="preserve">. NOTHING IN THIS GUARANTY WILL AFFECT THE RIGHT OF ANY PARTY HERETO TO SERVE PROCESS IN ANY OTHER MANNER PERMITTED BY APPLICABLE LAW. WITHOUT LIMITING THE FOREGOING, EACH OF THE GUARANTORS HEREBY APPOINTS, IN THE CASE OF ANY SUCH ACTION OR PROCEEDING BROUGHT IN THE COURTS OF OR IN THE STATE OF NEW YORK, THE COMPANY, AT THE ADDRESS SPECIFIED IN SCHEDULE 10.02 TO THE CREDIT AGREEMENT, TO RECEIVE FOR IT AND ON ITS BEHALF, SERVICE OF PROCESS IN THE STATE OF NEW YORK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Waiver of Jury Trial</w:t>
      </w:r>
      <w:r>
        <w:rPr>
          <w:rFonts w:ascii="Times New Roman" w:hAnsi="Times New Roman"/>
          <w:sz w:val="20"/>
        </w:rPr>
        <w:t xml:space="preserve">. EACH PARTY HERETO HEREBY IRREVOCABLY WAIVES, TO THE FULLEST EXTENT PERMITTED BY APPLICABLE LAW, ANY RIGHT IT MAY HAVE TO A TRIAL BY JURY IN ANY LEGAL PROCEEDING DIRECTLY OR INDIRECTLY ARISING OUT OF OR RELATING TO THIS GUARANTY OR ANY OTHER GUARANTOR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GUARANTY AND THE OTHER GUARANTOR DOCUMENTS BY, AMONG OTHER THINGS, THE MUTUAL WAIVERS AND CERTIFICATIONS IN THIS </w:t>
      </w:r>
      <w:r>
        <w:rPr>
          <w:rFonts w:ascii="Times New Roman" w:hAnsi="Times New Roman"/>
          <w:sz w:val="20"/>
          <w:u w:val="single"/>
        </w:rPr>
        <w:t>SECTION 20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Entire Agreement; Amendments and Waivers</w:t>
      </w:r>
      <w:r>
        <w:rPr>
          <w:rFonts w:ascii="Times New Roman" w:hAnsi="Times New Roman"/>
          <w:sz w:val="20"/>
        </w:rPr>
        <w:t xml:space="preserve">. This Guaranty together with the other Guarantor Documents embodies the entire, final agreement of each Subsidiary Guarantor with respect to the matters set forth herein and supersedes all prior or contemporaneous agreements and understandings of the Subsidiary Guarantors, verbal or written, relating to the subject matter hereof and thereof and shall not be amended as to any Subsidiary Guarantor except by written agreement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Subsidiary Guarantor, the Administrative Agent and the Required Lenders. This Guaranty and the other Guarantor Documents may not be contradicted by evidence of prior, contemporaneous, or subsequent oral agreements of the parties. There are no unwritten oral agreements among the parties. No waiver of any rights of the Guaranteed Parties under any provision of this Guaranty or consent to any departure by any Subsidiary Guarantor therefrom shall be effective unless in writing and signed by the Administrative Agent and the Required Lenders, or the Administrative Agent (with the written consent of the Required Lenders). Any such amendment, waiver or consent shall be effective only in the specific instance and for the specific purpose for which given.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Severability</w:t>
      </w:r>
      <w:r>
        <w:rPr>
          <w:rFonts w:ascii="Times New Roman" w:hAnsi="Times New Roman"/>
          <w:sz w:val="20"/>
        </w:rPr>
        <w:t xml:space="preserve">. If any provision of this Guaranty or the other Guarantor Documents is held to be illegal, invalid or unenforceable as to any or all Subsidiary Guarantors, (a) the legality, validity and enforceability of the remaining provisions of this Guaranty and the other Guarantor Documents as to such affected Subsidiary Guarantor(s) shall not be affected or impaired thereby, (b) the legality, validity and enforceability of such provisions and any other provisions as to any other Subsidiary Guarantor shall not be affected or impaired thereby, and (c)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Counterparts</w:t>
      </w:r>
      <w:r>
        <w:rPr>
          <w:rFonts w:ascii="Times New Roman" w:hAnsi="Times New Roman"/>
          <w:sz w:val="20"/>
        </w:rPr>
        <w:t xml:space="preserve">. This Guaranty may be executed in one or more counterparts (and by different parties hereto in different counterparts), each of which shall constitute an original, but all of which together shall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Judgment Currency</w:t>
      </w:r>
      <w:r>
        <w:rPr>
          <w:rFonts w:ascii="Times New Roman" w:hAnsi="Times New Roman"/>
          <w:sz w:val="20"/>
        </w:rPr>
        <w:t>. If, for the purposes of obtaining judgment in any court, it is necessary to convert a sum due hereunder or any other Guarantor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Subsidiary Guarantor in respect of any such sum due from it to any Guaranteed Party hereunder or under the other Guarantor Documents shall, notwithstanding any judgment in a currency (the “</w:t>
      </w:r>
      <w:r>
        <w:rPr>
          <w:rFonts w:ascii="Times New Roman" w:hAnsi="Times New Roman"/>
          <w:sz w:val="20"/>
          <w:u w:val="single"/>
        </w:rPr>
        <w:t>Judgment Currency</w:t>
      </w:r>
      <w:r>
        <w:rPr>
          <w:rFonts w:ascii="Times New Roman" w:hAnsi="Times New Roman"/>
          <w:sz w:val="20"/>
        </w:rPr>
        <w:t>”) other than that in which such sum is denominated in accordance with the applicable provisions of the Credit Agreement (the “</w:t>
      </w:r>
      <w:r>
        <w:rPr>
          <w:rFonts w:ascii="Times New Roman" w:hAnsi="Times New Roman"/>
          <w:sz w:val="20"/>
          <w:u w:val="single"/>
        </w:rPr>
        <w:t>Agreement Currency</w:t>
      </w:r>
      <w:r>
        <w:rPr>
          <w:rFonts w:ascii="Times New Roman" w:hAnsi="Times New Roman"/>
          <w:sz w:val="20"/>
        </w:rPr>
        <w:t xml:space="preserve">”),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any Subsidiary Guarantor in the Agreement Currency, such Subsidiary Guarantor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or the Person to whom such obligation was owing in such currency, the Administrative Agent (by its acceptance hereof) or the Person to whom such obligation was owing agrees to return the amount of any excess to such Subsidiary Guarantor (or to any other Person who may be entitled thereto under applicable law). The agreements in this </w:t>
      </w:r>
      <w:r>
        <w:rPr>
          <w:rFonts w:ascii="Times New Roman" w:hAnsi="Times New Roman"/>
          <w:sz w:val="20"/>
          <w:u w:val="single"/>
        </w:rPr>
        <w:t>Section24</w:t>
      </w:r>
      <w:r>
        <w:rPr>
          <w:rFonts w:ascii="Times New Roman" w:hAnsi="Times New Roman"/>
          <w:sz w:val="20"/>
        </w:rPr>
        <w:t xml:space="preserve"> shall survive the termination of the Commitments and repayment of all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Future Subsidiary Guarantors</w:t>
      </w:r>
      <w:r>
        <w:rPr>
          <w:rFonts w:ascii="Times New Roman" w:hAnsi="Times New Roman"/>
          <w:sz w:val="20"/>
        </w:rPr>
        <w:t>. At such time following the date hereof as any Subsidiary of the Company (an “</w:t>
      </w:r>
      <w:r>
        <w:rPr>
          <w:rFonts w:ascii="Times New Roman" w:hAnsi="Times New Roman"/>
          <w:sz w:val="20"/>
          <w:u w:val="single"/>
        </w:rPr>
        <w:t>Acceding Subsidiary</w:t>
      </w:r>
      <w:r>
        <w:rPr>
          <w:rFonts w:ascii="Times New Roman" w:hAnsi="Times New Roman"/>
          <w:sz w:val="20"/>
        </w:rPr>
        <w:t xml:space="preserve">”) desires to accede hereto, such Acceding Subsidiary shall execute and deliver to the Administrative Agent a Guaranty Joinder Agreement substantially in the form of </w:t>
      </w:r>
      <w:r>
        <w:rPr>
          <w:rFonts w:ascii="Times New Roman" w:hAnsi="Times New Roman"/>
          <w:sz w:val="20"/>
          <w:u w:val="single"/>
        </w:rPr>
        <w:t>Annex I</w:t>
      </w:r>
      <w:r>
        <w:rPr>
          <w:rFonts w:ascii="Times New Roman" w:hAnsi="Times New Roman"/>
          <w:sz w:val="20"/>
        </w:rPr>
        <w:t xml:space="preserve"> hereto, signifying its agreement to be bound by the provisions of this Guaranty as a Subsidiary Guarantor to the same extent as if such Acceding Subsidiary had originally executed this Guaranty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Subsidiary Guarantor Release</w:t>
      </w:r>
      <w:r>
        <w:rPr>
          <w:rFonts w:ascii="Times New Roman" w:hAnsi="Times New Roman"/>
          <w:sz w:val="20"/>
        </w:rPr>
        <w:t xml:space="preserve">. </w:t>
      </w:r>
      <w:r>
        <w:rPr>
          <w:rFonts w:ascii="Times New Roman" w:hAnsi="Times New Roman"/>
          <w:sz w:val="20"/>
          <w:u w:val="single"/>
        </w:rPr>
        <w:t>Section 10.22(b)</w:t>
      </w:r>
      <w:r>
        <w:rPr>
          <w:rFonts w:ascii="Times New Roman" w:hAnsi="Times New Roman"/>
          <w:sz w:val="20"/>
        </w:rPr>
        <w:t xml:space="preserve"> of the Credit Agreement is hereby incorporated by reference herein as if set forth in full force herein, mutatis mutandis. Each Subsidiary Guarantor shall remain obligated under and bound by this Guaranty until termination of the Commitments and payment and performance in full of the Guaranteed Obligations;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this Guaranty shall be terminated as to any Subsidiary Guarantor at the request of the Company, pursuant to </w:t>
      </w:r>
      <w:r>
        <w:rPr>
          <w:rFonts w:ascii="Times New Roman" w:hAnsi="Times New Roman"/>
          <w:sz w:val="20"/>
          <w:u w:val="single"/>
        </w:rPr>
        <w:t>Section 10.22(b)</w:t>
      </w:r>
      <w:r>
        <w:rPr>
          <w:rFonts w:ascii="Times New Roman" w:hAnsi="Times New Roman"/>
          <w:sz w:val="20"/>
        </w:rPr>
        <w:t xml:space="preserve"> of the Credit Agreement; provided further, that, any such termination shall not affect or impair the obligations of any other Subsidiary Guarantor hereunder.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Subsidiary Guarantors have executed this Guaranty,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98"/>
        <w:gridCol w:w="189"/>
        <w:gridCol w:w="2595"/>
      </w:tblGrid>
      <w:tr>
        <w:trPr/>
        <w:tc>
          <w:tcPr>
            <w:tcW w:w="1298"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[SUBSIDIARY GUARANTOR]</w:t>
            </w:r>
          </w:p>
        </w:tc>
      </w:tr>
      <w:tr>
        <w:trPr>
          <w:trHeight w:val="240" w:hRule="atLeast"/>
        </w:trPr>
        <w:tc>
          <w:tcPr>
            <w:tcW w:w="1298" w:type="dxa"/>
            <w:tcBorders/>
            <w:vAlign w:val="center"/>
          </w:tcPr>
          <w:p>
            <w:pPr>
              <w:pStyle w:val="TableContents"/>
              <w:bidi w:val="0"/>
              <w:spacing w:before="0" w:after="283"/>
              <w:jc w:val="left"/>
              <w:rPr>
                <w:sz w:val="4"/>
                <w:szCs w:val="4"/>
              </w:rPr>
            </w:pPr>
            <w:r>
              <w:rPr>
                <w:sz w:val="4"/>
                <w:szCs w:val="4"/>
              </w:rPr>
            </w:r>
          </w:p>
        </w:tc>
        <w:tc>
          <w:tcPr>
            <w:tcW w:w="2784" w:type="dxa"/>
            <w:gridSpan w:val="2"/>
            <w:tcBorders/>
            <w:vAlign w:val="center"/>
          </w:tcPr>
          <w:p>
            <w:pPr>
              <w:pStyle w:val="TableContents"/>
              <w:bidi w:val="0"/>
              <w:spacing w:before="0" w:after="283"/>
              <w:jc w:val="left"/>
              <w:rPr>
                <w:sz w:val="4"/>
                <w:szCs w:val="4"/>
              </w:rPr>
            </w:pPr>
            <w:r>
              <w:rPr>
                <w:sz w:val="4"/>
                <w:szCs w:val="4"/>
              </w:rPr>
            </w:r>
          </w:p>
        </w:tc>
      </w:tr>
      <w:tr>
        <w:trPr/>
        <w:tc>
          <w:tcPr>
            <w:tcW w:w="1298" w:type="dxa"/>
            <w:tcBorders/>
          </w:tcPr>
          <w:p>
            <w:pPr>
              <w:pStyle w:val="TableContents"/>
              <w:bidi w:val="0"/>
              <w:spacing w:before="0" w:after="283"/>
              <w:jc w:val="left"/>
              <w:rPr/>
            </w:pPr>
            <w:r>
              <w:rPr/>
              <w:t>By:</w:t>
            </w:r>
          </w:p>
        </w:tc>
        <w:tc>
          <w:tcPr>
            <w:tcW w:w="189" w:type="dxa"/>
            <w:tcBorders>
              <w:bottom w:val="single" w:sz="2" w:space="0" w:color="000000"/>
            </w:tcBorders>
            <w:tcMar>
              <w:bottom w:w="28" w:type="dxa"/>
            </w:tcMar>
            <w:vAlign w:val="bottom"/>
          </w:tcPr>
          <w:p>
            <w:pPr>
              <w:pStyle w:val="TableContents"/>
              <w:bidi w:val="0"/>
              <w:spacing w:before="0" w:after="283"/>
              <w:jc w:val="left"/>
              <w:rPr/>
            </w:pPr>
            <w:r>
              <w:rPr/>
              <w:t> </w:t>
            </w:r>
          </w:p>
        </w:tc>
        <w:tc>
          <w:tcPr>
            <w:tcW w:w="2595" w:type="dxa"/>
            <w:tcBorders>
              <w:bottom w:val="single" w:sz="2" w:space="0" w:color="000000"/>
            </w:tcBorders>
            <w:tcMar>
              <w:bottom w:w="28" w:type="dxa"/>
            </w:tcMar>
          </w:tcPr>
          <w:p>
            <w:pPr>
              <w:pStyle w:val="TableContents"/>
              <w:bidi w:val="0"/>
              <w:spacing w:before="0" w:after="283"/>
              <w:jc w:val="left"/>
              <w:rPr/>
            </w:pPr>
            <w:r>
              <w:rPr/>
              <w:t> </w:t>
            </w:r>
          </w:p>
        </w:tc>
      </w:tr>
      <w:tr>
        <w:trPr/>
        <w:tc>
          <w:tcPr>
            <w:tcW w:w="1298" w:type="dxa"/>
            <w:tcBorders/>
          </w:tcPr>
          <w:p>
            <w:pPr>
              <w:pStyle w:val="TableContents"/>
              <w:bidi w:val="0"/>
              <w:spacing w:before="0" w:after="283"/>
              <w:jc w:val="left"/>
              <w:rPr/>
            </w:pPr>
            <w:r>
              <w:rPr/>
              <w:t>Title:</w:t>
            </w:r>
          </w:p>
        </w:tc>
        <w:tc>
          <w:tcPr>
            <w:tcW w:w="189" w:type="dxa"/>
            <w:tcBorders>
              <w:bottom w:val="single" w:sz="2" w:space="0" w:color="000000"/>
            </w:tcBorders>
            <w:tcMar>
              <w:bottom w:w="28" w:type="dxa"/>
            </w:tcMar>
            <w:vAlign w:val="bottom"/>
          </w:tcPr>
          <w:p>
            <w:pPr>
              <w:pStyle w:val="TableContents"/>
              <w:bidi w:val="0"/>
              <w:spacing w:before="0" w:after="283"/>
              <w:jc w:val="left"/>
              <w:rPr/>
            </w:pPr>
            <w:r>
              <w:rPr/>
              <w:t> </w:t>
            </w:r>
          </w:p>
        </w:tc>
        <w:tc>
          <w:tcPr>
            <w:tcW w:w="259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98"/>
        <w:gridCol w:w="189"/>
        <w:gridCol w:w="2595"/>
      </w:tblGrid>
      <w:tr>
        <w:trPr/>
        <w:tc>
          <w:tcPr>
            <w:tcW w:w="1298"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[SUBSIDIARY GUARANTOR]</w:t>
            </w:r>
          </w:p>
        </w:tc>
      </w:tr>
      <w:tr>
        <w:trPr>
          <w:trHeight w:val="240" w:hRule="atLeast"/>
        </w:trPr>
        <w:tc>
          <w:tcPr>
            <w:tcW w:w="1298" w:type="dxa"/>
            <w:tcBorders/>
            <w:vAlign w:val="center"/>
          </w:tcPr>
          <w:p>
            <w:pPr>
              <w:pStyle w:val="TableContents"/>
              <w:bidi w:val="0"/>
              <w:spacing w:before="0" w:after="283"/>
              <w:jc w:val="left"/>
              <w:rPr>
                <w:sz w:val="4"/>
                <w:szCs w:val="4"/>
              </w:rPr>
            </w:pPr>
            <w:r>
              <w:rPr>
                <w:sz w:val="4"/>
                <w:szCs w:val="4"/>
              </w:rPr>
            </w:r>
          </w:p>
        </w:tc>
        <w:tc>
          <w:tcPr>
            <w:tcW w:w="2784" w:type="dxa"/>
            <w:gridSpan w:val="2"/>
            <w:tcBorders/>
            <w:vAlign w:val="center"/>
          </w:tcPr>
          <w:p>
            <w:pPr>
              <w:pStyle w:val="TableContents"/>
              <w:bidi w:val="0"/>
              <w:spacing w:before="0" w:after="283"/>
              <w:jc w:val="left"/>
              <w:rPr>
                <w:sz w:val="4"/>
                <w:szCs w:val="4"/>
              </w:rPr>
            </w:pPr>
            <w:r>
              <w:rPr>
                <w:sz w:val="4"/>
                <w:szCs w:val="4"/>
              </w:rPr>
            </w:r>
          </w:p>
        </w:tc>
      </w:tr>
      <w:tr>
        <w:trPr/>
        <w:tc>
          <w:tcPr>
            <w:tcW w:w="1298" w:type="dxa"/>
            <w:tcBorders/>
          </w:tcPr>
          <w:p>
            <w:pPr>
              <w:pStyle w:val="TableContents"/>
              <w:bidi w:val="0"/>
              <w:spacing w:before="0" w:after="283"/>
              <w:jc w:val="left"/>
              <w:rPr/>
            </w:pPr>
            <w:r>
              <w:rPr/>
              <w:t>By:</w:t>
            </w:r>
          </w:p>
        </w:tc>
        <w:tc>
          <w:tcPr>
            <w:tcW w:w="189" w:type="dxa"/>
            <w:tcBorders>
              <w:bottom w:val="single" w:sz="2" w:space="0" w:color="000000"/>
            </w:tcBorders>
            <w:tcMar>
              <w:bottom w:w="28" w:type="dxa"/>
            </w:tcMar>
            <w:vAlign w:val="bottom"/>
          </w:tcPr>
          <w:p>
            <w:pPr>
              <w:pStyle w:val="TableContents"/>
              <w:bidi w:val="0"/>
              <w:spacing w:before="0" w:after="283"/>
              <w:jc w:val="left"/>
              <w:rPr/>
            </w:pPr>
            <w:r>
              <w:rPr/>
              <w:t> </w:t>
            </w:r>
          </w:p>
        </w:tc>
        <w:tc>
          <w:tcPr>
            <w:tcW w:w="2595" w:type="dxa"/>
            <w:tcBorders>
              <w:bottom w:val="single" w:sz="2" w:space="0" w:color="000000"/>
            </w:tcBorders>
            <w:tcMar>
              <w:bottom w:w="28" w:type="dxa"/>
            </w:tcMar>
          </w:tcPr>
          <w:p>
            <w:pPr>
              <w:pStyle w:val="TableContents"/>
              <w:bidi w:val="0"/>
              <w:spacing w:before="0" w:after="283"/>
              <w:jc w:val="left"/>
              <w:rPr/>
            </w:pPr>
            <w:r>
              <w:rPr/>
              <w:t> </w:t>
            </w:r>
          </w:p>
        </w:tc>
      </w:tr>
      <w:tr>
        <w:trPr/>
        <w:tc>
          <w:tcPr>
            <w:tcW w:w="1298" w:type="dxa"/>
            <w:tcBorders/>
          </w:tcPr>
          <w:p>
            <w:pPr>
              <w:pStyle w:val="TableContents"/>
              <w:bidi w:val="0"/>
              <w:spacing w:before="0" w:after="283"/>
              <w:jc w:val="left"/>
              <w:rPr/>
            </w:pPr>
            <w:r>
              <w:rPr/>
              <w:t>Title:</w:t>
            </w:r>
          </w:p>
        </w:tc>
        <w:tc>
          <w:tcPr>
            <w:tcW w:w="189" w:type="dxa"/>
            <w:tcBorders>
              <w:bottom w:val="single" w:sz="2" w:space="0" w:color="000000"/>
            </w:tcBorders>
            <w:tcMar>
              <w:bottom w:w="28" w:type="dxa"/>
            </w:tcMar>
            <w:vAlign w:val="bottom"/>
          </w:tcPr>
          <w:p>
            <w:pPr>
              <w:pStyle w:val="TableContents"/>
              <w:bidi w:val="0"/>
              <w:spacing w:before="0" w:after="283"/>
              <w:jc w:val="left"/>
              <w:rPr/>
            </w:pPr>
            <w:r>
              <w:rPr/>
              <w:t> </w:t>
            </w:r>
          </w:p>
        </w:tc>
        <w:tc>
          <w:tcPr>
            <w:tcW w:w="259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98"/>
        <w:gridCol w:w="189"/>
        <w:gridCol w:w="2595"/>
      </w:tblGrid>
      <w:tr>
        <w:trPr/>
        <w:tc>
          <w:tcPr>
            <w:tcW w:w="1298"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[SUBSIDIARY GUARANTOR]</w:t>
            </w:r>
          </w:p>
        </w:tc>
      </w:tr>
      <w:tr>
        <w:trPr>
          <w:trHeight w:val="240" w:hRule="atLeast"/>
        </w:trPr>
        <w:tc>
          <w:tcPr>
            <w:tcW w:w="1298" w:type="dxa"/>
            <w:tcBorders/>
            <w:vAlign w:val="center"/>
          </w:tcPr>
          <w:p>
            <w:pPr>
              <w:pStyle w:val="TableContents"/>
              <w:bidi w:val="0"/>
              <w:spacing w:before="0" w:after="283"/>
              <w:jc w:val="left"/>
              <w:rPr>
                <w:sz w:val="4"/>
                <w:szCs w:val="4"/>
              </w:rPr>
            </w:pPr>
            <w:r>
              <w:rPr>
                <w:sz w:val="4"/>
                <w:szCs w:val="4"/>
              </w:rPr>
            </w:r>
          </w:p>
        </w:tc>
        <w:tc>
          <w:tcPr>
            <w:tcW w:w="2784" w:type="dxa"/>
            <w:gridSpan w:val="2"/>
            <w:tcBorders/>
            <w:vAlign w:val="center"/>
          </w:tcPr>
          <w:p>
            <w:pPr>
              <w:pStyle w:val="TableContents"/>
              <w:bidi w:val="0"/>
              <w:spacing w:before="0" w:after="283"/>
              <w:jc w:val="left"/>
              <w:rPr>
                <w:sz w:val="4"/>
                <w:szCs w:val="4"/>
              </w:rPr>
            </w:pPr>
            <w:r>
              <w:rPr>
                <w:sz w:val="4"/>
                <w:szCs w:val="4"/>
              </w:rPr>
            </w:r>
          </w:p>
        </w:tc>
      </w:tr>
      <w:tr>
        <w:trPr/>
        <w:tc>
          <w:tcPr>
            <w:tcW w:w="1298" w:type="dxa"/>
            <w:tcBorders/>
          </w:tcPr>
          <w:p>
            <w:pPr>
              <w:pStyle w:val="TableContents"/>
              <w:bidi w:val="0"/>
              <w:spacing w:before="0" w:after="283"/>
              <w:jc w:val="left"/>
              <w:rPr/>
            </w:pPr>
            <w:r>
              <w:rPr/>
              <w:t>By:</w:t>
            </w:r>
          </w:p>
        </w:tc>
        <w:tc>
          <w:tcPr>
            <w:tcW w:w="189" w:type="dxa"/>
            <w:tcBorders>
              <w:bottom w:val="single" w:sz="2" w:space="0" w:color="000000"/>
            </w:tcBorders>
            <w:tcMar>
              <w:bottom w:w="28" w:type="dxa"/>
            </w:tcMar>
            <w:vAlign w:val="bottom"/>
          </w:tcPr>
          <w:p>
            <w:pPr>
              <w:pStyle w:val="TableContents"/>
              <w:bidi w:val="0"/>
              <w:spacing w:before="0" w:after="283"/>
              <w:jc w:val="left"/>
              <w:rPr/>
            </w:pPr>
            <w:r>
              <w:rPr/>
              <w:t> </w:t>
            </w:r>
          </w:p>
        </w:tc>
        <w:tc>
          <w:tcPr>
            <w:tcW w:w="2595" w:type="dxa"/>
            <w:tcBorders>
              <w:bottom w:val="single" w:sz="2" w:space="0" w:color="000000"/>
            </w:tcBorders>
            <w:tcMar>
              <w:bottom w:w="28" w:type="dxa"/>
            </w:tcMar>
          </w:tcPr>
          <w:p>
            <w:pPr>
              <w:pStyle w:val="TableContents"/>
              <w:bidi w:val="0"/>
              <w:spacing w:before="0" w:after="283"/>
              <w:jc w:val="left"/>
              <w:rPr/>
            </w:pPr>
            <w:r>
              <w:rPr/>
              <w:t> </w:t>
            </w:r>
          </w:p>
        </w:tc>
      </w:tr>
      <w:tr>
        <w:trPr/>
        <w:tc>
          <w:tcPr>
            <w:tcW w:w="1298" w:type="dxa"/>
            <w:tcBorders/>
          </w:tcPr>
          <w:p>
            <w:pPr>
              <w:pStyle w:val="TableContents"/>
              <w:bidi w:val="0"/>
              <w:spacing w:before="0" w:after="283"/>
              <w:jc w:val="left"/>
              <w:rPr/>
            </w:pPr>
            <w:r>
              <w:rPr/>
              <w:t>Title:</w:t>
            </w:r>
          </w:p>
        </w:tc>
        <w:tc>
          <w:tcPr>
            <w:tcW w:w="189" w:type="dxa"/>
            <w:tcBorders>
              <w:bottom w:val="single" w:sz="2" w:space="0" w:color="000000"/>
            </w:tcBorders>
            <w:tcMar>
              <w:bottom w:w="28" w:type="dxa"/>
            </w:tcMar>
            <w:vAlign w:val="bottom"/>
          </w:tcPr>
          <w:p>
            <w:pPr>
              <w:pStyle w:val="TableContents"/>
              <w:bidi w:val="0"/>
              <w:spacing w:before="0" w:after="283"/>
              <w:jc w:val="left"/>
              <w:rPr/>
            </w:pPr>
            <w:r>
              <w:rPr/>
              <w:t> </w:t>
            </w:r>
          </w:p>
        </w:tc>
        <w:tc>
          <w:tcPr>
            <w:tcW w:w="259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120" w:after="0"/>
        <w:jc w:val="center"/>
        <w:rPr>
          <w:rFonts w:ascii="Times New Roman" w:hAnsi="Times New Roman"/>
          <w:b/>
          <w:sz w:val="20"/>
        </w:rPr>
      </w:pPr>
      <w:r>
        <w:rPr>
          <w:rFonts w:ascii="Times New Roman" w:hAnsi="Times New Roman"/>
          <w:b/>
          <w:sz w:val="20"/>
        </w:rPr>
        <w:t xml:space="preserve">GUARANTY JOINDER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GUARANTY JOINDER AGREEMENT (this “Joinder”) is executed as of </w:t>
      </w:r>
      <w:r>
        <w:rPr>
          <w:rFonts w:ascii="Times New Roman" w:hAnsi="Times New Roman"/>
          <w:sz w:val="20"/>
          <w:u w:val="single"/>
        </w:rPr>
        <w:t>    </w:t>
      </w:r>
      <w:r>
        <w:rPr>
          <w:rFonts w:ascii="Times New Roman" w:hAnsi="Times New Roman"/>
          <w:sz w:val="20"/>
        </w:rPr>
        <w:t xml:space="preserve"> , 20 by</w:t>
      </w:r>
      <w:r>
        <w:rPr>
          <w:rFonts w:ascii="Times New Roman" w:hAnsi="Times New Roman"/>
          <w:sz w:val="20"/>
          <w:u w:val="single"/>
        </w:rPr>
        <w:t>          </w:t>
      </w:r>
      <w:r>
        <w:rPr>
          <w:rFonts w:ascii="Times New Roman" w:hAnsi="Times New Roman"/>
          <w:sz w:val="20"/>
        </w:rPr>
        <w:t xml:space="preserve"> , a </w:t>
      </w:r>
      <w:r>
        <w:rPr>
          <w:rFonts w:ascii="Times New Roman" w:hAnsi="Times New Roman"/>
          <w:sz w:val="20"/>
          <w:u w:val="single"/>
        </w:rPr>
        <w:t>    </w:t>
      </w:r>
      <w:r>
        <w:rPr>
          <w:rFonts w:ascii="Times New Roman" w:hAnsi="Times New Roman"/>
          <w:sz w:val="20"/>
        </w:rPr>
        <w:t xml:space="preserve"> [corporation/limited liability company/partnership] (“Joining Party”), and delivered to BANK OF AMERICA, N.A., as administrative agent (in such capacity, the “Administrative Agent”), for the benefit of the Lenders (as defined below). Except as otherwise defined herein, terms used herein and defined in the Credit Agreement (as defined below) shall be used herein as therein defined. </w:t>
      </w:r>
    </w:p>
    <w:p>
      <w:pPr>
        <w:pStyle w:val="TextBody"/>
        <w:bidi w:val="0"/>
        <w:spacing w:before="240" w:after="0"/>
        <w:jc w:val="left"/>
        <w:rPr>
          <w:rFonts w:ascii="Times New Roman" w:hAnsi="Times New Roman"/>
          <w:sz w:val="20"/>
        </w:rPr>
      </w:pPr>
      <w:r>
        <w:rPr>
          <w:rFonts w:ascii="Times New Roman" w:hAnsi="Times New Roman"/>
          <w:sz w:val="20"/>
        </w:rPr>
        <w:t xml:space="preserve">A. Analog Devices, Inc., a Massachusetts corporation (the “Company”) and certain Designated Borrowers (together with the Company, each referred to individually herein as a “Borrower” and collectively as the “Borrowers”), the lenders from time to time party thereto (each a “Lender” and, collectively, the “Lenders”), and the Administrative Agent are parties to that certain Credit Agreement, dated as of July 2, 2026 (as amended, restated, extended, supplemented or otherwise modified in writing from time to time,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Joining Party is a direct or indirect Subsidiary of the Company and desires to become a Subsidiary Guarantor under that certain Subsidiary Guaranty, dated as of </w:t>
      </w:r>
      <w:r>
        <w:rPr>
          <w:rFonts w:ascii="Times New Roman" w:hAnsi="Times New Roman"/>
          <w:sz w:val="20"/>
          <w:u w:val="single"/>
        </w:rPr>
        <w:t>      </w:t>
      </w:r>
      <w:r>
        <w:rPr>
          <w:rFonts w:ascii="Times New Roman" w:hAnsi="Times New Roman"/>
          <w:sz w:val="20"/>
        </w:rPr>
        <w:t xml:space="preserve">, 20 (the “Guaranty”); and </w:t>
      </w:r>
    </w:p>
    <w:p>
      <w:pPr>
        <w:pStyle w:val="TextBody"/>
        <w:bidi w:val="0"/>
        <w:spacing w:before="240" w:after="0"/>
        <w:jc w:val="left"/>
        <w:rPr>
          <w:rFonts w:ascii="Times New Roman" w:hAnsi="Times New Roman"/>
          <w:sz w:val="20"/>
        </w:rPr>
      </w:pPr>
      <w:r>
        <w:rPr>
          <w:rFonts w:ascii="Times New Roman" w:hAnsi="Times New Roman"/>
          <w:sz w:val="20"/>
        </w:rPr>
        <w:t xml:space="preserve">C. The Joining Party will obtain benefits from the incurrence of Loans by the Borrowers pursuant to the Credit Agreement and, accordingly, desires to execute this Joinder in order to induce the Lenders to continue to make Loans to the Borrowers; </w:t>
      </w:r>
    </w:p>
    <w:p>
      <w:pPr>
        <w:pStyle w:val="TextBody"/>
        <w:bidi w:val="0"/>
        <w:spacing w:before="240" w:after="0"/>
        <w:jc w:val="left"/>
        <w:rPr>
          <w:rFonts w:ascii="Times New Roman" w:hAnsi="Times New Roman"/>
          <w:sz w:val="20"/>
        </w:rPr>
      </w:pPr>
      <w:r>
        <w:rPr>
          <w:rFonts w:ascii="Times New Roman" w:hAnsi="Times New Roman"/>
          <w:sz w:val="20"/>
        </w:rPr>
        <w:t xml:space="preserve">Accordingly, in consideration of the foregoing and other benefits accruing to the Joining Party, the receipt and sufficiency of which are hereby acknowledged, the Joining Party hereby makes the following representations and warranties to each Lender and the Administrative Agent and hereby covenants and agrees with each Lender and the Administrative Agent as follows: </w:t>
      </w:r>
    </w:p>
    <w:p>
      <w:pPr>
        <w:pStyle w:val="TextBody"/>
        <w:bidi w:val="0"/>
        <w:spacing w:before="120" w:after="0"/>
        <w:jc w:val="left"/>
        <w:rPr>
          <w:rFonts w:ascii="Times New Roman" w:hAnsi="Times New Roman"/>
          <w:sz w:val="20"/>
        </w:rPr>
      </w:pPr>
      <w:r>
        <w:rPr>
          <w:rFonts w:ascii="Times New Roman" w:hAnsi="Times New Roman"/>
          <w:sz w:val="20"/>
        </w:rPr>
        <w:t xml:space="preserve">1. By this Joinder, the Joining Party becomes a Subsidiary Guarantor for all purposes under the Guaranty, pursuant to Section 25 thereof. </w:t>
      </w:r>
    </w:p>
    <w:p>
      <w:pPr>
        <w:pStyle w:val="TextBody"/>
        <w:bidi w:val="0"/>
        <w:spacing w:before="240" w:after="0"/>
        <w:jc w:val="left"/>
        <w:rPr>
          <w:rFonts w:ascii="Times New Roman" w:hAnsi="Times New Roman"/>
          <w:sz w:val="20"/>
        </w:rPr>
      </w:pPr>
      <w:r>
        <w:rPr>
          <w:rFonts w:ascii="Times New Roman" w:hAnsi="Times New Roman"/>
          <w:sz w:val="20"/>
        </w:rPr>
        <w:t xml:space="preserve">2. The Joining Party agrees that, upon its execution hereof, it will become a Subsidiary Guarantor under the Guaranty with respect to all Guaranteed Obligations (as defined in the Guaranty), and will be bound by all terms, conditions and duties applicable to a Subsidiary Guarantor under the Guaranty and the other Loan Documents. Without limitation of the foregoing, and in furtherance thereof, the Joining Party severally absolutely, unconditionally and irrevocably guarantees the full and prompt payment when due of all (and not merely a lesser or proportional part of the) Guaranteed Obligations (on the same basis as the other Subsidiary Guarantors under the Guaranty). </w:t>
      </w:r>
    </w:p>
    <w:p>
      <w:pPr>
        <w:pStyle w:val="TextBody"/>
        <w:bidi w:val="0"/>
        <w:spacing w:before="240" w:after="0"/>
        <w:jc w:val="left"/>
        <w:rPr>
          <w:rFonts w:ascii="Times New Roman" w:hAnsi="Times New Roman"/>
          <w:sz w:val="20"/>
        </w:rPr>
      </w:pPr>
      <w:r>
        <w:rPr>
          <w:rFonts w:ascii="Times New Roman" w:hAnsi="Times New Roman"/>
          <w:sz w:val="20"/>
        </w:rPr>
        <w:t xml:space="preserve">3. The Joining Party hereby makes and undertakes, as the case may be, each covenant, representation and warranty made by, and as a Subsidiary Guarantor pursuant to the Guaranty, in each case as of the date hereof (except to the extent any such representation or warranty relates solely to an earlier date in which case such representation and warranty shall be true and correct as of such earlier date), and agrees to be bound by all covenants, agreements and obligations of a Subsidiary Guarantor and Loan Party pursuant to the Guaranty and all other Loan Documents to which it is or becomes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This Joinder shall be binding upon the parties hereto and their respective successors and assigns and shall inure to the benefit of and be enforceable by each of the parties hereto and its successors and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Joining Party may not assign any of its rights, obligations or interest hereunder or under any other Loan Document without the prior written consent of the Lenders or as otherwise permitted by the Loan Documents. </w:t>
      </w:r>
      <w:r>
        <w:rPr>
          <w:rFonts w:ascii="Times New Roman" w:hAnsi="Times New Roman"/>
          <w:b/>
          <w:sz w:val="20"/>
        </w:rPr>
        <w:t>THIS JOINDER SHALL BE GOVERNED BY, AND CONSTRUED IN ACCORDANCE WITH, THE LAW OF THE STATE OF NEW YORK.</w:t>
      </w:r>
      <w:r>
        <w:rPr>
          <w:rFonts w:ascii="Times New Roman" w:hAnsi="Times New Roman"/>
          <w:sz w:val="20"/>
        </w:rPr>
        <w:t xml:space="preserve"> This Joinder may be executed in any number of counterparts, each of which shall be an original, but all of which shall constitute one instrument. In the event that any provision of this Joinder shall prove to be invalid or unenforceable, such provision shall be deemed to be severable from the other provisions of this Joinder, which shall remain binding on all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5. From and after the execution and delivery hereof by the parties hereto, this Joinder shall constitute a “Loan Document” for all purposes of the Credit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6. The effective date of this Joinder is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Joining Party has caused this Joinder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68"/>
        <w:gridCol w:w="100"/>
        <w:gridCol w:w="3414"/>
      </w:tblGrid>
      <w:tr>
        <w:trPr/>
        <w:tc>
          <w:tcPr>
            <w:tcW w:w="56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4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[NEW SUBSIDIARY GUARANTOR]</w:t>
            </w:r>
          </w:p>
        </w:tc>
      </w:tr>
      <w:tr>
        <w:trPr>
          <w:trHeight w:val="240" w:hRule="atLeast"/>
        </w:trPr>
        <w:tc>
          <w:tcPr>
            <w:tcW w:w="568" w:type="dxa"/>
            <w:tcBorders/>
            <w:vAlign w:val="center"/>
          </w:tcPr>
          <w:p>
            <w:pPr>
              <w:pStyle w:val="TableContents"/>
              <w:bidi w:val="0"/>
              <w:spacing w:before="0" w:after="283"/>
              <w:jc w:val="left"/>
              <w:rPr>
                <w:sz w:val="4"/>
                <w:szCs w:val="4"/>
              </w:rPr>
            </w:pPr>
            <w:r>
              <w:rPr>
                <w:sz w:val="4"/>
                <w:szCs w:val="4"/>
              </w:rPr>
            </w:r>
          </w:p>
        </w:tc>
        <w:tc>
          <w:tcPr>
            <w:tcW w:w="3514"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tcPr>
          <w:p>
            <w:pPr>
              <w:pStyle w:val="TableContents"/>
              <w:bidi w:val="0"/>
              <w:spacing w:before="0" w:after="283"/>
              <w:jc w:val="left"/>
              <w:rPr/>
            </w:pPr>
            <w:r>
              <w:rPr/>
              <w:t>By:</w:t>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4" w:type="dxa"/>
            <w:tcBorders>
              <w:bottom w:val="single" w:sz="2" w:space="0" w:color="000000"/>
            </w:tcBorders>
            <w:tcMar>
              <w:bottom w:w="28" w:type="dxa"/>
            </w:tcMar>
          </w:tcPr>
          <w:p>
            <w:pPr>
              <w:pStyle w:val="TableContents"/>
              <w:bidi w:val="0"/>
              <w:spacing w:before="0" w:after="283"/>
              <w:jc w:val="left"/>
              <w:rPr/>
            </w:pPr>
            <w:r>
              <w:rPr/>
              <w:t> </w:t>
            </w:r>
          </w:p>
        </w:tc>
      </w:tr>
      <w:tr>
        <w:trPr/>
        <w:tc>
          <w:tcPr>
            <w:tcW w:w="568"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3414" w:type="dxa"/>
            <w:tcBorders/>
            <w:vAlign w:val="bottom"/>
          </w:tcPr>
          <w:p>
            <w:pPr>
              <w:pStyle w:val="TableContents"/>
              <w:bidi w:val="0"/>
              <w:spacing w:before="0" w:after="283"/>
              <w:jc w:val="left"/>
              <w:rPr/>
            </w:pPr>
            <w:r>
              <w:rPr/>
              <w:t>Name:</w:t>
            </w:r>
          </w:p>
        </w:tc>
      </w:tr>
      <w:tr>
        <w:trPr/>
        <w:tc>
          <w:tcPr>
            <w:tcW w:w="56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414"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Accepted and Acknowledged by: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57"/>
        <w:gridCol w:w="77"/>
        <w:gridCol w:w="3548"/>
      </w:tblGrid>
      <w:tr>
        <w:trPr/>
        <w:tc>
          <w:tcPr>
            <w:tcW w:w="457"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5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 OF AMERICA, N.A., </w:t>
              <w:br/>
              <w:t>as Administrative Agent</w:t>
            </w:r>
          </w:p>
        </w:tc>
      </w:tr>
      <w:tr>
        <w:trPr>
          <w:trHeight w:val="240" w:hRule="atLeast"/>
        </w:trPr>
        <w:tc>
          <w:tcPr>
            <w:tcW w:w="457" w:type="dxa"/>
            <w:tcBorders/>
            <w:vAlign w:val="center"/>
          </w:tcPr>
          <w:p>
            <w:pPr>
              <w:pStyle w:val="TableContents"/>
              <w:bidi w:val="0"/>
              <w:spacing w:before="0" w:after="283"/>
              <w:jc w:val="left"/>
              <w:rPr>
                <w:sz w:val="4"/>
                <w:szCs w:val="4"/>
              </w:rPr>
            </w:pPr>
            <w:r>
              <w:rPr>
                <w:sz w:val="4"/>
                <w:szCs w:val="4"/>
              </w:rPr>
            </w:r>
          </w:p>
        </w:tc>
        <w:tc>
          <w:tcPr>
            <w:tcW w:w="3625" w:type="dxa"/>
            <w:gridSpan w:val="2"/>
            <w:tcBorders/>
            <w:vAlign w:val="center"/>
          </w:tcPr>
          <w:p>
            <w:pPr>
              <w:pStyle w:val="TableContents"/>
              <w:bidi w:val="0"/>
              <w:spacing w:before="0" w:after="283"/>
              <w:jc w:val="left"/>
              <w:rPr>
                <w:sz w:val="4"/>
                <w:szCs w:val="4"/>
              </w:rPr>
            </w:pPr>
            <w:r>
              <w:rPr>
                <w:sz w:val="4"/>
                <w:szCs w:val="4"/>
              </w:rPr>
            </w:r>
          </w:p>
        </w:tc>
      </w:tr>
      <w:tr>
        <w:trPr/>
        <w:tc>
          <w:tcPr>
            <w:tcW w:w="457" w:type="dxa"/>
            <w:tcBorders/>
          </w:tcPr>
          <w:p>
            <w:pPr>
              <w:pStyle w:val="TableContents"/>
              <w:bidi w:val="0"/>
              <w:spacing w:before="0" w:after="283"/>
              <w:jc w:val="left"/>
              <w:rPr/>
            </w:pPr>
            <w:r>
              <w:rPr/>
              <w:t>By:</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3548" w:type="dxa"/>
            <w:tcBorders>
              <w:bottom w:val="single" w:sz="2" w:space="0" w:color="000000"/>
            </w:tcBorders>
            <w:tcMar>
              <w:bottom w:w="28" w:type="dxa"/>
            </w:tcMar>
          </w:tcPr>
          <w:p>
            <w:pPr>
              <w:pStyle w:val="TableContents"/>
              <w:bidi w:val="0"/>
              <w:spacing w:before="0" w:after="283"/>
              <w:jc w:val="left"/>
              <w:rPr/>
            </w:pPr>
            <w:r>
              <w:rPr/>
              <w:t> </w:t>
            </w:r>
          </w:p>
        </w:tc>
      </w:tr>
      <w:tr>
        <w:trPr/>
        <w:tc>
          <w:tcPr>
            <w:tcW w:w="45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3548" w:type="dxa"/>
            <w:tcBorders/>
            <w:vAlign w:val="bottom"/>
          </w:tcPr>
          <w:p>
            <w:pPr>
              <w:pStyle w:val="TableContents"/>
              <w:bidi w:val="0"/>
              <w:spacing w:before="0" w:after="283"/>
              <w:jc w:val="left"/>
              <w:rPr/>
            </w:pPr>
            <w:r>
              <w:rPr/>
              <w:t>Name:</w:t>
            </w:r>
          </w:p>
        </w:tc>
      </w:tr>
      <w:tr>
        <w:trPr/>
        <w:tc>
          <w:tcPr>
            <w:tcW w:w="457"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48"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2.02 </w:t>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COMMITTED LOAN NOTICE </w:t>
      </w:r>
    </w:p>
    <w:p>
      <w:pPr>
        <w:pStyle w:val="TextBody"/>
        <w:bidi w:val="0"/>
        <w:spacing w:before="240" w:after="0"/>
        <w:jc w:val="right"/>
        <w:rPr>
          <w:rFonts w:ascii="Times New Roman" w:hAnsi="Times New Roman"/>
          <w:sz w:val="20"/>
        </w:rPr>
      </w:pPr>
      <w:r>
        <w:rPr>
          <w:rFonts w:ascii="Times New Roman" w:hAnsi="Times New Roman"/>
          <w:sz w:val="20"/>
        </w:rPr>
        <w:t>Date:</w:t>
      </w:r>
      <w:r>
        <w:rPr>
          <w:rFonts w:ascii="Times New Roman" w:hAnsi="Times New Roman"/>
          <w:sz w:val="20"/>
          <w:u w:val="single"/>
        </w:rPr>
        <w:t xml:space="preserve">     </w:t>
      </w:r>
      <w:r>
        <w:rPr>
          <w:rFonts w:ascii="Times New Roman" w:hAnsi="Times New Roman"/>
          <w:sz w:val="20"/>
        </w:rPr>
        <w:t>, 20</w:t>
      </w:r>
      <w:r>
        <w:rPr>
          <w:rFonts w:ascii="Times New Roman" w:hAnsi="Times New Roman"/>
          <w:sz w:val="20"/>
          <w:u w:val="single"/>
        </w:rPr>
        <w:t xml:space="preserve">    </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To: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that certain Credit Agreement, dated as of July 2, 2026 (as amended, restated, extended, supplemented or otherwise modified in writing from time to time, the “</w:t>
      </w:r>
      <w:r>
        <w:rPr>
          <w:rFonts w:ascii="Times New Roman" w:hAnsi="Times New Roman"/>
          <w:sz w:val="20"/>
          <w:u w:val="single"/>
        </w:rPr>
        <w:t>Credit Agreement</w:t>
      </w:r>
      <w:r>
        <w:rPr>
          <w:rFonts w:ascii="Times New Roman" w:hAnsi="Times New Roman"/>
          <w:sz w:val="20"/>
        </w:rPr>
        <w:t>”; the terms defined therein being used herein as therein defined), among Analog Devices, Inc., a Massachusetts corporation (the “</w:t>
      </w:r>
      <w:r>
        <w:rPr>
          <w:rFonts w:ascii="Times New Roman" w:hAnsi="Times New Roman"/>
          <w:sz w:val="20"/>
          <w:u w:val="single"/>
        </w:rPr>
        <w:t>Company</w:t>
      </w:r>
      <w:r>
        <w:rPr>
          <w:rFonts w:ascii="Times New Roman" w:hAnsi="Times New Roman"/>
          <w:sz w:val="20"/>
        </w:rPr>
        <w:t xml:space="preserve">”), the Designated Borrowers party thereto, the Lenders from time to time party thereto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1. The [Company][applicable Designated Borrower] hereby requests (select one): </w:t>
      </w:r>
    </w:p>
    <w:p>
      <w:pPr>
        <w:pStyle w:val="TextBody"/>
        <w:bidi w:val="0"/>
        <w:spacing w:before="240" w:after="0"/>
        <w:jc w:val="left"/>
        <w:rPr/>
      </w:pPr>
      <w:r>
        <w:rPr>
          <w:u w:val="single"/>
        </w:rPr>
        <w:t> </w:t>
      </w:r>
      <w:r>
        <w:rPr/>
        <w:t xml:space="preserve"> </w:t>
      </w:r>
      <w:r>
        <w:rPr>
          <w:rFonts w:ascii="Times New Roman" w:hAnsi="Times New Roman"/>
          <w:sz w:val="20"/>
        </w:rPr>
        <w:t xml:space="preserve">A Committed Borrowing of Committed Loans </w:t>
      </w:r>
    </w:p>
    <w:p>
      <w:pPr>
        <w:pStyle w:val="TextBody"/>
        <w:bidi w:val="0"/>
        <w:spacing w:before="240" w:after="0"/>
        <w:jc w:val="left"/>
        <w:rPr/>
      </w:pPr>
      <w:r>
        <w:rPr>
          <w:u w:val="single"/>
        </w:rPr>
        <w:t> </w:t>
      </w:r>
      <w:r>
        <w:rPr/>
        <w:t xml:space="preserve"> </w:t>
      </w:r>
      <w:r>
        <w:rPr>
          <w:rFonts w:ascii="Times New Roman" w:hAnsi="Times New Roman"/>
          <w:sz w:val="20"/>
        </w:rPr>
        <w:t xml:space="preserve">A conversion of Committed Loans </w:t>
      </w:r>
    </w:p>
    <w:p>
      <w:pPr>
        <w:pStyle w:val="TextBody"/>
        <w:bidi w:val="0"/>
        <w:spacing w:before="240" w:after="0"/>
        <w:jc w:val="left"/>
        <w:rPr/>
      </w:pPr>
      <w:r>
        <w:rPr>
          <w:u w:val="single"/>
        </w:rPr>
        <w:t> </w:t>
      </w:r>
      <w:r>
        <w:rPr/>
        <w:t xml:space="preserve"> </w:t>
      </w:r>
      <w:r>
        <w:rPr>
          <w:rFonts w:ascii="Times New Roman" w:hAnsi="Times New Roman"/>
          <w:sz w:val="20"/>
        </w:rPr>
        <w:t xml:space="preserve">A continuation of Committed Loans for [Term SOFR Loans][Alternative Currency Term Rate Loans] </w:t>
      </w:r>
    </w:p>
    <w:p>
      <w:pPr>
        <w:pStyle w:val="TextBody"/>
        <w:bidi w:val="0"/>
        <w:spacing w:before="240" w:after="0"/>
        <w:jc w:val="left"/>
        <w:rPr>
          <w:rFonts w:ascii="Times New Roman" w:hAnsi="Times New Roman"/>
          <w:sz w:val="20"/>
        </w:rPr>
      </w:pPr>
      <w:r>
        <w:rPr>
          <w:rFonts w:ascii="Times New Roman" w:hAnsi="Times New Roman"/>
          <w:sz w:val="20"/>
        </w:rPr>
        <w:t xml:space="preserve">2. On      , 20    (a Business Day). </w:t>
      </w:r>
    </w:p>
    <w:p>
      <w:pPr>
        <w:pStyle w:val="TextBody"/>
        <w:bidi w:val="0"/>
        <w:spacing w:before="240" w:after="0"/>
        <w:jc w:val="left"/>
        <w:rPr>
          <w:rFonts w:ascii="Times New Roman" w:hAnsi="Times New Roman"/>
          <w:sz w:val="20"/>
        </w:rPr>
      </w:pPr>
      <w:r>
        <w:rPr>
          <w:rFonts w:ascii="Times New Roman" w:hAnsi="Times New Roman"/>
          <w:sz w:val="20"/>
        </w:rPr>
        <w:t>3. In the amount of $</w:t>
      </w:r>
      <w:r>
        <w:rPr>
          <w:rFonts w:ascii="Times New Roman" w:hAnsi="Times New Roman"/>
          <w:sz w:val="20"/>
          <w:u w:val="single"/>
        </w:rPr>
        <w:t xml:space="preserve">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In the following currency: </w:t>
      </w:r>
      <w:r>
        <w:rPr>
          <w:rFonts w:ascii="Times New Roman" w:hAnsi="Times New Roman"/>
          <w:sz w:val="20"/>
          <w:u w:val="single"/>
        </w:rPr>
        <w:t>    </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5. Type of Committed Loan requested or to which existing Committed Loans are to be converted or continued (for Term SOFR Loans and Alternative Currency Term Rate Loans): </w:t>
      </w:r>
    </w:p>
    <w:p>
      <w:pPr>
        <w:pStyle w:val="TextBody"/>
        <w:bidi w:val="0"/>
        <w:spacing w:before="240" w:after="0"/>
        <w:jc w:val="left"/>
        <w:rPr/>
      </w:pPr>
      <w:r>
        <w:rPr>
          <w:u w:val="single"/>
        </w:rPr>
        <w:t> </w:t>
      </w:r>
      <w:r>
        <w:rPr/>
        <w:t xml:space="preserve"> </w:t>
      </w:r>
      <w:r>
        <w:rPr>
          <w:rFonts w:ascii="Times New Roman" w:hAnsi="Times New Roman"/>
          <w:sz w:val="20"/>
        </w:rPr>
        <w:t xml:space="preserve">Base Rate Loan </w:t>
      </w:r>
    </w:p>
    <w:p>
      <w:pPr>
        <w:pStyle w:val="TextBody"/>
        <w:bidi w:val="0"/>
        <w:spacing w:before="240" w:after="0"/>
        <w:jc w:val="left"/>
        <w:rPr/>
      </w:pPr>
      <w:r>
        <w:rPr>
          <w:u w:val="single"/>
        </w:rPr>
        <w:t> </w:t>
      </w:r>
      <w:r>
        <w:rPr/>
        <w:t xml:space="preserve"> </w:t>
      </w:r>
      <w:r>
        <w:rPr>
          <w:rFonts w:ascii="Times New Roman" w:hAnsi="Times New Roman"/>
          <w:sz w:val="20"/>
        </w:rPr>
        <w:t xml:space="preserve">Term SOFR Loan </w:t>
      </w:r>
    </w:p>
    <w:p>
      <w:pPr>
        <w:pStyle w:val="TextBody"/>
        <w:bidi w:val="0"/>
        <w:spacing w:before="240" w:after="0"/>
        <w:jc w:val="left"/>
        <w:rPr/>
      </w:pPr>
      <w:r>
        <w:rPr>
          <w:u w:val="single"/>
        </w:rPr>
        <w:t> </w:t>
      </w:r>
      <w:r>
        <w:rPr/>
        <w:t xml:space="preserve"> </w:t>
      </w:r>
      <w:r>
        <w:rPr>
          <w:rFonts w:ascii="Times New Roman" w:hAnsi="Times New Roman"/>
          <w:sz w:val="20"/>
        </w:rPr>
        <w:t xml:space="preserve">Alternative Currency Daily Rate Loan </w:t>
      </w:r>
    </w:p>
    <w:p>
      <w:pPr>
        <w:pStyle w:val="TextBody"/>
        <w:bidi w:val="0"/>
        <w:spacing w:before="240" w:after="0"/>
        <w:jc w:val="left"/>
        <w:rPr/>
      </w:pPr>
      <w:r>
        <w:rPr>
          <w:u w:val="single"/>
        </w:rPr>
        <w:t> </w:t>
      </w:r>
      <w:r>
        <w:rPr/>
        <w:t xml:space="preserve"> </w:t>
      </w:r>
      <w:r>
        <w:rPr>
          <w:rFonts w:ascii="Times New Roman" w:hAnsi="Times New Roman"/>
          <w:sz w:val="20"/>
        </w:rPr>
        <w:t xml:space="preserve">Alternative Currency Term Rate Loan </w:t>
      </w:r>
    </w:p>
    <w:p>
      <w:pPr>
        <w:pStyle w:val="TextBody"/>
        <w:bidi w:val="0"/>
        <w:spacing w:before="240" w:after="0"/>
        <w:jc w:val="left"/>
        <w:rPr>
          <w:rFonts w:ascii="Times New Roman" w:hAnsi="Times New Roman"/>
          <w:sz w:val="20"/>
        </w:rPr>
      </w:pPr>
      <w:r>
        <w:rPr>
          <w:rFonts w:ascii="Times New Roman" w:hAnsi="Times New Roman"/>
          <w:sz w:val="20"/>
        </w:rPr>
        <w:t xml:space="preserve">6. For [Term SOFR Loans][Alternative Currency Term Rate Loans]: with an Interest Period of month[s].1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three or six months or, if consented to by all the Lenders, any other period of twelve months or less.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Committed Borrowing, if any, requested herein complies with (a) the provisos contained in the first sentence of </w:t>
      </w:r>
      <w:r>
        <w:rPr>
          <w:rFonts w:ascii="Times New Roman" w:hAnsi="Times New Roman"/>
          <w:sz w:val="20"/>
          <w:u w:val="single"/>
        </w:rPr>
        <w:t>Section 2.01</w:t>
      </w:r>
      <w:r>
        <w:rPr>
          <w:rFonts w:ascii="Times New Roman" w:hAnsi="Times New Roman"/>
          <w:sz w:val="20"/>
        </w:rPr>
        <w:t xml:space="preserve"> of the Credit Agreement and (b) each of the conditions set forth in </w:t>
      </w:r>
      <w:r>
        <w:rPr>
          <w:rFonts w:ascii="Times New Roman" w:hAnsi="Times New Roman"/>
          <w:sz w:val="20"/>
          <w:u w:val="single"/>
        </w:rPr>
        <w:t>Section 4.02</w:t>
      </w:r>
      <w:r>
        <w:rPr>
          <w:rFonts w:ascii="Times New Roman" w:hAnsi="Times New Roman"/>
          <w:sz w:val="20"/>
        </w:rPr>
        <w:t xml:space="preserve"> of the Credit Agreement as of the date of such Committed Borrowing.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48"/>
        <w:gridCol w:w="140"/>
        <w:gridCol w:w="2794"/>
      </w:tblGrid>
      <w:tr>
        <w:trPr/>
        <w:tc>
          <w:tcPr>
            <w:tcW w:w="114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[ANALOG DEVICES, INC., </w:t>
              <w:br/>
              <w:t>a Massachusetts corporation</w:t>
            </w:r>
          </w:p>
        </w:tc>
      </w:tr>
      <w:tr>
        <w:trPr>
          <w:trHeight w:val="240" w:hRule="atLeast"/>
        </w:trPr>
        <w:tc>
          <w:tcPr>
            <w:tcW w:w="1148" w:type="dxa"/>
            <w:tcBorders/>
            <w:vAlign w:val="center"/>
          </w:tcPr>
          <w:p>
            <w:pPr>
              <w:pStyle w:val="TableContents"/>
              <w:bidi w:val="0"/>
              <w:spacing w:before="0" w:after="283"/>
              <w:jc w:val="left"/>
              <w:rPr>
                <w:sz w:val="4"/>
                <w:szCs w:val="4"/>
              </w:rPr>
            </w:pPr>
            <w:r>
              <w:rPr>
                <w:sz w:val="4"/>
                <w:szCs w:val="4"/>
              </w:rPr>
            </w:r>
          </w:p>
        </w:tc>
        <w:tc>
          <w:tcPr>
            <w:tcW w:w="2934"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tcPr>
          <w:p>
            <w:pPr>
              <w:pStyle w:val="TableContents"/>
              <w:bidi w:val="0"/>
              <w:spacing w:before="0" w:after="283"/>
              <w:jc w:val="left"/>
              <w:rPr/>
            </w:pPr>
            <w:r>
              <w:rPr/>
              <w:t>By:</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2794" w:type="dxa"/>
            <w:tcBorders>
              <w:bottom w:val="single" w:sz="2" w:space="0" w:color="000000"/>
            </w:tcBorders>
            <w:tcMar>
              <w:bottom w:w="28" w:type="dxa"/>
            </w:tcMar>
          </w:tcPr>
          <w:p>
            <w:pPr>
              <w:pStyle w:val="TableContents"/>
              <w:bidi w:val="0"/>
              <w:spacing w:before="0" w:after="283"/>
              <w:jc w:val="left"/>
              <w:rPr/>
            </w:pPr>
            <w:r>
              <w:rPr/>
              <w:t> </w:t>
            </w:r>
          </w:p>
        </w:tc>
      </w:tr>
      <w:tr>
        <w:trPr/>
        <w:tc>
          <w:tcPr>
            <w:tcW w:w="1148" w:type="dxa"/>
            <w:tcBorders/>
            <w:vAlign w:val="bottom"/>
          </w:tcPr>
          <w:p>
            <w:pPr>
              <w:pStyle w:val="TableContents"/>
              <w:bidi w:val="0"/>
              <w:spacing w:before="0" w:after="283"/>
              <w:jc w:val="left"/>
              <w:rPr/>
            </w:pPr>
            <w:r>
              <w:rPr/>
              <w:t>Name:</w:t>
            </w:r>
          </w:p>
        </w:tc>
        <w:tc>
          <w:tcPr>
            <w:tcW w:w="140" w:type="dxa"/>
            <w:tcBorders/>
            <w:vAlign w:val="bottom"/>
          </w:tcPr>
          <w:p>
            <w:pPr>
              <w:pStyle w:val="TableContents"/>
              <w:bidi w:val="0"/>
              <w:spacing w:before="0" w:after="283"/>
              <w:jc w:val="left"/>
              <w:rPr/>
            </w:pPr>
            <w:r>
              <w:rPr/>
              <w:t> </w:t>
            </w:r>
          </w:p>
        </w:tc>
        <w:tc>
          <w:tcPr>
            <w:tcW w:w="2794" w:type="dxa"/>
            <w:tcBorders/>
            <w:vAlign w:val="bottom"/>
          </w:tcPr>
          <w:p>
            <w:pPr>
              <w:pStyle w:val="TableContents"/>
              <w:bidi w:val="0"/>
              <w:spacing w:before="0" w:after="283"/>
              <w:jc w:val="left"/>
              <w:rPr>
                <w:sz w:val="4"/>
                <w:szCs w:val="4"/>
              </w:rPr>
            </w:pPr>
            <w:r>
              <w:rPr>
                <w:sz w:val="4"/>
                <w:szCs w:val="4"/>
              </w:rPr>
            </w:r>
          </w:p>
        </w:tc>
      </w:tr>
      <w:tr>
        <w:trPr/>
        <w:tc>
          <w:tcPr>
            <w:tcW w:w="1148" w:type="dxa"/>
            <w:tcBorders/>
            <w:vAlign w:val="bottom"/>
          </w:tcPr>
          <w:p>
            <w:pPr>
              <w:pStyle w:val="TableContents"/>
              <w:bidi w:val="0"/>
              <w:spacing w:before="0" w:after="283"/>
              <w:jc w:val="left"/>
              <w:rPr/>
            </w:pPr>
            <w:r>
              <w:rPr/>
              <w:t>Title:]</w:t>
            </w:r>
          </w:p>
        </w:tc>
        <w:tc>
          <w:tcPr>
            <w:tcW w:w="140" w:type="dxa"/>
            <w:tcBorders/>
            <w:vAlign w:val="bottom"/>
          </w:tcPr>
          <w:p>
            <w:pPr>
              <w:pStyle w:val="TableContents"/>
              <w:bidi w:val="0"/>
              <w:spacing w:before="0" w:after="283"/>
              <w:jc w:val="left"/>
              <w:rPr/>
            </w:pPr>
            <w:r>
              <w:rPr/>
              <w:t> </w:t>
            </w:r>
          </w:p>
        </w:tc>
        <w:tc>
          <w:tcPr>
            <w:tcW w:w="279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21"/>
        <w:gridCol w:w="156"/>
        <w:gridCol w:w="2605"/>
      </w:tblGrid>
      <w:tr>
        <w:trPr/>
        <w:tc>
          <w:tcPr>
            <w:tcW w:w="1321"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[APPLICABLE DESIGNATED BORROWER NAME, </w:t>
              <w:br/>
              <w:t>a jurisdiction and type of organization</w:t>
            </w:r>
          </w:p>
        </w:tc>
      </w:tr>
      <w:tr>
        <w:trPr>
          <w:trHeight w:val="240" w:hRule="atLeast"/>
        </w:trPr>
        <w:tc>
          <w:tcPr>
            <w:tcW w:w="1321" w:type="dxa"/>
            <w:tcBorders/>
            <w:vAlign w:val="center"/>
          </w:tcPr>
          <w:p>
            <w:pPr>
              <w:pStyle w:val="TableContents"/>
              <w:bidi w:val="0"/>
              <w:spacing w:before="0" w:after="283"/>
              <w:jc w:val="left"/>
              <w:rPr>
                <w:sz w:val="4"/>
                <w:szCs w:val="4"/>
              </w:rPr>
            </w:pPr>
            <w:r>
              <w:rPr>
                <w:sz w:val="4"/>
                <w:szCs w:val="4"/>
              </w:rPr>
            </w:r>
          </w:p>
        </w:tc>
        <w:tc>
          <w:tcPr>
            <w:tcW w:w="2761" w:type="dxa"/>
            <w:gridSpan w:val="2"/>
            <w:tcBorders/>
            <w:vAlign w:val="center"/>
          </w:tcPr>
          <w:p>
            <w:pPr>
              <w:pStyle w:val="TableContents"/>
              <w:bidi w:val="0"/>
              <w:spacing w:before="0" w:after="283"/>
              <w:jc w:val="left"/>
              <w:rPr>
                <w:sz w:val="4"/>
                <w:szCs w:val="4"/>
              </w:rPr>
            </w:pPr>
            <w:r>
              <w:rPr>
                <w:sz w:val="4"/>
                <w:szCs w:val="4"/>
              </w:rPr>
            </w:r>
          </w:p>
        </w:tc>
      </w:tr>
      <w:tr>
        <w:trPr/>
        <w:tc>
          <w:tcPr>
            <w:tcW w:w="1321" w:type="dxa"/>
            <w:tcBorders/>
          </w:tcPr>
          <w:p>
            <w:pPr>
              <w:pStyle w:val="TableContents"/>
              <w:bidi w:val="0"/>
              <w:spacing w:before="0" w:after="283"/>
              <w:jc w:val="left"/>
              <w:rPr/>
            </w:pPr>
            <w:r>
              <w:rPr/>
              <w:t>By:</w:t>
            </w:r>
          </w:p>
        </w:tc>
        <w:tc>
          <w:tcPr>
            <w:tcW w:w="156" w:type="dxa"/>
            <w:tcBorders>
              <w:bottom w:val="single" w:sz="2" w:space="0" w:color="000000"/>
            </w:tcBorders>
            <w:tcMar>
              <w:bottom w:w="28" w:type="dxa"/>
            </w:tcMar>
            <w:vAlign w:val="bottom"/>
          </w:tcPr>
          <w:p>
            <w:pPr>
              <w:pStyle w:val="TableContents"/>
              <w:bidi w:val="0"/>
              <w:spacing w:before="0" w:after="283"/>
              <w:jc w:val="left"/>
              <w:rPr/>
            </w:pPr>
            <w:r>
              <w:rPr/>
              <w:t> </w:t>
            </w:r>
          </w:p>
        </w:tc>
        <w:tc>
          <w:tcPr>
            <w:tcW w:w="2605" w:type="dxa"/>
            <w:tcBorders>
              <w:bottom w:val="single" w:sz="2" w:space="0" w:color="000000"/>
            </w:tcBorders>
            <w:tcMar>
              <w:bottom w:w="28" w:type="dxa"/>
            </w:tcMar>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Name:</w:t>
            </w:r>
          </w:p>
        </w:tc>
        <w:tc>
          <w:tcPr>
            <w:tcW w:w="156" w:type="dxa"/>
            <w:tcBorders/>
            <w:vAlign w:val="bottom"/>
          </w:tcPr>
          <w:p>
            <w:pPr>
              <w:pStyle w:val="TableContents"/>
              <w:bidi w:val="0"/>
              <w:spacing w:before="0" w:after="283"/>
              <w:jc w:val="left"/>
              <w:rPr/>
            </w:pPr>
            <w:r>
              <w:rPr/>
              <w:t> </w:t>
            </w:r>
          </w:p>
        </w:tc>
        <w:tc>
          <w:tcPr>
            <w:tcW w:w="2605" w:type="dxa"/>
            <w:tcBorders/>
            <w:vAlign w:val="bottom"/>
          </w:tcPr>
          <w:p>
            <w:pPr>
              <w:pStyle w:val="TableContents"/>
              <w:bidi w:val="0"/>
              <w:spacing w:before="0" w:after="283"/>
              <w:jc w:val="left"/>
              <w:rPr>
                <w:sz w:val="4"/>
                <w:szCs w:val="4"/>
              </w:rPr>
            </w:pPr>
            <w:r>
              <w:rPr>
                <w:sz w:val="4"/>
                <w:szCs w:val="4"/>
              </w:rPr>
            </w:r>
          </w:p>
        </w:tc>
      </w:tr>
      <w:tr>
        <w:trPr/>
        <w:tc>
          <w:tcPr>
            <w:tcW w:w="1321" w:type="dxa"/>
            <w:tcBorders/>
            <w:vAlign w:val="bottom"/>
          </w:tcPr>
          <w:p>
            <w:pPr>
              <w:pStyle w:val="TableContents"/>
              <w:bidi w:val="0"/>
              <w:spacing w:before="0" w:after="283"/>
              <w:jc w:val="left"/>
              <w:rPr/>
            </w:pPr>
            <w:r>
              <w:rPr/>
              <w:t>Title:]</w:t>
            </w:r>
          </w:p>
        </w:tc>
        <w:tc>
          <w:tcPr>
            <w:tcW w:w="156" w:type="dxa"/>
            <w:tcBorders/>
            <w:vAlign w:val="bottom"/>
          </w:tcPr>
          <w:p>
            <w:pPr>
              <w:pStyle w:val="TableContents"/>
              <w:bidi w:val="0"/>
              <w:spacing w:before="0" w:after="283"/>
              <w:jc w:val="left"/>
              <w:rPr/>
            </w:pPr>
            <w:r>
              <w:rPr/>
              <w:t> </w:t>
            </w:r>
          </w:p>
        </w:tc>
        <w:tc>
          <w:tcPr>
            <w:tcW w:w="2605"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2.11 </w:t>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NOTE </w:t>
      </w:r>
    </w:p>
    <w:p>
      <w:pPr>
        <w:pStyle w:val="TextBody"/>
        <w:bidi w:val="0"/>
        <w:spacing w:before="240" w:after="0"/>
        <w:jc w:val="right"/>
        <w:rPr>
          <w:rFonts w:ascii="Times New Roman" w:hAnsi="Times New Roman"/>
          <w:sz w:val="20"/>
        </w:rPr>
      </w:pPr>
      <w:r>
        <w:rPr>
          <w:rFonts w:ascii="Times New Roman" w:hAnsi="Times New Roman"/>
          <w:sz w:val="20"/>
        </w:rPr>
        <w:t>Date:</w:t>
      </w:r>
      <w:r>
        <w:rPr>
          <w:rFonts w:ascii="Times New Roman" w:hAnsi="Times New Roman"/>
          <w:sz w:val="20"/>
          <w:u w:val="single"/>
        </w:rPr>
        <w:t xml:space="preserve">     </w:t>
      </w:r>
      <w:r>
        <w:rPr>
          <w:rFonts w:ascii="Times New Roman" w:hAnsi="Times New Roman"/>
          <w:sz w:val="20"/>
        </w:rPr>
        <w:t>, 20</w:t>
      </w:r>
      <w:r>
        <w:rPr>
          <w:rFonts w:ascii="Times New Roman" w:hAnsi="Times New Roman"/>
          <w:sz w:val="20"/>
          <w:u w:val="single"/>
        </w:rPr>
        <w:t xml:space="preserve">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VALUE RECEIVED, [insert name of applicable Borrower] (the “</w:t>
      </w:r>
      <w:r>
        <w:rPr>
          <w:rFonts w:ascii="Times New Roman" w:hAnsi="Times New Roman"/>
          <w:sz w:val="20"/>
          <w:u w:val="single"/>
        </w:rPr>
        <w:t>Borrower</w:t>
      </w:r>
      <w:r>
        <w:rPr>
          <w:rFonts w:ascii="Times New Roman" w:hAnsi="Times New Roman"/>
          <w:sz w:val="20"/>
        </w:rPr>
        <w:t>”) hereby promises to pay to [_______] or its registered assigns (the “</w:t>
      </w:r>
      <w:r>
        <w:rPr>
          <w:rFonts w:ascii="Times New Roman" w:hAnsi="Times New Roman"/>
          <w:sz w:val="20"/>
          <w:u w:val="single"/>
        </w:rPr>
        <w:t>Lender</w:t>
      </w:r>
      <w:r>
        <w:rPr>
          <w:rFonts w:ascii="Times New Roman" w:hAnsi="Times New Roman"/>
          <w:sz w:val="20"/>
        </w:rPr>
        <w:t>”), in accordance with the provisions of the Credit Agreement (as hereinafter defined), the principal amount of each Loan from time to time made by the Lender to the Borrower under that certain Credit Agreement, dated as of July 2, 2026 (as amended, restated, extended, supplemented or otherwise modified in writing from time to time, the “</w:t>
      </w:r>
      <w:r>
        <w:rPr>
          <w:rFonts w:ascii="Times New Roman" w:hAnsi="Times New Roman"/>
          <w:sz w:val="20"/>
          <w:u w:val="single"/>
        </w:rPr>
        <w:t>Credit Agreement</w:t>
      </w:r>
      <w:r>
        <w:rPr>
          <w:rFonts w:ascii="Times New Roman" w:hAnsi="Times New Roman"/>
          <w:sz w:val="20"/>
        </w:rPr>
        <w:t xml:space="preserve">”; the terms defined therein being used herein as therein defined), among Analog Devices, Inc., a Massachusetts corporation, the Designated Borrowers party thereto, the Lenders from time to time party thereto,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The Borrower promises to pay interest on the unpaid principal amount of each Loan from the date of such Loan until such principal amount is paid in full, at the interest rates and at the times provided in the Credit Agreement. All payments of principal and interest shall be made to the Administrative Agent for the account of the Lender in the currency in which such Loan was denominated and in Same Day Funds at the Administrative Agent’s Office for such currency. If any amount is not paid in full when due hereunder, such unpaid amount shall bear interest, to be paid upon demand, from the due date thereof until the date of actual payment (and before as well as after judgment) computed at the per annum rate set forth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Note is one of the Notes referred to in the Credit Agreement, is entitled to the benefits thereof and may be prepaid in whole or in part subject to the terms and conditions provided therein. Upon the occurrence and continuation of one or more of the Events of Default specified in the Credit Agreement, all amounts then remaining unpaid on this Note shall become, or may be declared to be, immediately due and payable all as provided in the Credit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The Borrower, for itself, its successors and assigns, hereby waives diligence, presentment, protest and demand and notice of protest, demand, dishonor and non-payment of this Note.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NOTE SHALL BE GOVERNED BY AND CONSTRUED IN ACCORDANCE WITH THE LAWS OF THE STATE OF NEW YORK.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48"/>
        <w:gridCol w:w="140"/>
        <w:gridCol w:w="2794"/>
      </w:tblGrid>
      <w:tr>
        <w:trPr/>
        <w:tc>
          <w:tcPr>
            <w:tcW w:w="114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[ANALOG DEVICES, INC., </w:t>
              <w:br/>
              <w:t>a Massachusetts corporation</w:t>
            </w:r>
          </w:p>
        </w:tc>
      </w:tr>
      <w:tr>
        <w:trPr>
          <w:trHeight w:val="240" w:hRule="atLeast"/>
        </w:trPr>
        <w:tc>
          <w:tcPr>
            <w:tcW w:w="1148" w:type="dxa"/>
            <w:tcBorders/>
            <w:vAlign w:val="center"/>
          </w:tcPr>
          <w:p>
            <w:pPr>
              <w:pStyle w:val="TableContents"/>
              <w:bidi w:val="0"/>
              <w:spacing w:before="0" w:after="283"/>
              <w:jc w:val="left"/>
              <w:rPr>
                <w:sz w:val="4"/>
                <w:szCs w:val="4"/>
              </w:rPr>
            </w:pPr>
            <w:r>
              <w:rPr>
                <w:sz w:val="4"/>
                <w:szCs w:val="4"/>
              </w:rPr>
            </w:r>
          </w:p>
        </w:tc>
        <w:tc>
          <w:tcPr>
            <w:tcW w:w="2934"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tcPr>
          <w:p>
            <w:pPr>
              <w:pStyle w:val="TableContents"/>
              <w:bidi w:val="0"/>
              <w:spacing w:before="0" w:after="283"/>
              <w:jc w:val="left"/>
              <w:rPr/>
            </w:pPr>
            <w:r>
              <w:rPr/>
              <w:t>By:</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2794" w:type="dxa"/>
            <w:tcBorders>
              <w:bottom w:val="single" w:sz="2" w:space="0" w:color="000000"/>
            </w:tcBorders>
            <w:tcMar>
              <w:bottom w:w="28" w:type="dxa"/>
            </w:tcMar>
          </w:tcPr>
          <w:p>
            <w:pPr>
              <w:pStyle w:val="TableContents"/>
              <w:bidi w:val="0"/>
              <w:spacing w:before="0" w:after="283"/>
              <w:jc w:val="left"/>
              <w:rPr/>
            </w:pPr>
            <w:r>
              <w:rPr/>
              <w:t> </w:t>
            </w:r>
          </w:p>
        </w:tc>
      </w:tr>
      <w:tr>
        <w:trPr/>
        <w:tc>
          <w:tcPr>
            <w:tcW w:w="1148" w:type="dxa"/>
            <w:tcBorders/>
            <w:vAlign w:val="bottom"/>
          </w:tcPr>
          <w:p>
            <w:pPr>
              <w:pStyle w:val="TableContents"/>
              <w:bidi w:val="0"/>
              <w:spacing w:before="0" w:after="283"/>
              <w:jc w:val="left"/>
              <w:rPr/>
            </w:pPr>
            <w:r>
              <w:rPr/>
              <w:t>Name:</w:t>
            </w:r>
          </w:p>
        </w:tc>
        <w:tc>
          <w:tcPr>
            <w:tcW w:w="140" w:type="dxa"/>
            <w:tcBorders/>
            <w:vAlign w:val="bottom"/>
          </w:tcPr>
          <w:p>
            <w:pPr>
              <w:pStyle w:val="TableContents"/>
              <w:bidi w:val="0"/>
              <w:spacing w:before="0" w:after="283"/>
              <w:jc w:val="left"/>
              <w:rPr/>
            </w:pPr>
            <w:r>
              <w:rPr/>
              <w:t> </w:t>
            </w:r>
          </w:p>
        </w:tc>
        <w:tc>
          <w:tcPr>
            <w:tcW w:w="2794" w:type="dxa"/>
            <w:tcBorders/>
            <w:vAlign w:val="bottom"/>
          </w:tcPr>
          <w:p>
            <w:pPr>
              <w:pStyle w:val="TableContents"/>
              <w:bidi w:val="0"/>
              <w:spacing w:before="0" w:after="283"/>
              <w:jc w:val="left"/>
              <w:rPr>
                <w:sz w:val="4"/>
                <w:szCs w:val="4"/>
              </w:rPr>
            </w:pPr>
            <w:r>
              <w:rPr>
                <w:sz w:val="4"/>
                <w:szCs w:val="4"/>
              </w:rPr>
            </w:r>
          </w:p>
        </w:tc>
      </w:tr>
      <w:tr>
        <w:trPr/>
        <w:tc>
          <w:tcPr>
            <w:tcW w:w="1148" w:type="dxa"/>
            <w:tcBorders/>
            <w:vAlign w:val="bottom"/>
          </w:tcPr>
          <w:p>
            <w:pPr>
              <w:pStyle w:val="TableContents"/>
              <w:bidi w:val="0"/>
              <w:spacing w:before="0" w:after="283"/>
              <w:jc w:val="left"/>
              <w:rPr/>
            </w:pPr>
            <w:r>
              <w:rPr/>
              <w:t>Title:]</w:t>
            </w:r>
          </w:p>
        </w:tc>
        <w:tc>
          <w:tcPr>
            <w:tcW w:w="140" w:type="dxa"/>
            <w:tcBorders/>
            <w:vAlign w:val="bottom"/>
          </w:tcPr>
          <w:p>
            <w:pPr>
              <w:pStyle w:val="TableContents"/>
              <w:bidi w:val="0"/>
              <w:spacing w:before="0" w:after="283"/>
              <w:jc w:val="left"/>
              <w:rPr/>
            </w:pPr>
            <w:r>
              <w:rPr/>
              <w:t> </w:t>
            </w:r>
          </w:p>
        </w:tc>
        <w:tc>
          <w:tcPr>
            <w:tcW w:w="279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21"/>
        <w:gridCol w:w="156"/>
        <w:gridCol w:w="2605"/>
      </w:tblGrid>
      <w:tr>
        <w:trPr/>
        <w:tc>
          <w:tcPr>
            <w:tcW w:w="1321"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[APPLICABLE DESIGNATED BORROWER NAME, </w:t>
              <w:br/>
              <w:t>a jurisdiction and type of organization</w:t>
            </w:r>
          </w:p>
        </w:tc>
      </w:tr>
      <w:tr>
        <w:trPr>
          <w:trHeight w:val="240" w:hRule="atLeast"/>
        </w:trPr>
        <w:tc>
          <w:tcPr>
            <w:tcW w:w="1321" w:type="dxa"/>
            <w:tcBorders/>
            <w:vAlign w:val="center"/>
          </w:tcPr>
          <w:p>
            <w:pPr>
              <w:pStyle w:val="TableContents"/>
              <w:bidi w:val="0"/>
              <w:spacing w:before="0" w:after="283"/>
              <w:jc w:val="left"/>
              <w:rPr>
                <w:sz w:val="4"/>
                <w:szCs w:val="4"/>
              </w:rPr>
            </w:pPr>
            <w:r>
              <w:rPr>
                <w:sz w:val="4"/>
                <w:szCs w:val="4"/>
              </w:rPr>
            </w:r>
          </w:p>
        </w:tc>
        <w:tc>
          <w:tcPr>
            <w:tcW w:w="2761" w:type="dxa"/>
            <w:gridSpan w:val="2"/>
            <w:tcBorders/>
            <w:vAlign w:val="center"/>
          </w:tcPr>
          <w:p>
            <w:pPr>
              <w:pStyle w:val="TableContents"/>
              <w:bidi w:val="0"/>
              <w:spacing w:before="0" w:after="283"/>
              <w:jc w:val="left"/>
              <w:rPr>
                <w:sz w:val="4"/>
                <w:szCs w:val="4"/>
              </w:rPr>
            </w:pPr>
            <w:r>
              <w:rPr>
                <w:sz w:val="4"/>
                <w:szCs w:val="4"/>
              </w:rPr>
            </w:r>
          </w:p>
        </w:tc>
      </w:tr>
      <w:tr>
        <w:trPr/>
        <w:tc>
          <w:tcPr>
            <w:tcW w:w="1321" w:type="dxa"/>
            <w:tcBorders/>
          </w:tcPr>
          <w:p>
            <w:pPr>
              <w:pStyle w:val="TableContents"/>
              <w:bidi w:val="0"/>
              <w:spacing w:before="0" w:after="283"/>
              <w:jc w:val="left"/>
              <w:rPr/>
            </w:pPr>
            <w:r>
              <w:rPr/>
              <w:t>By:</w:t>
            </w:r>
          </w:p>
        </w:tc>
        <w:tc>
          <w:tcPr>
            <w:tcW w:w="156" w:type="dxa"/>
            <w:tcBorders>
              <w:bottom w:val="single" w:sz="2" w:space="0" w:color="000000"/>
            </w:tcBorders>
            <w:tcMar>
              <w:bottom w:w="28" w:type="dxa"/>
            </w:tcMar>
            <w:vAlign w:val="bottom"/>
          </w:tcPr>
          <w:p>
            <w:pPr>
              <w:pStyle w:val="TableContents"/>
              <w:bidi w:val="0"/>
              <w:spacing w:before="0" w:after="283"/>
              <w:jc w:val="left"/>
              <w:rPr/>
            </w:pPr>
            <w:r>
              <w:rPr/>
              <w:t> </w:t>
            </w:r>
          </w:p>
        </w:tc>
        <w:tc>
          <w:tcPr>
            <w:tcW w:w="2605" w:type="dxa"/>
            <w:tcBorders>
              <w:bottom w:val="single" w:sz="2" w:space="0" w:color="000000"/>
            </w:tcBorders>
            <w:tcMar>
              <w:bottom w:w="28" w:type="dxa"/>
            </w:tcMar>
          </w:tcPr>
          <w:p>
            <w:pPr>
              <w:pStyle w:val="TableContents"/>
              <w:bidi w:val="0"/>
              <w:spacing w:before="0" w:after="283"/>
              <w:jc w:val="left"/>
              <w:rPr/>
            </w:pPr>
            <w:r>
              <w:rPr/>
              <w:t> </w:t>
            </w:r>
          </w:p>
        </w:tc>
      </w:tr>
      <w:tr>
        <w:trPr/>
        <w:tc>
          <w:tcPr>
            <w:tcW w:w="1321" w:type="dxa"/>
            <w:tcBorders/>
            <w:vAlign w:val="bottom"/>
          </w:tcPr>
          <w:p>
            <w:pPr>
              <w:pStyle w:val="TableContents"/>
              <w:bidi w:val="0"/>
              <w:spacing w:before="0" w:after="283"/>
              <w:jc w:val="left"/>
              <w:rPr/>
            </w:pPr>
            <w:r>
              <w:rPr/>
              <w:t>Name:</w:t>
            </w:r>
          </w:p>
        </w:tc>
        <w:tc>
          <w:tcPr>
            <w:tcW w:w="156" w:type="dxa"/>
            <w:tcBorders/>
            <w:vAlign w:val="bottom"/>
          </w:tcPr>
          <w:p>
            <w:pPr>
              <w:pStyle w:val="TableContents"/>
              <w:bidi w:val="0"/>
              <w:spacing w:before="0" w:after="283"/>
              <w:jc w:val="left"/>
              <w:rPr/>
            </w:pPr>
            <w:r>
              <w:rPr/>
              <w:t> </w:t>
            </w:r>
          </w:p>
        </w:tc>
        <w:tc>
          <w:tcPr>
            <w:tcW w:w="2605" w:type="dxa"/>
            <w:tcBorders/>
            <w:vAlign w:val="bottom"/>
          </w:tcPr>
          <w:p>
            <w:pPr>
              <w:pStyle w:val="TableContents"/>
              <w:bidi w:val="0"/>
              <w:spacing w:before="0" w:after="283"/>
              <w:jc w:val="left"/>
              <w:rPr>
                <w:sz w:val="4"/>
                <w:szCs w:val="4"/>
              </w:rPr>
            </w:pPr>
            <w:r>
              <w:rPr>
                <w:sz w:val="4"/>
                <w:szCs w:val="4"/>
              </w:rPr>
            </w:r>
          </w:p>
        </w:tc>
      </w:tr>
      <w:tr>
        <w:trPr/>
        <w:tc>
          <w:tcPr>
            <w:tcW w:w="1321" w:type="dxa"/>
            <w:tcBorders/>
            <w:vAlign w:val="bottom"/>
          </w:tcPr>
          <w:p>
            <w:pPr>
              <w:pStyle w:val="TableContents"/>
              <w:bidi w:val="0"/>
              <w:spacing w:before="0" w:after="283"/>
              <w:jc w:val="left"/>
              <w:rPr/>
            </w:pPr>
            <w:r>
              <w:rPr/>
              <w:t>Title:]</w:t>
            </w:r>
          </w:p>
        </w:tc>
        <w:tc>
          <w:tcPr>
            <w:tcW w:w="156" w:type="dxa"/>
            <w:tcBorders/>
            <w:vAlign w:val="bottom"/>
          </w:tcPr>
          <w:p>
            <w:pPr>
              <w:pStyle w:val="TableContents"/>
              <w:bidi w:val="0"/>
              <w:spacing w:before="0" w:after="283"/>
              <w:jc w:val="left"/>
              <w:rPr/>
            </w:pPr>
            <w:r>
              <w:rPr/>
              <w:t> </w:t>
            </w:r>
          </w:p>
        </w:tc>
        <w:tc>
          <w:tcPr>
            <w:tcW w:w="2605"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2.18(a) </w:t>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DESIGNATED BORROWER REQUEST AND ASSUMPTION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4"/>
        <w:gridCol w:w="123"/>
        <w:gridCol w:w="8538"/>
      </w:tblGrid>
      <w:tr>
        <w:trPr/>
        <w:tc>
          <w:tcPr>
            <w:tcW w:w="154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538" w:type="dxa"/>
            <w:tcBorders/>
            <w:vAlign w:val="center"/>
          </w:tcPr>
          <w:p>
            <w:pPr>
              <w:pStyle w:val="TableContents"/>
              <w:bidi w:val="0"/>
              <w:spacing w:before="0" w:after="283"/>
              <w:jc w:val="left"/>
              <w:rPr>
                <w:sz w:val="4"/>
                <w:szCs w:val="4"/>
              </w:rPr>
            </w:pPr>
            <w:r>
              <w:rPr>
                <w:sz w:val="4"/>
                <w:szCs w:val="4"/>
              </w:rPr>
            </w:r>
          </w:p>
        </w:tc>
      </w:tr>
      <w:tr>
        <w:trPr/>
        <w:tc>
          <w:tcPr>
            <w:tcW w:w="1544" w:type="dxa"/>
            <w:tcBorders/>
            <w:vAlign w:val="bottom"/>
          </w:tcPr>
          <w:p>
            <w:pPr>
              <w:pStyle w:val="TableContents"/>
              <w:bidi w:val="0"/>
              <w:spacing w:before="0" w:after="283"/>
              <w:jc w:val="left"/>
              <w:rPr/>
            </w:pPr>
            <w:r>
              <w:rPr/>
              <w:t>TO:</w:t>
            </w:r>
          </w:p>
        </w:tc>
        <w:tc>
          <w:tcPr>
            <w:tcW w:w="123" w:type="dxa"/>
            <w:tcBorders/>
            <w:vAlign w:val="bottom"/>
          </w:tcPr>
          <w:p>
            <w:pPr>
              <w:pStyle w:val="TableContents"/>
              <w:bidi w:val="0"/>
              <w:spacing w:before="0" w:after="283"/>
              <w:jc w:val="left"/>
              <w:rPr/>
            </w:pPr>
            <w:r>
              <w:rPr/>
              <w:t>  </w:t>
            </w:r>
          </w:p>
        </w:tc>
        <w:tc>
          <w:tcPr>
            <w:tcW w:w="8538" w:type="dxa"/>
            <w:tcBorders/>
            <w:vAlign w:val="bottom"/>
          </w:tcPr>
          <w:p>
            <w:pPr>
              <w:pStyle w:val="TableContents"/>
              <w:bidi w:val="0"/>
              <w:spacing w:before="0" w:after="283"/>
              <w:jc w:val="left"/>
              <w:rPr/>
            </w:pPr>
            <w:r>
              <w:rPr/>
              <w:t>Bank of America, N.A., as Administrative Agent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1"/>
        <w:gridCol w:w="122"/>
        <w:gridCol w:w="8482"/>
      </w:tblGrid>
      <w:tr>
        <w:trPr/>
        <w:tc>
          <w:tcPr>
            <w:tcW w:w="160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482" w:type="dxa"/>
            <w:tcBorders/>
            <w:vAlign w:val="center"/>
          </w:tcPr>
          <w:p>
            <w:pPr>
              <w:pStyle w:val="TableContents"/>
              <w:bidi w:val="0"/>
              <w:spacing w:before="0" w:after="283"/>
              <w:jc w:val="left"/>
              <w:rPr>
                <w:sz w:val="4"/>
                <w:szCs w:val="4"/>
              </w:rPr>
            </w:pPr>
            <w:r>
              <w:rPr>
                <w:sz w:val="4"/>
                <w:szCs w:val="4"/>
              </w:rPr>
            </w:r>
          </w:p>
        </w:tc>
      </w:tr>
      <w:tr>
        <w:trPr/>
        <w:tc>
          <w:tcPr>
            <w:tcW w:w="1601" w:type="dxa"/>
            <w:tcBorders/>
          </w:tcPr>
          <w:p>
            <w:pPr>
              <w:pStyle w:val="TableContents"/>
              <w:bidi w:val="0"/>
              <w:spacing w:before="0" w:after="283"/>
              <w:jc w:val="left"/>
              <w:rPr/>
            </w:pPr>
            <w:r>
              <w:rPr/>
              <w:t>RE:</w:t>
            </w:r>
          </w:p>
        </w:tc>
        <w:tc>
          <w:tcPr>
            <w:tcW w:w="122" w:type="dxa"/>
            <w:tcBorders/>
            <w:vAlign w:val="bottom"/>
          </w:tcPr>
          <w:p>
            <w:pPr>
              <w:pStyle w:val="TableContents"/>
              <w:bidi w:val="0"/>
              <w:spacing w:before="0" w:after="283"/>
              <w:jc w:val="left"/>
              <w:rPr/>
            </w:pPr>
            <w:r>
              <w:rPr/>
              <w:t>  </w:t>
            </w:r>
          </w:p>
        </w:tc>
        <w:tc>
          <w:tcPr>
            <w:tcW w:w="8482" w:type="dxa"/>
            <w:tcBorders/>
            <w:vAlign w:val="bottom"/>
          </w:tcPr>
          <w:p>
            <w:pPr>
              <w:pStyle w:val="TableContents"/>
              <w:bidi w:val="0"/>
              <w:spacing w:before="0" w:after="283"/>
              <w:jc w:val="left"/>
              <w:rPr/>
            </w:pPr>
            <w:r>
              <w:rPr/>
              <w:t>Credit Agreement, dated as of July 2, 2026, by and among Analog Devices, Inc., a Massachusetts corporation (the “</w:t>
            </w:r>
            <w:r>
              <w:rPr>
                <w:u w:val="single"/>
              </w:rPr>
              <w:t>Company</w:t>
            </w:r>
            <w:r>
              <w:rPr/>
              <w:t>”), the Designated Borrowers party thereto, the Lenders and Bank of America, N.A., as Administrative Agent (as amended, modified, extended, restated, replaced, or supplemented from time to time, the “</w:t>
            </w:r>
            <w:r>
              <w:rPr>
                <w:u w:val="single"/>
              </w:rPr>
              <w:t>Credit Agreement</w:t>
            </w:r>
            <w:r>
              <w:rPr/>
              <w:t>”; capitalized terms used herein and not otherwise defined shall have the meanings set forth in the Credit Agreement)</w:t>
            </w:r>
          </w:p>
        </w:tc>
      </w:tr>
      <w:tr>
        <w:trPr>
          <w:trHeight w:val="240" w:hRule="atLeast"/>
        </w:trPr>
        <w:tc>
          <w:tcPr>
            <w:tcW w:w="1601" w:type="dxa"/>
            <w:tcBorders/>
            <w:vAlign w:val="center"/>
          </w:tcPr>
          <w:p>
            <w:pPr>
              <w:pStyle w:val="TableContents"/>
              <w:bidi w:val="0"/>
              <w:spacing w:before="0" w:after="283"/>
              <w:jc w:val="left"/>
              <w:rPr>
                <w:sz w:val="4"/>
                <w:szCs w:val="4"/>
              </w:rPr>
            </w:pPr>
            <w:r>
              <w:rPr>
                <w:sz w:val="4"/>
                <w:szCs w:val="4"/>
              </w:rPr>
            </w:r>
          </w:p>
        </w:tc>
        <w:tc>
          <w:tcPr>
            <w:tcW w:w="8604" w:type="dxa"/>
            <w:gridSpan w:val="2"/>
            <w:tcBorders/>
            <w:vAlign w:val="center"/>
          </w:tcPr>
          <w:p>
            <w:pPr>
              <w:pStyle w:val="TableContents"/>
              <w:bidi w:val="0"/>
              <w:spacing w:before="0" w:after="283"/>
              <w:jc w:val="left"/>
              <w:rPr>
                <w:sz w:val="4"/>
                <w:szCs w:val="4"/>
              </w:rPr>
            </w:pPr>
            <w:r>
              <w:rPr>
                <w:sz w:val="4"/>
                <w:szCs w:val="4"/>
              </w:rPr>
            </w:r>
          </w:p>
        </w:tc>
      </w:tr>
      <w:tr>
        <w:trPr/>
        <w:tc>
          <w:tcPr>
            <w:tcW w:w="1601" w:type="dxa"/>
            <w:tcBorders/>
            <w:vAlign w:val="bottom"/>
          </w:tcPr>
          <w:p>
            <w:pPr>
              <w:pStyle w:val="TableContents"/>
              <w:bidi w:val="0"/>
              <w:spacing w:before="0" w:after="283"/>
              <w:jc w:val="left"/>
              <w:rPr/>
            </w:pPr>
            <w:r>
              <w:rPr/>
              <w:t>DATE:</w:t>
            </w:r>
          </w:p>
        </w:tc>
        <w:tc>
          <w:tcPr>
            <w:tcW w:w="122" w:type="dxa"/>
            <w:tcBorders/>
            <w:vAlign w:val="bottom"/>
          </w:tcPr>
          <w:p>
            <w:pPr>
              <w:pStyle w:val="TableContents"/>
              <w:bidi w:val="0"/>
              <w:spacing w:before="0" w:after="283"/>
              <w:jc w:val="left"/>
              <w:rPr/>
            </w:pPr>
            <w:r>
              <w:rPr/>
              <w:t>  </w:t>
            </w:r>
          </w:p>
        </w:tc>
        <w:tc>
          <w:tcPr>
            <w:tcW w:w="8482" w:type="dxa"/>
            <w:tcBorders/>
            <w:vAlign w:val="bottom"/>
          </w:tcPr>
          <w:p>
            <w:pPr>
              <w:pStyle w:val="TableContents"/>
              <w:bidi w:val="0"/>
              <w:spacing w:before="0" w:after="283"/>
              <w:jc w:val="left"/>
              <w:rPr/>
            </w:pPr>
            <w:r>
              <w:rPr/>
              <w:t>[Date]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Each of</w:t>
      </w:r>
      <w:r>
        <w:rPr>
          <w:rFonts w:ascii="Times New Roman" w:hAnsi="Times New Roman"/>
          <w:sz w:val="20"/>
          <w:u w:val="single"/>
        </w:rPr>
        <w:t xml:space="preserve">        </w:t>
      </w:r>
      <w:r>
        <w:rPr>
          <w:rFonts w:ascii="Times New Roman" w:hAnsi="Times New Roman"/>
          <w:sz w:val="20"/>
        </w:rPr>
        <w:t>(the “</w:t>
      </w:r>
      <w:r>
        <w:rPr>
          <w:rFonts w:ascii="Times New Roman" w:hAnsi="Times New Roman"/>
          <w:sz w:val="20"/>
          <w:u w:val="single"/>
        </w:rPr>
        <w:t>Designated Borrower</w:t>
      </w:r>
      <w:r>
        <w:rPr>
          <w:rFonts w:ascii="Times New Roman" w:hAnsi="Times New Roman"/>
          <w:sz w:val="20"/>
        </w:rPr>
        <w:t xml:space="preserve">”) and the Company hereby confirms, represents and warrants to the Administrative Agent and the Lenders that the Designated Borrower is a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documents required to be delivered to the Administrative Agent under </w:t>
      </w:r>
      <w:r>
        <w:rPr>
          <w:rFonts w:ascii="Times New Roman" w:hAnsi="Times New Roman"/>
          <w:sz w:val="20"/>
          <w:u w:val="single"/>
        </w:rPr>
        <w:t>Section 2.18</w:t>
      </w:r>
      <w:r>
        <w:rPr>
          <w:rFonts w:ascii="Times New Roman" w:hAnsi="Times New Roman"/>
          <w:sz w:val="20"/>
        </w:rPr>
        <w:t xml:space="preserve"> of the Credit Agreement will be furnished to the Administrative Agent in accordance with the requirements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hereby confirm that, with effect from the effective date set forth in the Designated Borrower Notice for the Designated Borrower, except as expressly set forth in the Credit Agreement, the Designated Borrower shall have obligations, duties and liabilities toward each of the other parties to the Credit Agreement identical to those which the Designated Borrower would have had if the Designated Borrower had been an original party to the Credit Agreement as a Borrower, except that, in all cases, the Designated Borrower’s obligation under the Credit Agreement shall be several and not joint. Effective as of the effective date set forth in the Designated Borrower Notice for the Designated Borrower, the Designated Borrower hereby ratifies, and agrees to be bound by, all representations and warranties, covenants, and other terms, conditions and provisions of the Credit Agreement and the other applicable Loan Documents, in each case, solely to the extent the same relate to a Subsidiary of the Company or a Borrower.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hereby request that the Designated Borrower be entitled to receive Committed Loans under the Credit Agreement, and understand, acknowledge and agree that neither the Designated Borrower nor the Company on its behalf shall have any right to request any Committed Loans for its account unless and until the date five (5) Business Days after the effective date designated by the Administrative Agent in a Designated Borrower Notice delivered to the Company and the Lenders pursuant to </w:t>
      </w:r>
      <w:r>
        <w:rPr>
          <w:rFonts w:ascii="Times New Roman" w:hAnsi="Times New Roman"/>
          <w:sz w:val="20"/>
          <w:u w:val="single"/>
        </w:rPr>
        <w:t>Section 2.18</w:t>
      </w:r>
      <w:r>
        <w:rPr>
          <w:rFonts w:ascii="Times New Roman" w:hAnsi="Times New Roman"/>
          <w:sz w:val="20"/>
        </w:rPr>
        <w:t xml:space="preserve"> of the Credit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foregoing, the Designated Borrower and the Company hereby agree as follows with the Administrative Agent, for the benefit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1. The Designated Borrower acknowledges and confirms that it has received a copy of the Credit Agreement and the schedules and exhibits thereto. The information on the schedules to the Credit Agreement is hereby supplemented (to the extent permitted under the Credit Agreement) to reflect the information shown on the attached </w:t>
      </w:r>
      <w:r>
        <w:rPr>
          <w:rFonts w:ascii="Times New Roman" w:hAnsi="Times New Roman"/>
          <w:sz w:val="20"/>
          <w:u w:val="single"/>
        </w:rPr>
        <w:t>Schedule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The Company confirms that the Credit Agreement is, and upon the Designated Borrower becoming a party thereto, shall continue to be, in full force and effect. The parties hereto confirm and agree that immediately upon the Designated Borrower becoming a Borrower, subject to the provisions of </w:t>
      </w:r>
      <w:r>
        <w:rPr>
          <w:rFonts w:ascii="Times New Roman" w:hAnsi="Times New Roman"/>
          <w:sz w:val="20"/>
          <w:u w:val="single"/>
        </w:rPr>
        <w:t>Section 2.18(b)</w:t>
      </w:r>
      <w:r>
        <w:rPr>
          <w:rFonts w:ascii="Times New Roman" w:hAnsi="Times New Roman"/>
          <w:sz w:val="20"/>
        </w:rPr>
        <w:t xml:space="preserve"> of the Credit Agreement, the term “Obligations,” as used in the Credit Agreement, shall include all obligations of the Designated Borrower under the Credit Agreement and under each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3. Each of the Company and the Designated Borrower agrees that at any time and from time to time, upon the written request of the Administrative Agent, it will execute and deliver such further documents and do such further acts as the Administrative Agent may reasonably request in accordance with the terms and conditions of the Credit Agreement and the other Loan Documents in order to effect the purposes of this Designated Borrower Request and Assumption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[4. The Designated Borrower represents and warrants to the Administrative Agent and the Lenders that: </w:t>
      </w:r>
    </w:p>
    <w:p>
      <w:pPr>
        <w:pStyle w:val="TextBody"/>
        <w:bidi w:val="0"/>
        <w:spacing w:before="120" w:after="0"/>
        <w:jc w:val="left"/>
        <w:rPr>
          <w:rFonts w:ascii="Times New Roman" w:hAnsi="Times New Roman"/>
          <w:sz w:val="20"/>
        </w:rPr>
      </w:pPr>
      <w:r>
        <w:rPr>
          <w:rFonts w:ascii="Times New Roman" w:hAnsi="Times New Roman"/>
          <w:sz w:val="20"/>
        </w:rPr>
        <w:t>(a) The Designated Borrower is subject to civil and commercial Laws with respect to its obligations under this Agreement and the other Loan Documents to which it is a party (collectively as to the Designated Borrower, the “</w:t>
      </w:r>
      <w:r>
        <w:rPr>
          <w:rFonts w:ascii="Times New Roman" w:hAnsi="Times New Roman"/>
          <w:sz w:val="20"/>
          <w:u w:val="single"/>
        </w:rPr>
        <w:t>Applicable Designated Borrower Documents</w:t>
      </w:r>
      <w:r>
        <w:rPr>
          <w:rFonts w:ascii="Times New Roman" w:hAnsi="Times New Roman"/>
          <w:sz w:val="20"/>
        </w:rPr>
        <w:t xml:space="preserve">”), and the execution, delivery and performance by the Designated Borrower of the Applicable Designated Borrower Documents constitute and will constitute private and commercial acts and not public or governmental acts. Neither the Designated Borrower nor any of its property has any immunity from jurisdiction of any court or from any legal process (whether through service or notice, attachment prior to judgment, attachment in aid of execution, execution or otherwise) under the laws of the jurisdiction in which the Designated Borrower is organized and existing in respect of its obligations under the Applicable Designated Borrower Documents. </w:t>
      </w:r>
    </w:p>
    <w:p>
      <w:pPr>
        <w:pStyle w:val="TextBody"/>
        <w:bidi w:val="0"/>
        <w:spacing w:before="120" w:after="0"/>
        <w:jc w:val="left"/>
        <w:rPr>
          <w:rFonts w:ascii="Times New Roman" w:hAnsi="Times New Roman"/>
          <w:sz w:val="20"/>
        </w:rPr>
      </w:pPr>
      <w:r>
        <w:rPr>
          <w:rFonts w:ascii="Times New Roman" w:hAnsi="Times New Roman"/>
          <w:sz w:val="20"/>
        </w:rPr>
        <w:t xml:space="preserve">(b) The Applicable Designated Borrower Documents are in proper legal form under the Laws of the jurisdiction in which the Designated Borrower is organized and existing for the enforcement thereof against the Designated Borrower under the Laws of such jurisdiction, and to ensure the legality, validity, enforceability, priority or admissibility in evidence of the Applicable Designated Borrower Documents. It is not necessary to ensure the legality, validity, enforceability, priority or admissibility in evidence of the Applicable Designated Borrower Documents that the Applicable Designated Borrower Documents be filed, registered or recorded with, or executed or notarized before, any court or other authority in the jurisdiction in which the Designated Borrower is organized and existing or that any registration charge or stamp or similar tax be paid on or in respect of the Applicable Designated Borrower Documents or any other document, except for (i) any such filing, registration, recording, execution or notarization as has been made or is not required to be made until the Applicable Designated Borrower Document or any other document is sought to be enforced and (ii) any charge or tax as has been timely paid. </w:t>
      </w:r>
    </w:p>
    <w:p>
      <w:pPr>
        <w:pStyle w:val="TextBody"/>
        <w:bidi w:val="0"/>
        <w:spacing w:before="120" w:after="0"/>
        <w:jc w:val="left"/>
        <w:rPr>
          <w:rFonts w:ascii="Times New Roman" w:hAnsi="Times New Roman"/>
          <w:sz w:val="20"/>
        </w:rPr>
      </w:pPr>
      <w:r>
        <w:rPr>
          <w:rFonts w:ascii="Times New Roman" w:hAnsi="Times New Roman"/>
          <w:sz w:val="20"/>
        </w:rPr>
        <w:t xml:space="preserve">(c) The execution, delivery and performance of the Applicable Designated Borrower Documents executed by the Designated Borrower are, under applicable foreign exchange control regulations of the jurisdiction in which the Designated Borrower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practicable).]1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if the Designated Borrower is a Foreign Borrower and to be updated pursuant to the requirements of the jurisdiction where such Designated Borrower is organized.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This Designated Borrower Request and Assumption Agreement shall constitute a Loan Document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DESIGNATED BORROWER REQUEST AND ASSUMPTION AGREEMENT SHALL BE GOVERNED BY, AND CONSTRUED AND ENFORCED IN ACCORDANCE WITH, THE LAWS </w:t>
      </w:r>
    </w:p>
    <w:p>
      <w:pPr>
        <w:pStyle w:val="TextBody"/>
        <w:bidi w:val="0"/>
        <w:spacing w:before="240" w:after="0"/>
        <w:jc w:val="left"/>
        <w:rPr>
          <w:rFonts w:ascii="Times New Roman" w:hAnsi="Times New Roman"/>
          <w:sz w:val="20"/>
        </w:rPr>
      </w:pPr>
      <w:r>
        <w:rPr>
          <w:rFonts w:ascii="Times New Roman" w:hAnsi="Times New Roman"/>
          <w:sz w:val="20"/>
        </w:rPr>
        <w:t xml:space="preserve">OF THE STATE OF NEW YORK. The terms of </w:t>
      </w:r>
      <w:r>
        <w:rPr>
          <w:rFonts w:ascii="Times New Roman" w:hAnsi="Times New Roman"/>
          <w:sz w:val="20"/>
          <w:u w:val="single"/>
        </w:rPr>
        <w:t>Sections 10.14</w:t>
      </w:r>
      <w:r>
        <w:rPr>
          <w:rFonts w:ascii="Times New Roman" w:hAnsi="Times New Roman"/>
          <w:sz w:val="20"/>
        </w:rPr>
        <w:t xml:space="preserve"> and 10.15 of the Credit Agreement are incorporated herein by reference, mutatis mutandis, and the parties hereto agree to such terms. </w:t>
      </w:r>
    </w:p>
    <w:p>
      <w:pPr>
        <w:pStyle w:val="TextBody"/>
        <w:bidi w:val="0"/>
        <w:spacing w:before="240" w:after="0"/>
        <w:jc w:val="left"/>
        <w:rPr>
          <w:rFonts w:ascii="Times New Roman" w:hAnsi="Times New Roman"/>
          <w:sz w:val="20"/>
        </w:rPr>
      </w:pPr>
      <w:r>
        <w:rPr>
          <w:rFonts w:ascii="Times New Roman" w:hAnsi="Times New Roman"/>
          <w:sz w:val="20"/>
        </w:rPr>
        <w:t xml:space="preserve">This Designated Borrower Request and Assumption Agreement may be executed in any number of counterparts, which together shall constitute one instrument. Delivery of an executed counterpart of a signature page of this Agreement by fax transmission or other electronic mail transmission (e.g. “pdf” or “tif”) shall be effective as delivery of a manually executed counterpart of this Agreement.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IN WITNESS WHEREOF</w:t>
      </w:r>
      <w:r>
        <w:rPr>
          <w:rFonts w:ascii="Times New Roman" w:hAnsi="Times New Roman"/>
          <w:sz w:val="20"/>
        </w:rPr>
        <w:t xml:space="preserve">, the parties hereto have caused this Designated Borrower Request and Assumption Agreement to be duly executed and delivered by their proper and duly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35"/>
        <w:gridCol w:w="139"/>
        <w:gridCol w:w="2808"/>
      </w:tblGrid>
      <w:tr>
        <w:trPr/>
        <w:tc>
          <w:tcPr>
            <w:tcW w:w="113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sz w:val="20"/>
              </w:rPr>
            </w:pPr>
            <w:r>
              <w:rPr>
                <w:b/>
                <w:sz w:val="20"/>
              </w:rPr>
              <w:t xml:space="preserve">[DESIGNATED BORROWER], </w:t>
              <w:br/>
              <w:t>a [jurisdiction and type of organization]</w:t>
            </w:r>
          </w:p>
        </w:tc>
      </w:tr>
      <w:tr>
        <w:trPr>
          <w:trHeight w:val="240" w:hRule="atLeast"/>
        </w:trPr>
        <w:tc>
          <w:tcPr>
            <w:tcW w:w="1135" w:type="dxa"/>
            <w:tcBorders/>
            <w:vAlign w:val="center"/>
          </w:tcPr>
          <w:p>
            <w:pPr>
              <w:pStyle w:val="TableContents"/>
              <w:bidi w:val="0"/>
              <w:spacing w:before="0" w:after="283"/>
              <w:jc w:val="left"/>
              <w:rPr>
                <w:sz w:val="4"/>
                <w:szCs w:val="4"/>
              </w:rPr>
            </w:pPr>
            <w:r>
              <w:rPr>
                <w:sz w:val="4"/>
                <w:szCs w:val="4"/>
              </w:rPr>
            </w:r>
          </w:p>
        </w:tc>
        <w:tc>
          <w:tcPr>
            <w:tcW w:w="2947"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tcPr>
          <w:p>
            <w:pPr>
              <w:pStyle w:val="TableContents"/>
              <w:bidi w:val="0"/>
              <w:spacing w:before="0" w:after="283"/>
              <w:jc w:val="left"/>
              <w:rPr/>
            </w:pPr>
            <w:r>
              <w:rPr/>
              <w:t>By:</w:t>
            </w:r>
          </w:p>
        </w:tc>
        <w:tc>
          <w:tcPr>
            <w:tcW w:w="139" w:type="dxa"/>
            <w:tcBorders>
              <w:bottom w:val="single" w:sz="2" w:space="0" w:color="000000"/>
            </w:tcBorders>
            <w:tcMar>
              <w:bottom w:w="28" w:type="dxa"/>
            </w:tcMar>
            <w:vAlign w:val="bottom"/>
          </w:tcPr>
          <w:p>
            <w:pPr>
              <w:pStyle w:val="TableContents"/>
              <w:bidi w:val="0"/>
              <w:spacing w:before="0" w:after="283"/>
              <w:jc w:val="left"/>
              <w:rPr/>
            </w:pPr>
            <w:r>
              <w:rPr/>
              <w:t> </w:t>
            </w:r>
          </w:p>
        </w:tc>
        <w:tc>
          <w:tcPr>
            <w:tcW w:w="2808" w:type="dxa"/>
            <w:tcBorders>
              <w:bottom w:val="single" w:sz="2" w:space="0" w:color="000000"/>
            </w:tcBorders>
            <w:tcMar>
              <w:bottom w:w="28" w:type="dxa"/>
            </w:tcMar>
          </w:tcPr>
          <w:p>
            <w:pPr>
              <w:pStyle w:val="TableContents"/>
              <w:bidi w:val="0"/>
              <w:spacing w:before="0" w:after="283"/>
              <w:jc w:val="left"/>
              <w:rPr/>
            </w:pPr>
            <w:r>
              <w:rPr/>
              <w:t> </w:t>
            </w:r>
          </w:p>
        </w:tc>
      </w:tr>
      <w:tr>
        <w:trPr/>
        <w:tc>
          <w:tcPr>
            <w:tcW w:w="1135" w:type="dxa"/>
            <w:tcBorders/>
            <w:vAlign w:val="bottom"/>
          </w:tcPr>
          <w:p>
            <w:pPr>
              <w:pStyle w:val="TableContents"/>
              <w:bidi w:val="0"/>
              <w:spacing w:before="0" w:after="283"/>
              <w:jc w:val="left"/>
              <w:rPr/>
            </w:pPr>
            <w:r>
              <w:rPr/>
              <w:t>Name:</w:t>
            </w:r>
          </w:p>
        </w:tc>
        <w:tc>
          <w:tcPr>
            <w:tcW w:w="139" w:type="dxa"/>
            <w:tcBorders/>
            <w:vAlign w:val="bottom"/>
          </w:tcPr>
          <w:p>
            <w:pPr>
              <w:pStyle w:val="TableContents"/>
              <w:bidi w:val="0"/>
              <w:spacing w:before="0" w:after="283"/>
              <w:jc w:val="left"/>
              <w:rPr/>
            </w:pPr>
            <w:r>
              <w:rPr/>
              <w:t> </w:t>
            </w:r>
          </w:p>
        </w:tc>
        <w:tc>
          <w:tcPr>
            <w:tcW w:w="2808" w:type="dxa"/>
            <w:tcBorders/>
            <w:vAlign w:val="bottom"/>
          </w:tcPr>
          <w:p>
            <w:pPr>
              <w:pStyle w:val="TableContents"/>
              <w:bidi w:val="0"/>
              <w:spacing w:before="0" w:after="283"/>
              <w:jc w:val="left"/>
              <w:rPr>
                <w:sz w:val="4"/>
                <w:szCs w:val="4"/>
              </w:rPr>
            </w:pPr>
            <w:r>
              <w:rPr>
                <w:sz w:val="4"/>
                <w:szCs w:val="4"/>
              </w:rPr>
            </w:r>
          </w:p>
        </w:tc>
      </w:tr>
      <w:tr>
        <w:trPr/>
        <w:tc>
          <w:tcPr>
            <w:tcW w:w="1135" w:type="dxa"/>
            <w:tcBorders/>
            <w:vAlign w:val="bottom"/>
          </w:tcPr>
          <w:p>
            <w:pPr>
              <w:pStyle w:val="TableContents"/>
              <w:bidi w:val="0"/>
              <w:spacing w:before="0" w:after="283"/>
              <w:jc w:val="left"/>
              <w:rPr/>
            </w:pPr>
            <w:r>
              <w:rPr/>
              <w:t>Title:</w:t>
            </w:r>
          </w:p>
        </w:tc>
        <w:tc>
          <w:tcPr>
            <w:tcW w:w="139" w:type="dxa"/>
            <w:tcBorders/>
            <w:vAlign w:val="bottom"/>
          </w:tcPr>
          <w:p>
            <w:pPr>
              <w:pStyle w:val="TableContents"/>
              <w:bidi w:val="0"/>
              <w:spacing w:before="0" w:after="283"/>
              <w:jc w:val="left"/>
              <w:rPr/>
            </w:pPr>
            <w:r>
              <w:rPr/>
              <w:t> </w:t>
            </w:r>
          </w:p>
        </w:tc>
        <w:tc>
          <w:tcPr>
            <w:tcW w:w="280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24"/>
        <w:gridCol w:w="117"/>
        <w:gridCol w:w="2741"/>
      </w:tblGrid>
      <w:tr>
        <w:trPr/>
        <w:tc>
          <w:tcPr>
            <w:tcW w:w="122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[ANALOG DEVICES, INC., </w:t>
              <w:br/>
              <w:t>a Massachusetts corporation</w:t>
            </w:r>
          </w:p>
        </w:tc>
      </w:tr>
      <w:tr>
        <w:trPr>
          <w:trHeight w:val="240" w:hRule="atLeast"/>
        </w:trPr>
        <w:tc>
          <w:tcPr>
            <w:tcW w:w="1224" w:type="dxa"/>
            <w:tcBorders/>
            <w:vAlign w:val="center"/>
          </w:tcPr>
          <w:p>
            <w:pPr>
              <w:pStyle w:val="TableContents"/>
              <w:bidi w:val="0"/>
              <w:spacing w:before="0" w:after="283"/>
              <w:jc w:val="left"/>
              <w:rPr>
                <w:sz w:val="4"/>
                <w:szCs w:val="4"/>
              </w:rPr>
            </w:pPr>
            <w:r>
              <w:rPr>
                <w:sz w:val="4"/>
                <w:szCs w:val="4"/>
              </w:rPr>
            </w:r>
          </w:p>
        </w:tc>
        <w:tc>
          <w:tcPr>
            <w:tcW w:w="2858" w:type="dxa"/>
            <w:gridSpan w:val="2"/>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283"/>
              <w:jc w:val="left"/>
              <w:rPr/>
            </w:pPr>
            <w:r>
              <w:rPr/>
              <w:t>By:</w:t>
            </w:r>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2741" w:type="dxa"/>
            <w:tcBorders>
              <w:bottom w:val="single" w:sz="2" w:space="0" w:color="000000"/>
            </w:tcBorders>
            <w:tcMar>
              <w:bottom w:w="28" w:type="dxa"/>
            </w:tcMar>
          </w:tcPr>
          <w:p>
            <w:pPr>
              <w:pStyle w:val="TableContents"/>
              <w:bidi w:val="0"/>
              <w:spacing w:before="0" w:after="283"/>
              <w:jc w:val="left"/>
              <w:rPr/>
            </w:pPr>
            <w:r>
              <w:rPr/>
              <w:t> </w:t>
            </w:r>
          </w:p>
        </w:tc>
      </w:tr>
      <w:tr>
        <w:trPr/>
        <w:tc>
          <w:tcPr>
            <w:tcW w:w="1224" w:type="dxa"/>
            <w:tcBorders/>
            <w:vAlign w:val="bottom"/>
          </w:tcPr>
          <w:p>
            <w:pPr>
              <w:pStyle w:val="TableContents"/>
              <w:bidi w:val="0"/>
              <w:spacing w:before="0" w:after="283"/>
              <w:jc w:val="left"/>
              <w:rPr/>
            </w:pPr>
            <w:r>
              <w:rPr/>
              <w:t>Name:</w:t>
            </w:r>
          </w:p>
        </w:tc>
        <w:tc>
          <w:tcPr>
            <w:tcW w:w="117" w:type="dxa"/>
            <w:tcBorders/>
            <w:vAlign w:val="bottom"/>
          </w:tcPr>
          <w:p>
            <w:pPr>
              <w:pStyle w:val="TableContents"/>
              <w:bidi w:val="0"/>
              <w:spacing w:before="0" w:after="283"/>
              <w:jc w:val="left"/>
              <w:rPr/>
            </w:pPr>
            <w:r>
              <w:rPr/>
              <w:t> </w:t>
            </w:r>
          </w:p>
        </w:tc>
        <w:tc>
          <w:tcPr>
            <w:tcW w:w="2741" w:type="dxa"/>
            <w:tcBorders/>
            <w:vAlign w:val="bottom"/>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bidi w:val="0"/>
              <w:spacing w:before="0" w:after="283"/>
              <w:jc w:val="left"/>
              <w:rPr/>
            </w:pPr>
            <w:r>
              <w:rPr/>
              <w:t>Title:]</w:t>
            </w:r>
          </w:p>
        </w:tc>
        <w:tc>
          <w:tcPr>
            <w:tcW w:w="117" w:type="dxa"/>
            <w:tcBorders/>
            <w:vAlign w:val="bottom"/>
          </w:tcPr>
          <w:p>
            <w:pPr>
              <w:pStyle w:val="TableContents"/>
              <w:bidi w:val="0"/>
              <w:spacing w:before="0" w:after="283"/>
              <w:jc w:val="left"/>
              <w:rPr/>
            </w:pPr>
            <w:r>
              <w:rPr/>
              <w:t> </w:t>
            </w:r>
          </w:p>
        </w:tc>
        <w:tc>
          <w:tcPr>
            <w:tcW w:w="2741"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120" w:after="0"/>
        <w:jc w:val="center"/>
        <w:rPr>
          <w:rFonts w:ascii="Times New Roman" w:hAnsi="Times New Roman"/>
          <w:b/>
          <w:sz w:val="20"/>
        </w:rPr>
      </w:pPr>
      <w:r>
        <w:rPr>
          <w:rFonts w:ascii="Times New Roman" w:hAnsi="Times New Roman"/>
          <w:b/>
          <w:sz w:val="20"/>
        </w:rPr>
        <w:t xml:space="preserve">Schedules to Credit Agreement </w:t>
      </w:r>
    </w:p>
    <w:p>
      <w:pPr>
        <w:pStyle w:val="TextBody"/>
        <w:bidi w:val="0"/>
        <w:spacing w:before="120" w:after="0"/>
        <w:jc w:val="center"/>
        <w:rPr>
          <w:rFonts w:ascii="Times New Roman" w:hAnsi="Times New Roman"/>
          <w:sz w:val="20"/>
        </w:rPr>
      </w:pPr>
      <w:r>
        <w:rPr>
          <w:rFonts w:ascii="Times New Roman" w:hAnsi="Times New Roman"/>
          <w:sz w:val="20"/>
        </w:rPr>
        <w:t xml:space="preserve">[TO BE COMPLETED BY DESIGNATED BORROWER]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2.18(b) </w:t>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DESIGNATED BORROWER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1"/>
        <w:gridCol w:w="122"/>
        <w:gridCol w:w="8482"/>
      </w:tblGrid>
      <w:tr>
        <w:trPr/>
        <w:tc>
          <w:tcPr>
            <w:tcW w:w="160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482" w:type="dxa"/>
            <w:tcBorders/>
            <w:vAlign w:val="center"/>
          </w:tcPr>
          <w:p>
            <w:pPr>
              <w:pStyle w:val="TableContents"/>
              <w:bidi w:val="0"/>
              <w:spacing w:before="0" w:after="283"/>
              <w:jc w:val="left"/>
              <w:rPr>
                <w:sz w:val="4"/>
                <w:szCs w:val="4"/>
              </w:rPr>
            </w:pPr>
            <w:r>
              <w:rPr>
                <w:sz w:val="4"/>
                <w:szCs w:val="4"/>
              </w:rPr>
            </w:r>
          </w:p>
        </w:tc>
      </w:tr>
      <w:tr>
        <w:trPr/>
        <w:tc>
          <w:tcPr>
            <w:tcW w:w="1601" w:type="dxa"/>
            <w:tcBorders/>
            <w:vAlign w:val="bottom"/>
          </w:tcPr>
          <w:p>
            <w:pPr>
              <w:pStyle w:val="TableContents"/>
              <w:bidi w:val="0"/>
              <w:spacing w:before="0" w:after="283"/>
              <w:jc w:val="left"/>
              <w:rPr/>
            </w:pPr>
            <w:r>
              <w:rPr/>
              <w:t>TO:</w:t>
            </w:r>
          </w:p>
        </w:tc>
        <w:tc>
          <w:tcPr>
            <w:tcW w:w="122" w:type="dxa"/>
            <w:tcBorders/>
            <w:vAlign w:val="bottom"/>
          </w:tcPr>
          <w:p>
            <w:pPr>
              <w:pStyle w:val="TableContents"/>
              <w:bidi w:val="0"/>
              <w:spacing w:before="0" w:after="283"/>
              <w:jc w:val="left"/>
              <w:rPr/>
            </w:pPr>
            <w:r>
              <w:rPr/>
              <w:t>  </w:t>
            </w:r>
          </w:p>
        </w:tc>
        <w:tc>
          <w:tcPr>
            <w:tcW w:w="8482" w:type="dxa"/>
            <w:tcBorders/>
            <w:vAlign w:val="bottom"/>
          </w:tcPr>
          <w:p>
            <w:pPr>
              <w:pStyle w:val="TableContents"/>
              <w:bidi w:val="0"/>
              <w:spacing w:before="0" w:after="283"/>
              <w:jc w:val="left"/>
              <w:rPr/>
            </w:pPr>
            <w:r>
              <w:rPr/>
              <w:t>Bank of America, N.A., as Administrative Agent</w:t>
            </w:r>
          </w:p>
        </w:tc>
      </w:tr>
      <w:tr>
        <w:trPr>
          <w:trHeight w:val="240" w:hRule="atLeast"/>
        </w:trPr>
        <w:tc>
          <w:tcPr>
            <w:tcW w:w="1601" w:type="dxa"/>
            <w:tcBorders/>
            <w:vAlign w:val="center"/>
          </w:tcPr>
          <w:p>
            <w:pPr>
              <w:pStyle w:val="TableContents"/>
              <w:bidi w:val="0"/>
              <w:spacing w:before="0" w:after="283"/>
              <w:jc w:val="left"/>
              <w:rPr>
                <w:sz w:val="4"/>
                <w:szCs w:val="4"/>
              </w:rPr>
            </w:pPr>
            <w:r>
              <w:rPr>
                <w:sz w:val="4"/>
                <w:szCs w:val="4"/>
              </w:rPr>
            </w:r>
          </w:p>
        </w:tc>
        <w:tc>
          <w:tcPr>
            <w:tcW w:w="8604" w:type="dxa"/>
            <w:gridSpan w:val="2"/>
            <w:tcBorders/>
            <w:vAlign w:val="center"/>
          </w:tcPr>
          <w:p>
            <w:pPr>
              <w:pStyle w:val="TableContents"/>
              <w:bidi w:val="0"/>
              <w:spacing w:before="0" w:after="283"/>
              <w:jc w:val="left"/>
              <w:rPr>
                <w:sz w:val="4"/>
                <w:szCs w:val="4"/>
              </w:rPr>
            </w:pPr>
            <w:r>
              <w:rPr>
                <w:sz w:val="4"/>
                <w:szCs w:val="4"/>
              </w:rPr>
            </w:r>
          </w:p>
        </w:tc>
      </w:tr>
      <w:tr>
        <w:trPr/>
        <w:tc>
          <w:tcPr>
            <w:tcW w:w="1601" w:type="dxa"/>
            <w:tcBorders/>
          </w:tcPr>
          <w:p>
            <w:pPr>
              <w:pStyle w:val="TableContents"/>
              <w:bidi w:val="0"/>
              <w:spacing w:before="0" w:after="283"/>
              <w:jc w:val="left"/>
              <w:rPr/>
            </w:pPr>
            <w:r>
              <w:rPr/>
              <w:t>RE:</w:t>
            </w:r>
          </w:p>
        </w:tc>
        <w:tc>
          <w:tcPr>
            <w:tcW w:w="122" w:type="dxa"/>
            <w:tcBorders/>
            <w:vAlign w:val="bottom"/>
          </w:tcPr>
          <w:p>
            <w:pPr>
              <w:pStyle w:val="TableContents"/>
              <w:bidi w:val="0"/>
              <w:spacing w:before="0" w:after="283"/>
              <w:jc w:val="left"/>
              <w:rPr/>
            </w:pPr>
            <w:r>
              <w:rPr/>
              <w:t>  </w:t>
            </w:r>
          </w:p>
        </w:tc>
        <w:tc>
          <w:tcPr>
            <w:tcW w:w="8482" w:type="dxa"/>
            <w:tcBorders/>
            <w:vAlign w:val="bottom"/>
          </w:tcPr>
          <w:p>
            <w:pPr>
              <w:pStyle w:val="TableContents"/>
              <w:bidi w:val="0"/>
              <w:spacing w:before="0" w:after="283"/>
              <w:jc w:val="left"/>
              <w:rPr/>
            </w:pPr>
            <w:r>
              <w:rPr/>
              <w:t>Credit Agreement, dated as of July 2, 2026, by and among Analog Devices, Inc., a Massachusetts corporation (the “</w:t>
            </w:r>
            <w:r>
              <w:rPr>
                <w:u w:val="single"/>
              </w:rPr>
              <w:t>Company</w:t>
            </w:r>
            <w:r>
              <w:rPr/>
              <w:t>”), the Designated Borrowers, the Lenders and Bank of America, N.A., as Administrative Agent (as amended, modified, extended, restated, replaced, or supplemented from time to time, the “</w:t>
            </w:r>
            <w:r>
              <w:rPr>
                <w:u w:val="single"/>
              </w:rPr>
              <w:t>Credit Agreement</w:t>
            </w:r>
            <w:r>
              <w:rPr/>
              <w:t>”; capitalized terms used herein and not otherwise defined shall have the meanings set forth in the Credit Agreement)</w:t>
            </w:r>
          </w:p>
        </w:tc>
      </w:tr>
      <w:tr>
        <w:trPr>
          <w:trHeight w:val="240" w:hRule="atLeast"/>
        </w:trPr>
        <w:tc>
          <w:tcPr>
            <w:tcW w:w="1601" w:type="dxa"/>
            <w:tcBorders/>
            <w:vAlign w:val="center"/>
          </w:tcPr>
          <w:p>
            <w:pPr>
              <w:pStyle w:val="TableContents"/>
              <w:bidi w:val="0"/>
              <w:spacing w:before="0" w:after="283"/>
              <w:jc w:val="left"/>
              <w:rPr>
                <w:sz w:val="4"/>
                <w:szCs w:val="4"/>
              </w:rPr>
            </w:pPr>
            <w:r>
              <w:rPr>
                <w:sz w:val="4"/>
                <w:szCs w:val="4"/>
              </w:rPr>
            </w:r>
          </w:p>
        </w:tc>
        <w:tc>
          <w:tcPr>
            <w:tcW w:w="8604" w:type="dxa"/>
            <w:gridSpan w:val="2"/>
            <w:tcBorders/>
            <w:vAlign w:val="center"/>
          </w:tcPr>
          <w:p>
            <w:pPr>
              <w:pStyle w:val="TableContents"/>
              <w:bidi w:val="0"/>
              <w:spacing w:before="0" w:after="283"/>
              <w:jc w:val="left"/>
              <w:rPr>
                <w:sz w:val="4"/>
                <w:szCs w:val="4"/>
              </w:rPr>
            </w:pPr>
            <w:r>
              <w:rPr>
                <w:sz w:val="4"/>
                <w:szCs w:val="4"/>
              </w:rPr>
            </w:r>
          </w:p>
        </w:tc>
      </w:tr>
      <w:tr>
        <w:trPr/>
        <w:tc>
          <w:tcPr>
            <w:tcW w:w="1601" w:type="dxa"/>
            <w:tcBorders/>
            <w:vAlign w:val="bottom"/>
          </w:tcPr>
          <w:p>
            <w:pPr>
              <w:pStyle w:val="TableContents"/>
              <w:bidi w:val="0"/>
              <w:spacing w:before="0" w:after="283"/>
              <w:jc w:val="left"/>
              <w:rPr/>
            </w:pPr>
            <w:r>
              <w:rPr/>
              <w:t>DATE:</w:t>
            </w:r>
          </w:p>
        </w:tc>
        <w:tc>
          <w:tcPr>
            <w:tcW w:w="122" w:type="dxa"/>
            <w:tcBorders/>
            <w:vAlign w:val="bottom"/>
          </w:tcPr>
          <w:p>
            <w:pPr>
              <w:pStyle w:val="TableContents"/>
              <w:bidi w:val="0"/>
              <w:spacing w:before="0" w:after="283"/>
              <w:jc w:val="left"/>
              <w:rPr/>
            </w:pPr>
            <w:r>
              <w:rPr/>
              <w:t>  </w:t>
            </w:r>
          </w:p>
        </w:tc>
        <w:tc>
          <w:tcPr>
            <w:tcW w:w="8482" w:type="dxa"/>
            <w:tcBorders/>
            <w:vAlign w:val="bottom"/>
          </w:tcPr>
          <w:p>
            <w:pPr>
              <w:pStyle w:val="TableContents"/>
              <w:bidi w:val="0"/>
              <w:spacing w:before="0" w:after="283"/>
              <w:jc w:val="left"/>
              <w:rPr/>
            </w:pPr>
            <w:r>
              <w:rPr/>
              <w:t>[Date]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The Administrative Agent hereby notifies Company and the Lenders that effective as of the date hereof [</w:t>
      </w:r>
      <w:r>
        <w:rPr>
          <w:rFonts w:ascii="Times New Roman" w:hAnsi="Times New Roman"/>
          <w:sz w:val="20"/>
          <w:u w:val="single"/>
        </w:rPr>
        <w:t xml:space="preserve">         </w:t>
      </w:r>
      <w:r>
        <w:rPr>
          <w:rFonts w:ascii="Times New Roman" w:hAnsi="Times New Roman"/>
          <w:sz w:val="20"/>
        </w:rPr>
        <w:t xml:space="preserve">] shall be a Designated Borrower and may receive Committed Loans for its account on the terms and conditions set forth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Designated Borrower Notice shall constitute a Loan Document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Delivery of an executed counterpart of a signature page of this Certificate by fax transmission or other electronic mail transmission (e.g. “pdf” or “tif”) shall be effective as delivery of a manually executed counterpart of this Certificate.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85"/>
        <w:gridCol w:w="144"/>
        <w:gridCol w:w="2753"/>
      </w:tblGrid>
      <w:tr>
        <w:trPr/>
        <w:tc>
          <w:tcPr>
            <w:tcW w:w="118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BANK OF AMERICA, N.A.,</w:t>
              <w:br/>
              <w:t>as Administrative Agent</w:t>
            </w:r>
          </w:p>
        </w:tc>
      </w:tr>
      <w:tr>
        <w:trPr>
          <w:trHeight w:val="240" w:hRule="atLeast"/>
        </w:trPr>
        <w:tc>
          <w:tcPr>
            <w:tcW w:w="1185" w:type="dxa"/>
            <w:tcBorders/>
            <w:vAlign w:val="center"/>
          </w:tcPr>
          <w:p>
            <w:pPr>
              <w:pStyle w:val="TableContents"/>
              <w:bidi w:val="0"/>
              <w:spacing w:before="0" w:after="283"/>
              <w:jc w:val="left"/>
              <w:rPr>
                <w:sz w:val="4"/>
                <w:szCs w:val="4"/>
              </w:rPr>
            </w:pPr>
            <w:r>
              <w:rPr>
                <w:sz w:val="4"/>
                <w:szCs w:val="4"/>
              </w:rPr>
            </w:r>
          </w:p>
        </w:tc>
        <w:tc>
          <w:tcPr>
            <w:tcW w:w="2897" w:type="dxa"/>
            <w:gridSpan w:val="2"/>
            <w:tcBorders/>
            <w:vAlign w:val="center"/>
          </w:tcPr>
          <w:p>
            <w:pPr>
              <w:pStyle w:val="TableContents"/>
              <w:bidi w:val="0"/>
              <w:spacing w:before="0" w:after="283"/>
              <w:jc w:val="left"/>
              <w:rPr>
                <w:sz w:val="4"/>
                <w:szCs w:val="4"/>
              </w:rPr>
            </w:pPr>
            <w:r>
              <w:rPr>
                <w:sz w:val="4"/>
                <w:szCs w:val="4"/>
              </w:rPr>
            </w:r>
          </w:p>
        </w:tc>
      </w:tr>
      <w:tr>
        <w:trPr/>
        <w:tc>
          <w:tcPr>
            <w:tcW w:w="1185" w:type="dxa"/>
            <w:tcBorders/>
          </w:tcPr>
          <w:p>
            <w:pPr>
              <w:pStyle w:val="TableContents"/>
              <w:bidi w:val="0"/>
              <w:spacing w:before="0" w:after="283"/>
              <w:jc w:val="left"/>
              <w:rPr/>
            </w:pPr>
            <w:r>
              <w:rPr/>
              <w:t>By:</w:t>
            </w:r>
          </w:p>
        </w:tc>
        <w:tc>
          <w:tcPr>
            <w:tcW w:w="144" w:type="dxa"/>
            <w:tcBorders>
              <w:bottom w:val="single" w:sz="2" w:space="0" w:color="000000"/>
            </w:tcBorders>
            <w:tcMar>
              <w:bottom w:w="28" w:type="dxa"/>
            </w:tcMar>
            <w:vAlign w:val="bottom"/>
          </w:tcPr>
          <w:p>
            <w:pPr>
              <w:pStyle w:val="TableContents"/>
              <w:bidi w:val="0"/>
              <w:spacing w:before="0" w:after="283"/>
              <w:jc w:val="left"/>
              <w:rPr/>
            </w:pPr>
            <w:r>
              <w:rPr/>
              <w:t> </w:t>
            </w:r>
          </w:p>
        </w:tc>
        <w:tc>
          <w:tcPr>
            <w:tcW w:w="2753" w:type="dxa"/>
            <w:tcBorders>
              <w:bottom w:val="single" w:sz="2" w:space="0" w:color="000000"/>
            </w:tcBorders>
            <w:tcMar>
              <w:bottom w:w="28" w:type="dxa"/>
            </w:tcMar>
          </w:tcPr>
          <w:p>
            <w:pPr>
              <w:pStyle w:val="TableContents"/>
              <w:bidi w:val="0"/>
              <w:spacing w:before="0" w:after="283"/>
              <w:jc w:val="left"/>
              <w:rPr/>
            </w:pPr>
            <w:r>
              <w:rPr/>
              <w:t> </w:t>
            </w:r>
          </w:p>
        </w:tc>
      </w:tr>
      <w:tr>
        <w:trPr/>
        <w:tc>
          <w:tcPr>
            <w:tcW w:w="1185" w:type="dxa"/>
            <w:tcBorders/>
            <w:vAlign w:val="bottom"/>
          </w:tcPr>
          <w:p>
            <w:pPr>
              <w:pStyle w:val="TableContents"/>
              <w:bidi w:val="0"/>
              <w:spacing w:before="0" w:after="283"/>
              <w:jc w:val="left"/>
              <w:rPr/>
            </w:pPr>
            <w:r>
              <w:rPr/>
              <w:t>Name:</w:t>
            </w:r>
          </w:p>
        </w:tc>
        <w:tc>
          <w:tcPr>
            <w:tcW w:w="144" w:type="dxa"/>
            <w:tcBorders>
              <w:bottom w:val="single" w:sz="2" w:space="0" w:color="000000"/>
            </w:tcBorders>
            <w:tcMar>
              <w:bottom w:w="28" w:type="dxa"/>
            </w:tcMar>
            <w:vAlign w:val="bottom"/>
          </w:tcPr>
          <w:p>
            <w:pPr>
              <w:pStyle w:val="TableContents"/>
              <w:bidi w:val="0"/>
              <w:spacing w:before="0" w:after="283"/>
              <w:jc w:val="left"/>
              <w:rPr/>
            </w:pPr>
            <w:r>
              <w:rPr/>
              <w:t> </w:t>
            </w:r>
          </w:p>
        </w:tc>
        <w:tc>
          <w:tcPr>
            <w:tcW w:w="275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185" w:type="dxa"/>
            <w:tcBorders/>
            <w:vAlign w:val="bottom"/>
          </w:tcPr>
          <w:p>
            <w:pPr>
              <w:pStyle w:val="TableContents"/>
              <w:bidi w:val="0"/>
              <w:spacing w:before="0" w:after="283"/>
              <w:jc w:val="left"/>
              <w:rPr/>
            </w:pPr>
            <w:r>
              <w:rPr/>
              <w:t>Title:</w:t>
            </w:r>
          </w:p>
        </w:tc>
        <w:tc>
          <w:tcPr>
            <w:tcW w:w="144" w:type="dxa"/>
            <w:tcBorders>
              <w:bottom w:val="single" w:sz="2" w:space="0" w:color="000000"/>
            </w:tcBorders>
            <w:tcMar>
              <w:bottom w:w="28" w:type="dxa"/>
            </w:tcMar>
            <w:vAlign w:val="bottom"/>
          </w:tcPr>
          <w:p>
            <w:pPr>
              <w:pStyle w:val="TableContents"/>
              <w:bidi w:val="0"/>
              <w:spacing w:before="0" w:after="283"/>
              <w:jc w:val="left"/>
              <w:rPr/>
            </w:pPr>
            <w:r>
              <w:rPr/>
              <w:t> </w:t>
            </w:r>
          </w:p>
        </w:tc>
        <w:tc>
          <w:tcPr>
            <w:tcW w:w="2753"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3.01(A) </w:t>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240" w:after="0"/>
        <w:jc w:val="left"/>
        <w:rPr>
          <w:rFonts w:ascii="Times New Roman" w:hAnsi="Times New Roman"/>
          <w:sz w:val="20"/>
        </w:rPr>
      </w:pPr>
      <w:r>
        <w:rPr>
          <w:rFonts w:ascii="Times New Roman" w:hAnsi="Times New Roman"/>
          <w:sz w:val="20"/>
        </w:rPr>
        <w:t xml:space="preserve">(For Foreign Lenders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Credit Agreement, dated as of July 2, 2026 (as amended, supplemented or otherwise modified from time to time, the “</w:t>
      </w:r>
      <w:r>
        <w:rPr>
          <w:rFonts w:ascii="Times New Roman" w:hAnsi="Times New Roman"/>
          <w:sz w:val="20"/>
          <w:u w:val="single"/>
        </w:rPr>
        <w:t>Credit Agreement</w:t>
      </w:r>
      <w:r>
        <w:rPr>
          <w:rFonts w:ascii="Times New Roman" w:hAnsi="Times New Roman"/>
          <w:sz w:val="20"/>
        </w:rPr>
        <w:t>”), among Analog Devices, Inc., a Massachusetts corporation (the “</w:t>
      </w:r>
      <w:r>
        <w:rPr>
          <w:rFonts w:ascii="Times New Roman" w:hAnsi="Times New Roman"/>
          <w:sz w:val="20"/>
          <w:u w:val="single"/>
        </w:rPr>
        <w:t>Company</w:t>
      </w:r>
      <w:r>
        <w:rPr>
          <w:rFonts w:ascii="Times New Roman" w:hAnsi="Times New Roman"/>
          <w:sz w:val="20"/>
        </w:rPr>
        <w:t xml:space="preserve">”), the Designated Borrowers party thereto, the Lenders identified therein,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w:t>
      </w:r>
      <w:r>
        <w:rPr>
          <w:rFonts w:ascii="Times New Roman" w:hAnsi="Times New Roman"/>
          <w:sz w:val="20"/>
          <w:u w:val="single"/>
        </w:rPr>
        <w:t>Section 3.01(e)</w:t>
      </w:r>
      <w:r>
        <w:rPr>
          <w:rFonts w:ascii="Times New Roman" w:hAnsi="Times New Roman"/>
          <w:sz w:val="20"/>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“10 percent shareholder” of the Company within the meaning of Section 881(c)(3)(B) of the Code and (iv) it is not a “controlled foreign corporation” related to the Company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24"/>
        <w:gridCol w:w="60"/>
        <w:gridCol w:w="3398"/>
      </w:tblGrid>
      <w:tr>
        <w:trPr/>
        <w:tc>
          <w:tcPr>
            <w:tcW w:w="6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OF LENDER]</w:t>
            </w:r>
          </w:p>
        </w:tc>
      </w:tr>
      <w:tr>
        <w:trPr>
          <w:trHeight w:val="240" w:hRule="atLeast"/>
        </w:trPr>
        <w:tc>
          <w:tcPr>
            <w:tcW w:w="624" w:type="dxa"/>
            <w:tcBorders/>
            <w:vAlign w:val="center"/>
          </w:tcPr>
          <w:p>
            <w:pPr>
              <w:pStyle w:val="TableContents"/>
              <w:bidi w:val="0"/>
              <w:spacing w:before="0" w:after="283"/>
              <w:jc w:val="left"/>
              <w:rPr>
                <w:sz w:val="4"/>
                <w:szCs w:val="4"/>
              </w:rPr>
            </w:pPr>
            <w:r>
              <w:rPr>
                <w:sz w:val="4"/>
                <w:szCs w:val="4"/>
              </w:rPr>
            </w:r>
          </w:p>
        </w:tc>
        <w:tc>
          <w:tcPr>
            <w:tcW w:w="3458"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8" w:type="dxa"/>
            <w:tcBorders>
              <w:bottom w:val="single" w:sz="2" w:space="0" w:color="000000"/>
            </w:tcBorders>
            <w:tcMar>
              <w:bottom w:w="28" w:type="dxa"/>
            </w:tcMar>
          </w:tcPr>
          <w:p>
            <w:pPr>
              <w:pStyle w:val="TableContents"/>
              <w:bidi w:val="0"/>
              <w:spacing w:before="0" w:after="283"/>
              <w:jc w:val="left"/>
              <w:rPr/>
            </w:pPr>
            <w:r>
              <w:rPr/>
              <w:t> </w:t>
            </w:r>
          </w:p>
        </w:tc>
      </w:tr>
      <w:tr>
        <w:trPr/>
        <w:tc>
          <w:tcPr>
            <w:tcW w:w="62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2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24" w:type="dxa"/>
            <w:tcBorders/>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60" w:type="dxa"/>
            <w:tcBorders/>
            <w:vAlign w:val="bottom"/>
          </w:tcPr>
          <w:p>
            <w:pPr>
              <w:pStyle w:val="TableContents"/>
              <w:bidi w:val="0"/>
              <w:spacing w:before="0" w:after="283"/>
              <w:jc w:val="left"/>
              <w:rPr/>
            </w:pPr>
            <w:r>
              <w:rPr/>
              <w:t> </w:t>
            </w:r>
          </w:p>
        </w:tc>
        <w:tc>
          <w:tcPr>
            <w:tcW w:w="3398" w:type="dxa"/>
            <w:tcBorders/>
            <w:vAlign w:val="bottom"/>
          </w:tcPr>
          <w:p>
            <w:pPr>
              <w:pStyle w:val="TableContents"/>
              <w:bidi w:val="0"/>
              <w:spacing w:before="0" w:after="283"/>
              <w:jc w:val="left"/>
              <w:rPr/>
            </w:pPr>
            <w:r>
              <w:rPr>
                <w:u w:val="single"/>
              </w:rPr>
              <w:t>     </w:t>
            </w:r>
            <w:r>
              <w:rPr/>
              <w:t>, 20</w:t>
            </w:r>
            <w:r>
              <w:rPr>
                <w:u w:val="single"/>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3.01(B) </w:t>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240" w:after="0"/>
        <w:jc w:val="left"/>
        <w:rPr>
          <w:rFonts w:ascii="Times New Roman" w:hAnsi="Times New Roman"/>
          <w:sz w:val="20"/>
        </w:rPr>
      </w:pPr>
      <w:r>
        <w:rPr>
          <w:rFonts w:ascii="Times New Roman" w:hAnsi="Times New Roman"/>
          <w:sz w:val="20"/>
        </w:rPr>
        <w:t xml:space="preserve">(For Foreign Participants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Credit Agreement, dated as of July 2, 2026 (as amended, supplemented or otherwise modified from time to time, the “</w:t>
      </w:r>
      <w:r>
        <w:rPr>
          <w:rFonts w:ascii="Times New Roman" w:hAnsi="Times New Roman"/>
          <w:sz w:val="20"/>
          <w:u w:val="single"/>
        </w:rPr>
        <w:t>Credit Agreement</w:t>
      </w:r>
      <w:r>
        <w:rPr>
          <w:rFonts w:ascii="Times New Roman" w:hAnsi="Times New Roman"/>
          <w:sz w:val="20"/>
        </w:rPr>
        <w:t>”), among Analog Devices, Inc., a Massachusetts corporation (the “</w:t>
      </w:r>
      <w:r>
        <w:rPr>
          <w:rFonts w:ascii="Times New Roman" w:hAnsi="Times New Roman"/>
          <w:sz w:val="20"/>
          <w:u w:val="single"/>
        </w:rPr>
        <w:t>Company</w:t>
      </w:r>
      <w:r>
        <w:rPr>
          <w:rFonts w:ascii="Times New Roman" w:hAnsi="Times New Roman"/>
          <w:sz w:val="20"/>
        </w:rPr>
        <w:t xml:space="preserve">”), the Designated Borrowers party thereto, the Lenders identified therein,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w:t>
      </w:r>
      <w:r>
        <w:rPr>
          <w:rFonts w:ascii="Times New Roman" w:hAnsi="Times New Roman"/>
          <w:sz w:val="20"/>
          <w:u w:val="single"/>
        </w:rPr>
        <w:t>Section 3.01(e)</w:t>
      </w:r>
      <w:r>
        <w:rPr>
          <w:rFonts w:ascii="Times New Roman" w:hAnsi="Times New Roman"/>
          <w:sz w:val="20"/>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“10 percent shareholder” of the Company within the meaning of Section 881(c)(3)(B) of the Code, and (iv) it is not a “controlled foreign corporation” related to the Company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24"/>
        <w:gridCol w:w="60"/>
        <w:gridCol w:w="3398"/>
      </w:tblGrid>
      <w:tr>
        <w:trPr/>
        <w:tc>
          <w:tcPr>
            <w:tcW w:w="6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OF PARTICIPANT]</w:t>
            </w:r>
          </w:p>
        </w:tc>
      </w:tr>
      <w:tr>
        <w:trPr>
          <w:trHeight w:val="240" w:hRule="atLeast"/>
        </w:trPr>
        <w:tc>
          <w:tcPr>
            <w:tcW w:w="624" w:type="dxa"/>
            <w:tcBorders/>
            <w:vAlign w:val="center"/>
          </w:tcPr>
          <w:p>
            <w:pPr>
              <w:pStyle w:val="TableContents"/>
              <w:bidi w:val="0"/>
              <w:spacing w:before="0" w:after="283"/>
              <w:jc w:val="left"/>
              <w:rPr>
                <w:sz w:val="4"/>
                <w:szCs w:val="4"/>
              </w:rPr>
            </w:pPr>
            <w:r>
              <w:rPr>
                <w:sz w:val="4"/>
                <w:szCs w:val="4"/>
              </w:rPr>
            </w:r>
          </w:p>
        </w:tc>
        <w:tc>
          <w:tcPr>
            <w:tcW w:w="3458"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8" w:type="dxa"/>
            <w:tcBorders>
              <w:bottom w:val="single" w:sz="2" w:space="0" w:color="000000"/>
            </w:tcBorders>
            <w:tcMar>
              <w:bottom w:w="28" w:type="dxa"/>
            </w:tcMar>
          </w:tcPr>
          <w:p>
            <w:pPr>
              <w:pStyle w:val="TableContents"/>
              <w:bidi w:val="0"/>
              <w:spacing w:before="0" w:after="283"/>
              <w:jc w:val="left"/>
              <w:rPr/>
            </w:pPr>
            <w:r>
              <w:rPr/>
              <w:t> </w:t>
            </w:r>
          </w:p>
        </w:tc>
      </w:tr>
      <w:tr>
        <w:trPr/>
        <w:tc>
          <w:tcPr>
            <w:tcW w:w="62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2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24" w:type="dxa"/>
            <w:tcBorders/>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60" w:type="dxa"/>
            <w:tcBorders/>
            <w:vAlign w:val="bottom"/>
          </w:tcPr>
          <w:p>
            <w:pPr>
              <w:pStyle w:val="TableContents"/>
              <w:bidi w:val="0"/>
              <w:spacing w:before="0" w:after="283"/>
              <w:jc w:val="left"/>
              <w:rPr/>
            </w:pPr>
            <w:r>
              <w:rPr/>
              <w:t> </w:t>
            </w:r>
          </w:p>
        </w:tc>
        <w:tc>
          <w:tcPr>
            <w:tcW w:w="3398" w:type="dxa"/>
            <w:tcBorders/>
            <w:vAlign w:val="bottom"/>
          </w:tcPr>
          <w:p>
            <w:pPr>
              <w:pStyle w:val="TableContents"/>
              <w:bidi w:val="0"/>
              <w:spacing w:before="0" w:after="283"/>
              <w:jc w:val="left"/>
              <w:rPr/>
            </w:pPr>
            <w:r>
              <w:rPr>
                <w:u w:val="single"/>
              </w:rPr>
              <w:t>     </w:t>
            </w:r>
            <w:r>
              <w:rPr/>
              <w:t>, 20</w:t>
            </w:r>
            <w:r>
              <w:rPr>
                <w:u w:val="single"/>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3.01(C) </w:t>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240" w:after="0"/>
        <w:jc w:val="left"/>
        <w:rPr>
          <w:rFonts w:ascii="Times New Roman" w:hAnsi="Times New Roman"/>
          <w:sz w:val="20"/>
        </w:rPr>
      </w:pPr>
      <w:r>
        <w:rPr>
          <w:rFonts w:ascii="Times New Roman" w:hAnsi="Times New Roman"/>
          <w:sz w:val="20"/>
        </w:rPr>
        <w:t xml:space="preserve">(For Foreign Participants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Credit Agreement, dated as of July 2, 2026 (as amended, supplemented or otherwise modified from time to time, the “</w:t>
      </w:r>
      <w:r>
        <w:rPr>
          <w:rFonts w:ascii="Times New Roman" w:hAnsi="Times New Roman"/>
          <w:sz w:val="20"/>
          <w:u w:val="single"/>
        </w:rPr>
        <w:t>Credit Agreement</w:t>
      </w:r>
      <w:r>
        <w:rPr>
          <w:rFonts w:ascii="Times New Roman" w:hAnsi="Times New Roman"/>
          <w:sz w:val="20"/>
        </w:rPr>
        <w:t>”), among Analog Devices, Inc., a Massachusetts corporation (the “</w:t>
      </w:r>
      <w:r>
        <w:rPr>
          <w:rFonts w:ascii="Times New Roman" w:hAnsi="Times New Roman"/>
          <w:sz w:val="20"/>
          <w:u w:val="single"/>
        </w:rPr>
        <w:t>Company</w:t>
      </w:r>
      <w:r>
        <w:rPr>
          <w:rFonts w:ascii="Times New Roman" w:hAnsi="Times New Roman"/>
          <w:sz w:val="20"/>
        </w:rPr>
        <w:t xml:space="preserve">”), the Designated Borrowers party thereto, the Lenders identified therein,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w:t>
      </w:r>
      <w:r>
        <w:rPr>
          <w:rFonts w:ascii="Times New Roman" w:hAnsi="Times New Roman"/>
          <w:sz w:val="20"/>
          <w:u w:val="single"/>
        </w:rPr>
        <w:t>Section 3.01(e)</w:t>
      </w:r>
      <w:r>
        <w:rPr>
          <w:rFonts w:ascii="Times New Roman" w:hAnsi="Times New Roman"/>
          <w:sz w:val="20"/>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“10 percent shareholder” of the Company within the meaning of Section 881(c)(3)(B) of the Code and (v) none of its direct or indirect partners/members is a “controlled foreign corporation” related to the Company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PARTICIPANT]</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 </w:t>
            </w:r>
          </w:p>
        </w:tc>
      </w:tr>
      <w:tr>
        <w:trPr/>
        <w:tc>
          <w:tcPr>
            <w:tcW w:w="692" w:type="dxa"/>
            <w:tcBorders/>
          </w:tcPr>
          <w:p>
            <w:pPr>
              <w:pStyle w:val="TableContents"/>
              <w:bidi w:val="0"/>
              <w:spacing w:before="0" w:after="283"/>
              <w:jc w:val="left"/>
              <w:rPr/>
            </w:pPr>
            <w:r>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 </w:t>
            </w:r>
          </w:p>
        </w:tc>
      </w:tr>
      <w:tr>
        <w:trPr/>
        <w:tc>
          <w:tcPr>
            <w:tcW w:w="692" w:type="dxa"/>
            <w:tcBorders/>
          </w:tcPr>
          <w:p>
            <w:pPr>
              <w:pStyle w:val="TableContents"/>
              <w:bidi w:val="0"/>
              <w:spacing w:before="0" w:after="283"/>
              <w:jc w:val="left"/>
              <w:rPr/>
            </w:pPr>
            <w:r>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 </w:t>
            </w:r>
          </w:p>
        </w:tc>
      </w:tr>
      <w:tr>
        <w:trPr/>
        <w:tc>
          <w:tcPr>
            <w:tcW w:w="692"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u w:val="single"/>
              </w:rPr>
              <w:t>     </w:t>
            </w:r>
            <w:r>
              <w:rPr/>
              <w:t>, 20</w:t>
            </w:r>
            <w:r>
              <w:rPr>
                <w:u w:val="single"/>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3.01(D) </w:t>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240" w:after="0"/>
        <w:jc w:val="left"/>
        <w:rPr>
          <w:rFonts w:ascii="Times New Roman" w:hAnsi="Times New Roman"/>
          <w:sz w:val="20"/>
        </w:rPr>
      </w:pPr>
      <w:r>
        <w:rPr>
          <w:rFonts w:ascii="Times New Roman" w:hAnsi="Times New Roman"/>
          <w:sz w:val="20"/>
        </w:rPr>
        <w:t xml:space="preserve">(For Foreign Lenders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Credit Agreement, dated as of July 2, 2026 (as amended, supplemented or otherwise modified from time to time, the “</w:t>
      </w:r>
      <w:r>
        <w:rPr>
          <w:rFonts w:ascii="Times New Roman" w:hAnsi="Times New Roman"/>
          <w:sz w:val="20"/>
          <w:u w:val="single"/>
        </w:rPr>
        <w:t>Credit Agreement</w:t>
      </w:r>
      <w:r>
        <w:rPr>
          <w:rFonts w:ascii="Times New Roman" w:hAnsi="Times New Roman"/>
          <w:sz w:val="20"/>
        </w:rPr>
        <w:t>”), among Analog Devices, Inc., a Massachusetts corporation (the “</w:t>
      </w:r>
      <w:r>
        <w:rPr>
          <w:rFonts w:ascii="Times New Roman" w:hAnsi="Times New Roman"/>
          <w:sz w:val="20"/>
          <w:u w:val="single"/>
        </w:rPr>
        <w:t>Company</w:t>
      </w:r>
      <w:r>
        <w:rPr>
          <w:rFonts w:ascii="Times New Roman" w:hAnsi="Times New Roman"/>
          <w:sz w:val="20"/>
        </w:rPr>
        <w:t xml:space="preserve">”), the Designated Borrowers party thereto, the Lenders identified therein,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w:t>
      </w:r>
      <w:r>
        <w:rPr>
          <w:rFonts w:ascii="Times New Roman" w:hAnsi="Times New Roman"/>
          <w:sz w:val="20"/>
          <w:u w:val="single"/>
        </w:rPr>
        <w:t>Section 3.01(e)</w:t>
      </w:r>
      <w:r>
        <w:rPr>
          <w:rFonts w:ascii="Times New Roman" w:hAnsi="Times New Roman"/>
          <w:sz w:val="20"/>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“10 percent shareholder” of the Company within the meaning of Section 881(c)(3)(B) of the Code and (v) none of its direct or indirect partners/members is a “controlled foreign corporation” related to the Company as described in Section 881(c)(3)(C)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the Company with IRS Form W- 8IMY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LENDER]</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2" w:type="dxa"/>
            <w:tcBorders>
              <w:bottom w:val="single" w:sz="2" w:space="0" w:color="000000"/>
            </w:tcBorders>
            <w:tcMar>
              <w:bottom w:w="28" w:type="dxa"/>
            </w:tcMar>
          </w:tcPr>
          <w:p>
            <w:pPr>
              <w:pStyle w:val="TableContents"/>
              <w:bidi w:val="0"/>
              <w:spacing w:before="0" w:after="283"/>
              <w:jc w:val="left"/>
              <w:rPr/>
            </w:pPr>
            <w:r>
              <w:rPr/>
              <w:t> </w:t>
            </w:r>
          </w:p>
        </w:tc>
      </w:tr>
      <w:tr>
        <w:trPr/>
        <w:tc>
          <w:tcPr>
            <w:tcW w:w="690" w:type="dxa"/>
            <w:tcBorders/>
          </w:tcPr>
          <w:p>
            <w:pPr>
              <w:pStyle w:val="TableContents"/>
              <w:bidi w:val="0"/>
              <w:spacing w:before="0" w:after="283"/>
              <w:jc w:val="left"/>
              <w:rPr/>
            </w:pPr>
            <w:r>
              <w:rPr/>
              <w:t>Name: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2" w:type="dxa"/>
            <w:tcBorders>
              <w:bottom w:val="single" w:sz="2" w:space="0" w:color="000000"/>
            </w:tcBorders>
            <w:tcMar>
              <w:bottom w:w="28" w:type="dxa"/>
            </w:tcMar>
          </w:tcPr>
          <w:p>
            <w:pPr>
              <w:pStyle w:val="TableContents"/>
              <w:bidi w:val="0"/>
              <w:spacing w:before="0" w:after="283"/>
              <w:jc w:val="left"/>
              <w:rPr/>
            </w:pPr>
            <w:r>
              <w:rPr/>
              <w:t> </w:t>
            </w:r>
          </w:p>
        </w:tc>
      </w:tr>
      <w:tr>
        <w:trPr/>
        <w:tc>
          <w:tcPr>
            <w:tcW w:w="690" w:type="dxa"/>
            <w:tcBorders/>
          </w:tcPr>
          <w:p>
            <w:pPr>
              <w:pStyle w:val="TableContents"/>
              <w:bidi w:val="0"/>
              <w:spacing w:before="0" w:after="283"/>
              <w:jc w:val="left"/>
              <w:rPr/>
            </w:pPr>
            <w:r>
              <w:rPr/>
              <w:t>Title: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2" w:type="dxa"/>
            <w:tcBorders>
              <w:bottom w:val="single" w:sz="2" w:space="0" w:color="000000"/>
            </w:tcBorders>
            <w:tcMar>
              <w:bottom w:w="28" w:type="dxa"/>
            </w:tcMar>
          </w:tcPr>
          <w:p>
            <w:pPr>
              <w:pStyle w:val="TableContents"/>
              <w:bidi w:val="0"/>
              <w:spacing w:before="0" w:after="283"/>
              <w:jc w:val="left"/>
              <w:rPr/>
            </w:pPr>
            <w:r>
              <w:rPr/>
              <w:t> </w:t>
            </w:r>
          </w:p>
        </w:tc>
      </w:tr>
      <w:tr>
        <w:trPr/>
        <w:tc>
          <w:tcPr>
            <w:tcW w:w="690"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u w:val="single"/>
              </w:rPr>
              <w:t>     </w:t>
            </w:r>
            <w:r>
              <w:rPr>
                <w:u w:val="single"/>
              </w:rPr>
              <w:t>,</w:t>
            </w:r>
            <w:r>
              <w:rPr/>
              <w:t xml:space="preserve"> 20</w:t>
            </w:r>
            <w:r>
              <w:rPr>
                <w:u w:val="single"/>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6.02 </w:t>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COMPLIANCE CERTIFICATE </w:t>
      </w:r>
    </w:p>
    <w:p>
      <w:pPr>
        <w:pStyle w:val="TextBody"/>
        <w:bidi w:val="0"/>
        <w:spacing w:before="240" w:after="0"/>
        <w:jc w:val="center"/>
        <w:rPr/>
      </w:pPr>
      <w:r>
        <w:rPr/>
        <w:t xml:space="preserve">☐ </w:t>
      </w:r>
      <w:r>
        <w:rPr>
          <w:rFonts w:ascii="Times New Roman" w:hAnsi="Times New Roman"/>
          <w:b/>
          <w:sz w:val="20"/>
        </w:rPr>
        <w:t xml:space="preserve">Check for distribution to PUBLIC and Private side Lenders3 </w:t>
      </w:r>
    </w:p>
    <w:p>
      <w:pPr>
        <w:pStyle w:val="TextBody"/>
        <w:bidi w:val="0"/>
        <w:spacing w:before="240" w:after="0"/>
        <w:jc w:val="right"/>
        <w:rPr>
          <w:rFonts w:ascii="Times New Roman" w:hAnsi="Times New Roman"/>
          <w:sz w:val="20"/>
        </w:rPr>
      </w:pPr>
      <w:r>
        <w:rPr>
          <w:rFonts w:ascii="Times New Roman" w:hAnsi="Times New Roman"/>
          <w:sz w:val="20"/>
        </w:rPr>
        <w:t>Financial Statement Date:</w:t>
      </w:r>
      <w:r>
        <w:rPr>
          <w:rFonts w:ascii="Times New Roman" w:hAnsi="Times New Roman"/>
          <w:sz w:val="20"/>
          <w:u w:val="single"/>
        </w:rPr>
        <w:t xml:space="preserve">      </w:t>
      </w:r>
      <w:r>
        <w:rPr>
          <w:rFonts w:ascii="Times New Roman" w:hAnsi="Times New Roman"/>
          <w:sz w:val="20"/>
        </w:rPr>
        <w:t>, 20</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Bank of America, N.A., as Administrative Agent 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that certain Credit Agreement, dated as of July 2, 2026 (as amended, restated, extended, supplemented or otherwise modified in writing from time to time, the “</w:t>
      </w:r>
      <w:r>
        <w:rPr>
          <w:rFonts w:ascii="Times New Roman" w:hAnsi="Times New Roman"/>
          <w:sz w:val="20"/>
          <w:u w:val="single"/>
        </w:rPr>
        <w:t>Credit Agreement</w:t>
      </w:r>
      <w:r>
        <w:rPr>
          <w:rFonts w:ascii="Times New Roman" w:hAnsi="Times New Roman"/>
          <w:sz w:val="20"/>
        </w:rPr>
        <w:t>”; the terms defined therein being used herein as therein defined), among Analog Devices, Inc., a Massachusetts corporation (the “</w:t>
      </w:r>
      <w:r>
        <w:rPr>
          <w:rFonts w:ascii="Times New Roman" w:hAnsi="Times New Roman"/>
          <w:sz w:val="20"/>
          <w:u w:val="single"/>
        </w:rPr>
        <w:t>Company</w:t>
      </w:r>
      <w:r>
        <w:rPr>
          <w:rFonts w:ascii="Times New Roman" w:hAnsi="Times New Roman"/>
          <w:sz w:val="20"/>
        </w:rPr>
        <w:t xml:space="preserve">”), the Designated Borrowers party thereto, the Lenders from time to time party thereto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Responsible Officer hereby certifies as of the date hereof that he/she is the </w:t>
      </w:r>
      <w:r>
        <w:rPr>
          <w:rFonts w:ascii="Times New Roman" w:hAnsi="Times New Roman"/>
          <w:sz w:val="20"/>
          <w:u w:val="single"/>
        </w:rPr>
        <w:t>       </w:t>
      </w:r>
      <w:r>
        <w:rPr>
          <w:rFonts w:ascii="Times New Roman" w:hAnsi="Times New Roman"/>
          <w:sz w:val="20"/>
        </w:rPr>
        <w:t xml:space="preserve"> of the Company, and that, as such, he/she is authorized to execute and deliver this Compliance Certificate to the Administrative Agent (for delivery to the Lenders) on the behalf of the Company, and that: </w:t>
      </w:r>
    </w:p>
    <w:p>
      <w:pPr>
        <w:pStyle w:val="TextBody"/>
        <w:bidi w:val="0"/>
        <w:spacing w:before="240" w:after="0"/>
        <w:jc w:val="left"/>
        <w:rPr>
          <w:rFonts w:ascii="Times New Roman" w:hAnsi="Times New Roman"/>
          <w:sz w:val="20"/>
        </w:rPr>
      </w:pPr>
      <w:r>
        <w:rPr>
          <w:rFonts w:ascii="Times New Roman" w:hAnsi="Times New Roman"/>
          <w:i/>
          <w:sz w:val="20"/>
        </w:rPr>
        <w:t xml:space="preserve">[Use following paragraph I for fiscal </w:t>
      </w:r>
      <w:r>
        <w:rPr>
          <w:rFonts w:ascii="Times New Roman" w:hAnsi="Times New Roman"/>
          <w:b/>
          <w:i/>
          <w:sz w:val="20"/>
        </w:rPr>
        <w:t xml:space="preserve">year-end </w:t>
      </w:r>
      <w:r>
        <w:rPr>
          <w:rFonts w:ascii="Times New Roman" w:hAnsi="Times New Roman"/>
          <w:i/>
          <w:sz w:val="20"/>
        </w:rPr>
        <w:t xml:space="preserve">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1. Attached hereto as </w:t>
      </w:r>
      <w:r>
        <w:rPr>
          <w:rFonts w:ascii="Times New Roman" w:hAnsi="Times New Roman"/>
          <w:sz w:val="20"/>
          <w:u w:val="single"/>
        </w:rPr>
        <w:t>Schedule 1</w:t>
      </w:r>
      <w:r>
        <w:rPr>
          <w:rFonts w:ascii="Times New Roman" w:hAnsi="Times New Roman"/>
          <w:sz w:val="20"/>
        </w:rPr>
        <w:t xml:space="preserve"> are the year-end audited financial statements required by </w:t>
      </w:r>
      <w:r>
        <w:rPr>
          <w:rFonts w:ascii="Times New Roman" w:hAnsi="Times New Roman"/>
          <w:sz w:val="20"/>
          <w:u w:val="single"/>
        </w:rPr>
        <w:t>Section 6.01(a)</w:t>
      </w:r>
      <w:r>
        <w:rPr>
          <w:rFonts w:ascii="Times New Roman" w:hAnsi="Times New Roman"/>
          <w:sz w:val="20"/>
        </w:rPr>
        <w:t xml:space="preserve"> of the Credit Agreement for the fiscal year of the Company ended as of the above date, together with the report and opinion of an independent registered public accounting firm required by such Section. </w:t>
      </w:r>
    </w:p>
    <w:p>
      <w:pPr>
        <w:pStyle w:val="TextBody"/>
        <w:bidi w:val="0"/>
        <w:spacing w:before="240" w:after="0"/>
        <w:jc w:val="left"/>
        <w:rPr>
          <w:rFonts w:ascii="Times New Roman" w:hAnsi="Times New Roman"/>
          <w:sz w:val="20"/>
        </w:rPr>
      </w:pPr>
      <w:r>
        <w:rPr>
          <w:rFonts w:ascii="Times New Roman" w:hAnsi="Times New Roman"/>
          <w:i/>
          <w:sz w:val="20"/>
        </w:rPr>
        <w:t xml:space="preserve">[Use following paragraph I for fiscal </w:t>
      </w:r>
      <w:r>
        <w:rPr>
          <w:rFonts w:ascii="Times New Roman" w:hAnsi="Times New Roman"/>
          <w:b/>
          <w:i/>
          <w:sz w:val="20"/>
        </w:rPr>
        <w:t xml:space="preserve">quarter-end </w:t>
      </w:r>
      <w:r>
        <w:rPr>
          <w:rFonts w:ascii="Times New Roman" w:hAnsi="Times New Roman"/>
          <w:i/>
          <w:sz w:val="20"/>
        </w:rPr>
        <w:t xml:space="preserve">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1. Attached hereto as </w:t>
      </w:r>
      <w:r>
        <w:rPr>
          <w:rFonts w:ascii="Times New Roman" w:hAnsi="Times New Roman"/>
          <w:sz w:val="20"/>
          <w:u w:val="single"/>
        </w:rPr>
        <w:t>Schedule 1</w:t>
      </w:r>
      <w:r>
        <w:rPr>
          <w:rFonts w:ascii="Times New Roman" w:hAnsi="Times New Roman"/>
          <w:sz w:val="20"/>
        </w:rPr>
        <w:t xml:space="preserve"> are the unaudited financial statements required by </w:t>
      </w:r>
      <w:r>
        <w:rPr>
          <w:rFonts w:ascii="Times New Roman" w:hAnsi="Times New Roman"/>
          <w:sz w:val="20"/>
          <w:u w:val="single"/>
        </w:rPr>
        <w:t>Section 6.01(b)</w:t>
      </w:r>
      <w:r>
        <w:rPr>
          <w:rFonts w:ascii="Times New Roman" w:hAnsi="Times New Roman"/>
          <w:sz w:val="20"/>
        </w:rPr>
        <w:t xml:space="preserve"> of the Credit Agreement for the fiscal quarter of the Company ended as of the above date. Such financial statements fairly present in all material respects the financial condition, results of operations and cash flows of the Company and its Subsidiaries in accordance with GAAP as at such date and for the period covered thereby, subject only to normal year-end audit adjustments and the absence of footnotes.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has reviewed and is familiar with the terms of the Credit Agreement and has made, or has caused to be made under his/her supervision, a detailed review of the transactions and condition (financial or otherwise) of the Company during the accounting period covered by the attached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3. A review of the activities of the Company during such fiscal period has been made under the supervision of the undersigned with a view to determining whether during such fiscal period the Company performed and observed all its Obligations under the Loan Documents, and </w:t>
      </w:r>
    </w:p>
    <w:p>
      <w:pPr>
        <w:pStyle w:val="TextBody"/>
        <w:bidi w:val="0"/>
        <w:spacing w:before="240" w:after="0"/>
        <w:jc w:val="left"/>
        <w:rPr>
          <w:rFonts w:ascii="Times New Roman" w:hAnsi="Times New Roman"/>
          <w:sz w:val="20"/>
        </w:rPr>
      </w:pPr>
      <w:r>
        <w:rPr>
          <w:rFonts w:ascii="Times New Roman" w:hAnsi="Times New Roman"/>
          <w:sz w:val="20"/>
        </w:rPr>
        <w:t xml:space="preserve">[select one:]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this box is not checked, this Compliance Certificate will only be posted to private side Lenders.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[to the best knowledge of the undersigned during such fiscal period, the Company performed and observed each covenant and condition of the Loan Documents applicable to it, and no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--or—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covenants or conditions have not been performed or observed and the following is a list of each such Default and its nature and status:] </w:t>
      </w:r>
    </w:p>
    <w:p>
      <w:pPr>
        <w:pStyle w:val="TextBody"/>
        <w:bidi w:val="0"/>
        <w:spacing w:before="240" w:after="0"/>
        <w:jc w:val="left"/>
        <w:rPr>
          <w:rFonts w:ascii="Times New Roman" w:hAnsi="Times New Roman"/>
          <w:sz w:val="20"/>
        </w:rPr>
      </w:pPr>
      <w:r>
        <w:rPr>
          <w:rFonts w:ascii="Times New Roman" w:hAnsi="Times New Roman"/>
          <w:sz w:val="20"/>
        </w:rPr>
        <w:t xml:space="preserve">4. The calculations demonstrating compliance with the financial covenant set forth in </w:t>
      </w:r>
      <w:r>
        <w:rPr>
          <w:rFonts w:ascii="Times New Roman" w:hAnsi="Times New Roman"/>
          <w:sz w:val="20"/>
          <w:u w:val="single"/>
        </w:rPr>
        <w:t>Section 7.07</w:t>
      </w:r>
      <w:r>
        <w:rPr>
          <w:rFonts w:ascii="Times New Roman" w:hAnsi="Times New Roman"/>
          <w:sz w:val="20"/>
        </w:rPr>
        <w:t xml:space="preserve"> of the Credit Agreement set forth in </w:t>
      </w:r>
      <w:r>
        <w:rPr>
          <w:rFonts w:ascii="Times New Roman" w:hAnsi="Times New Roman"/>
          <w:sz w:val="20"/>
          <w:u w:val="single"/>
        </w:rPr>
        <w:t>Schedule 2</w:t>
      </w:r>
      <w:r>
        <w:rPr>
          <w:rFonts w:ascii="Times New Roman" w:hAnsi="Times New Roman"/>
          <w:sz w:val="20"/>
        </w:rPr>
        <w:t xml:space="preserve"> attached hereto are true and accurate on and as of the date of this Compliance Certificate. </w:t>
      </w:r>
    </w:p>
    <w:p>
      <w:pPr>
        <w:pStyle w:val="TextBody"/>
        <w:bidi w:val="0"/>
        <w:spacing w:before="240" w:after="0"/>
        <w:jc w:val="left"/>
        <w:rPr>
          <w:rFonts w:ascii="Times New Roman" w:hAnsi="Times New Roman"/>
          <w:sz w:val="20"/>
        </w:rPr>
      </w:pPr>
      <w:r>
        <w:rPr>
          <w:rFonts w:ascii="Times New Roman" w:hAnsi="Times New Roman"/>
          <w:sz w:val="20"/>
        </w:rPr>
        <w:t>IN WITNESS WHEREOF, the undersigned has executed this Compliance Certificate as of</w:t>
      </w:r>
      <w:r>
        <w:rPr>
          <w:rFonts w:ascii="Times New Roman" w:hAnsi="Times New Roman"/>
          <w:sz w:val="20"/>
          <w:u w:val="single"/>
        </w:rPr>
        <w:t xml:space="preserve">       </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48"/>
        <w:gridCol w:w="140"/>
        <w:gridCol w:w="2794"/>
      </w:tblGrid>
      <w:tr>
        <w:trPr/>
        <w:tc>
          <w:tcPr>
            <w:tcW w:w="114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ANALOG DEVICES, INC.,</w:t>
              <w:br/>
              <w:t>a Massachusetts corporation</w:t>
            </w:r>
          </w:p>
        </w:tc>
      </w:tr>
      <w:tr>
        <w:trPr>
          <w:trHeight w:val="240" w:hRule="atLeast"/>
        </w:trPr>
        <w:tc>
          <w:tcPr>
            <w:tcW w:w="1148" w:type="dxa"/>
            <w:tcBorders/>
            <w:vAlign w:val="center"/>
          </w:tcPr>
          <w:p>
            <w:pPr>
              <w:pStyle w:val="TableContents"/>
              <w:bidi w:val="0"/>
              <w:spacing w:before="0" w:after="283"/>
              <w:jc w:val="left"/>
              <w:rPr>
                <w:sz w:val="4"/>
                <w:szCs w:val="4"/>
              </w:rPr>
            </w:pPr>
            <w:r>
              <w:rPr>
                <w:sz w:val="4"/>
                <w:szCs w:val="4"/>
              </w:rPr>
            </w:r>
          </w:p>
        </w:tc>
        <w:tc>
          <w:tcPr>
            <w:tcW w:w="2934"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tcPr>
          <w:p>
            <w:pPr>
              <w:pStyle w:val="TableContents"/>
              <w:bidi w:val="0"/>
              <w:spacing w:before="0" w:after="283"/>
              <w:jc w:val="left"/>
              <w:rPr/>
            </w:pPr>
            <w:r>
              <w:rPr/>
              <w:t>By:</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2794" w:type="dxa"/>
            <w:tcBorders>
              <w:bottom w:val="single" w:sz="2" w:space="0" w:color="000000"/>
            </w:tcBorders>
            <w:tcMar>
              <w:bottom w:w="28" w:type="dxa"/>
            </w:tcMar>
          </w:tcPr>
          <w:p>
            <w:pPr>
              <w:pStyle w:val="TableContents"/>
              <w:bidi w:val="0"/>
              <w:spacing w:before="0" w:after="283"/>
              <w:jc w:val="left"/>
              <w:rPr/>
            </w:pPr>
            <w:r>
              <w:rPr/>
              <w:t> </w:t>
            </w:r>
          </w:p>
        </w:tc>
      </w:tr>
      <w:tr>
        <w:trPr/>
        <w:tc>
          <w:tcPr>
            <w:tcW w:w="1148" w:type="dxa"/>
            <w:tcBorders/>
            <w:vAlign w:val="bottom"/>
          </w:tcPr>
          <w:p>
            <w:pPr>
              <w:pStyle w:val="TableContents"/>
              <w:bidi w:val="0"/>
              <w:spacing w:before="0" w:after="283"/>
              <w:jc w:val="left"/>
              <w:rPr/>
            </w:pPr>
            <w:r>
              <w:rPr/>
              <w:t>Name:</w:t>
            </w:r>
          </w:p>
        </w:tc>
        <w:tc>
          <w:tcPr>
            <w:tcW w:w="140" w:type="dxa"/>
            <w:tcBorders/>
            <w:vAlign w:val="bottom"/>
          </w:tcPr>
          <w:p>
            <w:pPr>
              <w:pStyle w:val="TableContents"/>
              <w:bidi w:val="0"/>
              <w:spacing w:before="0" w:after="283"/>
              <w:jc w:val="left"/>
              <w:rPr/>
            </w:pPr>
            <w:r>
              <w:rPr/>
              <w:t> </w:t>
            </w:r>
          </w:p>
        </w:tc>
        <w:tc>
          <w:tcPr>
            <w:tcW w:w="2794" w:type="dxa"/>
            <w:tcBorders/>
            <w:vAlign w:val="bottom"/>
          </w:tcPr>
          <w:p>
            <w:pPr>
              <w:pStyle w:val="TableContents"/>
              <w:bidi w:val="0"/>
              <w:spacing w:before="0" w:after="283"/>
              <w:jc w:val="left"/>
              <w:rPr>
                <w:sz w:val="4"/>
                <w:szCs w:val="4"/>
              </w:rPr>
            </w:pPr>
            <w:r>
              <w:rPr>
                <w:sz w:val="4"/>
                <w:szCs w:val="4"/>
              </w:rPr>
            </w:r>
          </w:p>
        </w:tc>
      </w:tr>
      <w:tr>
        <w:trPr/>
        <w:tc>
          <w:tcPr>
            <w:tcW w:w="1148" w:type="dxa"/>
            <w:tcBorders/>
            <w:vAlign w:val="bottom"/>
          </w:tcPr>
          <w:p>
            <w:pPr>
              <w:pStyle w:val="TableContents"/>
              <w:bidi w:val="0"/>
              <w:spacing w:before="0" w:after="283"/>
              <w:jc w:val="left"/>
              <w:rPr/>
            </w:pPr>
            <w:r>
              <w:rPr/>
              <w:t>Title:</w:t>
            </w:r>
          </w:p>
        </w:tc>
        <w:tc>
          <w:tcPr>
            <w:tcW w:w="140" w:type="dxa"/>
            <w:tcBorders/>
            <w:vAlign w:val="bottom"/>
          </w:tcPr>
          <w:p>
            <w:pPr>
              <w:pStyle w:val="TableContents"/>
              <w:bidi w:val="0"/>
              <w:spacing w:before="0" w:after="283"/>
              <w:jc w:val="left"/>
              <w:rPr/>
            </w:pPr>
            <w:r>
              <w:rPr/>
              <w:t> </w:t>
            </w:r>
          </w:p>
        </w:tc>
        <w:tc>
          <w:tcPr>
            <w:tcW w:w="2794"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Schedule 1 to </w:t>
      </w:r>
    </w:p>
    <w:p>
      <w:pPr>
        <w:pStyle w:val="TextBody"/>
        <w:bidi w:val="0"/>
        <w:spacing w:before="0" w:after="0"/>
        <w:jc w:val="right"/>
        <w:rPr>
          <w:rFonts w:ascii="Times New Roman" w:hAnsi="Times New Roman"/>
          <w:b/>
          <w:i/>
          <w:sz w:val="20"/>
        </w:rPr>
      </w:pPr>
      <w:r>
        <w:rPr>
          <w:rFonts w:ascii="Times New Roman" w:hAnsi="Times New Roman"/>
          <w:b/>
          <w:i/>
          <w:sz w:val="20"/>
        </w:rPr>
        <w:t xml:space="preserve">Compliance Certificate </w:t>
      </w:r>
    </w:p>
    <w:p>
      <w:pPr>
        <w:pStyle w:val="TextBody"/>
        <w:bidi w:val="0"/>
        <w:spacing w:before="240" w:after="0"/>
        <w:jc w:val="center"/>
        <w:rPr>
          <w:rFonts w:ascii="Times New Roman" w:hAnsi="Times New Roman"/>
          <w:b/>
          <w:sz w:val="20"/>
        </w:rPr>
      </w:pPr>
      <w:r>
        <w:rPr>
          <w:rFonts w:ascii="Times New Roman" w:hAnsi="Times New Roman"/>
          <w:b/>
          <w:sz w:val="20"/>
        </w:rPr>
        <w:t xml:space="preserve">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[To be attached by Company]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Schedule 2 to </w:t>
      </w:r>
    </w:p>
    <w:p>
      <w:pPr>
        <w:pStyle w:val="TextBody"/>
        <w:bidi w:val="0"/>
        <w:spacing w:before="0" w:after="0"/>
        <w:jc w:val="right"/>
        <w:rPr>
          <w:rFonts w:ascii="Times New Roman" w:hAnsi="Times New Roman"/>
          <w:b/>
          <w:i/>
          <w:sz w:val="20"/>
        </w:rPr>
      </w:pPr>
      <w:r>
        <w:rPr>
          <w:rFonts w:ascii="Times New Roman" w:hAnsi="Times New Roman"/>
          <w:b/>
          <w:i/>
          <w:sz w:val="20"/>
        </w:rPr>
        <w:t xml:space="preserve">Compliance Certificate </w:t>
      </w:r>
    </w:p>
    <w:p>
      <w:pPr>
        <w:pStyle w:val="TextBody"/>
        <w:bidi w:val="0"/>
        <w:spacing w:before="240" w:after="0"/>
        <w:jc w:val="left"/>
        <w:rPr>
          <w:rFonts w:ascii="Times New Roman" w:hAnsi="Times New Roman"/>
          <w:sz w:val="20"/>
        </w:rPr>
      </w:pPr>
      <w:r>
        <w:rPr>
          <w:rFonts w:ascii="Times New Roman" w:hAnsi="Times New Roman"/>
          <w:sz w:val="20"/>
        </w:rPr>
        <w:t>For the Quarter / Year ended</w:t>
      </w:r>
      <w:r>
        <w:rPr>
          <w:rFonts w:ascii="Times New Roman" w:hAnsi="Times New Roman"/>
          <w:sz w:val="20"/>
          <w:u w:val="single"/>
        </w:rPr>
        <w:t>     </w:t>
      </w:r>
      <w:r>
        <w:rPr>
          <w:rFonts w:ascii="Times New Roman" w:hAnsi="Times New Roman"/>
          <w:sz w:val="20"/>
        </w:rPr>
        <w:t xml:space="preserve"> (the “</w:t>
      </w:r>
      <w:r>
        <w:rPr>
          <w:rFonts w:ascii="Times New Roman" w:hAnsi="Times New Roman"/>
          <w:sz w:val="20"/>
          <w:u w:val="single"/>
        </w:rPr>
        <w:t>Financial Statement Date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Consolidated EBITDA to Consolidated Interest Expense Ratio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73"/>
        <w:gridCol w:w="203"/>
        <w:gridCol w:w="1429"/>
      </w:tblGrid>
      <w:tr>
        <w:trPr/>
        <w:tc>
          <w:tcPr>
            <w:tcW w:w="8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I.   Consolidated EBITDA (For the period of the four prior fiscal quarters ending on the Financial Statement Date (see Schedule A))</w:t>
            </w:r>
          </w:p>
        </w:tc>
        <w:tc>
          <w:tcPr>
            <w:tcW w:w="203" w:type="dxa"/>
            <w:tcBorders/>
            <w:vAlign w:val="bottom"/>
          </w:tcPr>
          <w:p>
            <w:pPr>
              <w:pStyle w:val="TableContents"/>
              <w:bidi w:val="0"/>
              <w:spacing w:before="0" w:after="283"/>
              <w:jc w:val="left"/>
              <w:rPr/>
            </w:pPr>
            <w:r>
              <w:rPr/>
              <w:t>  </w:t>
            </w:r>
          </w:p>
        </w:tc>
        <w:tc>
          <w:tcPr>
            <w:tcW w:w="1429" w:type="dxa"/>
            <w:tcBorders/>
          </w:tcPr>
          <w:p>
            <w:pPr>
              <w:pStyle w:val="TableContents"/>
              <w:bidi w:val="0"/>
              <w:spacing w:before="0" w:after="283"/>
              <w:jc w:val="left"/>
              <w:rPr/>
            </w:pPr>
            <w:r>
              <w:rPr/>
              <w:t>$</w:t>
            </w:r>
            <w:r>
              <w:rPr>
                <w:u w:val="single"/>
              </w:rPr>
              <w:t>   </w:t>
            </w:r>
          </w:p>
        </w:tc>
      </w:tr>
      <w:tr>
        <w:trPr>
          <w:trHeight w:val="120" w:hRule="atLeast"/>
        </w:trPr>
        <w:tc>
          <w:tcPr>
            <w:tcW w:w="8573"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II. Consolidated EBITDA Adjustments (For the period of </w:t>
              <w:br/>
              <w:t>the four prior fiscal quarters ending on the Financial Statement Date (see Schedule A))</w:t>
            </w:r>
          </w:p>
        </w:tc>
        <w:tc>
          <w:tcPr>
            <w:tcW w:w="203" w:type="dxa"/>
            <w:tcBorders/>
            <w:vAlign w:val="bottom"/>
          </w:tcPr>
          <w:p>
            <w:pPr>
              <w:pStyle w:val="TableContents"/>
              <w:bidi w:val="0"/>
              <w:spacing w:before="0" w:after="283"/>
              <w:jc w:val="left"/>
              <w:rPr/>
            </w:pPr>
            <w:r>
              <w:rPr/>
              <w:t>  </w:t>
            </w:r>
          </w:p>
        </w:tc>
        <w:tc>
          <w:tcPr>
            <w:tcW w:w="1429" w:type="dxa"/>
            <w:tcBorders/>
          </w:tcPr>
          <w:p>
            <w:pPr>
              <w:pStyle w:val="TableContents"/>
              <w:bidi w:val="0"/>
              <w:spacing w:before="0" w:after="283"/>
              <w:jc w:val="left"/>
              <w:rPr/>
            </w:pPr>
            <w:r>
              <w:rPr/>
              <w:t>$</w:t>
            </w:r>
            <w:r>
              <w:rPr>
                <w:u w:val="single"/>
              </w:rPr>
              <w:t>   </w:t>
            </w:r>
          </w:p>
        </w:tc>
      </w:tr>
      <w:tr>
        <w:trPr>
          <w:trHeight w:val="120" w:hRule="atLeast"/>
        </w:trPr>
        <w:tc>
          <w:tcPr>
            <w:tcW w:w="8573"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III.  Consolidated Interest Expense ((I + II) ÷ III)</w:t>
            </w:r>
          </w:p>
        </w:tc>
        <w:tc>
          <w:tcPr>
            <w:tcW w:w="203" w:type="dxa"/>
            <w:tcBorders/>
            <w:vAlign w:val="bottom"/>
          </w:tcPr>
          <w:p>
            <w:pPr>
              <w:pStyle w:val="TableContents"/>
              <w:bidi w:val="0"/>
              <w:spacing w:before="0" w:after="283"/>
              <w:jc w:val="left"/>
              <w:rPr/>
            </w:pPr>
            <w:r>
              <w:rPr/>
              <w:t>  </w:t>
            </w:r>
          </w:p>
        </w:tc>
        <w:tc>
          <w:tcPr>
            <w:tcW w:w="1429" w:type="dxa"/>
            <w:tcBorders/>
          </w:tcPr>
          <w:p>
            <w:pPr>
              <w:pStyle w:val="TableContents"/>
              <w:bidi w:val="0"/>
              <w:spacing w:before="0" w:after="283"/>
              <w:jc w:val="left"/>
              <w:rPr/>
            </w:pPr>
            <w:r>
              <w:rPr>
                <w:u w:val="single"/>
              </w:rPr>
              <w:t>     </w:t>
            </w:r>
            <w:r>
              <w:rPr/>
              <w:t>to 1.0</w:t>
            </w:r>
          </w:p>
        </w:tc>
      </w:tr>
      <w:tr>
        <w:trPr>
          <w:trHeight w:val="120" w:hRule="atLeast"/>
        </w:trPr>
        <w:tc>
          <w:tcPr>
            <w:tcW w:w="8573" w:type="dxa"/>
            <w:tcBorders/>
            <w:vAlign w:val="center"/>
          </w:tcPr>
          <w:p>
            <w:pPr>
              <w:pStyle w:val="TableContents"/>
              <w:bidi w:val="0"/>
              <w:spacing w:before="0" w:after="283"/>
              <w:jc w:val="left"/>
              <w:rPr>
                <w:sz w:val="4"/>
                <w:szCs w:val="4"/>
              </w:rPr>
            </w:pPr>
            <w:r>
              <w:rPr>
                <w:sz w:val="4"/>
                <w:szCs w:val="4"/>
              </w:rPr>
            </w:r>
          </w:p>
        </w:tc>
        <w:tc>
          <w:tcPr>
            <w:tcW w:w="1632" w:type="dxa"/>
            <w:gridSpan w:val="2"/>
            <w:tcBorders/>
            <w:vAlign w:val="center"/>
          </w:tcPr>
          <w:p>
            <w:pPr>
              <w:pStyle w:val="TableContents"/>
              <w:bidi w:val="0"/>
              <w:spacing w:before="0" w:after="283"/>
              <w:jc w:val="left"/>
              <w:rPr>
                <w:sz w:val="4"/>
                <w:szCs w:val="4"/>
              </w:rPr>
            </w:pPr>
            <w:r>
              <w:rPr>
                <w:sz w:val="4"/>
                <w:szCs w:val="4"/>
              </w:rPr>
            </w:r>
          </w:p>
        </w:tc>
      </w:tr>
      <w:tr>
        <w:trPr/>
        <w:tc>
          <w:tcPr>
            <w:tcW w:w="8573" w:type="dxa"/>
            <w:tcBorders/>
          </w:tcPr>
          <w:p>
            <w:pPr>
              <w:pStyle w:val="TableContents"/>
              <w:bidi w:val="0"/>
              <w:spacing w:before="0" w:after="283"/>
              <w:jc w:val="right"/>
              <w:rPr>
                <w:i/>
              </w:rPr>
            </w:pPr>
            <w:r>
              <w:rPr>
                <w:i/>
              </w:rPr>
              <w:t>Minimum Required:</w:t>
            </w:r>
          </w:p>
        </w:tc>
        <w:tc>
          <w:tcPr>
            <w:tcW w:w="203" w:type="dxa"/>
            <w:tcBorders/>
            <w:vAlign w:val="bottom"/>
          </w:tcPr>
          <w:p>
            <w:pPr>
              <w:pStyle w:val="TableContents"/>
              <w:bidi w:val="0"/>
              <w:spacing w:before="0" w:after="283"/>
              <w:jc w:val="left"/>
              <w:rPr/>
            </w:pPr>
            <w:r>
              <w:rPr/>
              <w:t>  </w:t>
            </w:r>
          </w:p>
        </w:tc>
        <w:tc>
          <w:tcPr>
            <w:tcW w:w="1429" w:type="dxa"/>
            <w:tcBorders/>
          </w:tcPr>
          <w:p>
            <w:pPr>
              <w:pStyle w:val="TableContents"/>
              <w:bidi w:val="0"/>
              <w:spacing w:before="0" w:after="283"/>
              <w:jc w:val="left"/>
              <w:rPr>
                <w:i/>
              </w:rPr>
            </w:pPr>
            <w:r>
              <w:rPr>
                <w:i/>
              </w:rPr>
              <w:t>[ ] to 1.0</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Schedule A </w:t>
      </w:r>
    </w:p>
    <w:p>
      <w:pPr>
        <w:pStyle w:val="TextBody"/>
        <w:bidi w:val="0"/>
        <w:spacing w:before="0" w:after="0"/>
        <w:jc w:val="right"/>
        <w:rPr>
          <w:rFonts w:ascii="Times New Roman" w:hAnsi="Times New Roman"/>
          <w:b/>
          <w:i/>
          <w:sz w:val="20"/>
        </w:rPr>
      </w:pPr>
      <w:r>
        <w:rPr>
          <w:rFonts w:ascii="Times New Roman" w:hAnsi="Times New Roman"/>
          <w:b/>
          <w:i/>
          <w:sz w:val="20"/>
        </w:rPr>
        <w:t xml:space="preserve">to Compliance Certificate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EBITDA </w:t>
      </w:r>
    </w:p>
    <w:p>
      <w:pPr>
        <w:pStyle w:val="TextBody"/>
        <w:bidi w:val="0"/>
        <w:spacing w:before="240" w:after="0"/>
        <w:jc w:val="center"/>
        <w:rPr>
          <w:rFonts w:ascii="Times New Roman" w:hAnsi="Times New Roman"/>
          <w:sz w:val="20"/>
        </w:rPr>
      </w:pPr>
      <w:r>
        <w:rPr>
          <w:rFonts w:ascii="Times New Roman" w:hAnsi="Times New Roman"/>
          <w:sz w:val="20"/>
        </w:rPr>
        <w:t xml:space="preserve">(in accordance with the definition of Consolidated EBITDA as set forth in the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 in 000’s)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49"/>
        <w:gridCol w:w="121"/>
        <w:gridCol w:w="594"/>
        <w:gridCol w:w="121"/>
        <w:gridCol w:w="594"/>
        <w:gridCol w:w="121"/>
        <w:gridCol w:w="594"/>
        <w:gridCol w:w="210"/>
        <w:gridCol w:w="594"/>
        <w:gridCol w:w="210"/>
        <w:gridCol w:w="597"/>
      </w:tblGrid>
      <w:tr>
        <w:trPr/>
        <w:tc>
          <w:tcPr>
            <w:tcW w:w="64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6449"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Consolidated EBITDA</w:t>
            </w:r>
          </w:p>
        </w:tc>
        <w:tc>
          <w:tcPr>
            <w:tcW w:w="121" w:type="dxa"/>
            <w:tcBorders/>
            <w:vAlign w:val="bottom"/>
          </w:tcPr>
          <w:p>
            <w:pPr>
              <w:pStyle w:val="TableContents"/>
              <w:bidi w:val="0"/>
              <w:spacing w:before="0" w:after="283"/>
              <w:jc w:val="left"/>
              <w:rPr/>
            </w:pPr>
            <w:r>
              <w:rPr/>
              <w:t>  </w:t>
            </w:r>
          </w:p>
        </w:tc>
        <w:tc>
          <w:tcPr>
            <w:tcW w:w="5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Quarter</w:t>
              <w:br/>
              <w:t>Ended</w:t>
            </w:r>
          </w:p>
        </w:tc>
        <w:tc>
          <w:tcPr>
            <w:tcW w:w="121" w:type="dxa"/>
            <w:tcBorders/>
            <w:vAlign w:val="bottom"/>
          </w:tcPr>
          <w:p>
            <w:pPr>
              <w:pStyle w:val="TableContents"/>
              <w:bidi w:val="0"/>
              <w:spacing w:before="0" w:after="283"/>
              <w:jc w:val="left"/>
              <w:rPr/>
            </w:pPr>
            <w:r>
              <w:rPr/>
              <w:t>  </w:t>
            </w:r>
          </w:p>
        </w:tc>
        <w:tc>
          <w:tcPr>
            <w:tcW w:w="5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Quarter</w:t>
              <w:br/>
              <w:t>Ended</w:t>
            </w:r>
          </w:p>
        </w:tc>
        <w:tc>
          <w:tcPr>
            <w:tcW w:w="121" w:type="dxa"/>
            <w:tcBorders/>
            <w:vAlign w:val="bottom"/>
          </w:tcPr>
          <w:p>
            <w:pPr>
              <w:pStyle w:val="TableContents"/>
              <w:bidi w:val="0"/>
              <w:spacing w:before="0" w:after="283"/>
              <w:jc w:val="left"/>
              <w:rPr/>
            </w:pPr>
            <w:r>
              <w:rPr/>
              <w:t>  </w:t>
            </w:r>
          </w:p>
        </w:tc>
        <w:tc>
          <w:tcPr>
            <w:tcW w:w="5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Quarter</w:t>
              <w:br/>
              <w:t>Ended</w:t>
            </w:r>
          </w:p>
        </w:tc>
        <w:tc>
          <w:tcPr>
            <w:tcW w:w="210" w:type="dxa"/>
            <w:tcBorders/>
            <w:vAlign w:val="bottom"/>
          </w:tcPr>
          <w:p>
            <w:pPr>
              <w:pStyle w:val="TableContents"/>
              <w:bidi w:val="0"/>
              <w:spacing w:before="0" w:after="283"/>
              <w:jc w:val="left"/>
              <w:rPr/>
            </w:pPr>
            <w:r>
              <w:rPr/>
              <w:t>  </w:t>
            </w:r>
          </w:p>
        </w:tc>
        <w:tc>
          <w:tcPr>
            <w:tcW w:w="5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Quarter</w:t>
              <w:br/>
              <w:t>Ended</w:t>
            </w:r>
          </w:p>
        </w:tc>
        <w:tc>
          <w:tcPr>
            <w:tcW w:w="210" w:type="dxa"/>
            <w:tcBorders/>
            <w:vAlign w:val="bottom"/>
          </w:tcPr>
          <w:p>
            <w:pPr>
              <w:pStyle w:val="TableContents"/>
              <w:bidi w:val="0"/>
              <w:spacing w:before="0" w:after="283"/>
              <w:jc w:val="left"/>
              <w:rPr/>
            </w:pPr>
            <w:r>
              <w:rPr/>
              <w:t>  </w:t>
            </w:r>
          </w:p>
        </w:tc>
        <w:tc>
          <w:tcPr>
            <w:tcW w:w="5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Twelve</w:t>
              <w:br/>
              <w:t>Months</w:t>
              <w:br/>
              <w:t>Ended</w:t>
            </w:r>
          </w:p>
        </w:tc>
      </w:tr>
      <w:tr>
        <w:trPr>
          <w:trHeight w:val="120" w:hRule="atLeast"/>
        </w:trPr>
        <w:tc>
          <w:tcPr>
            <w:tcW w:w="6449"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807" w:type="dxa"/>
            <w:gridSpan w:val="2"/>
            <w:tcBorders/>
            <w:vAlign w:val="center"/>
          </w:tcPr>
          <w:p>
            <w:pPr>
              <w:pStyle w:val="TableContents"/>
              <w:bidi w:val="0"/>
              <w:spacing w:before="0" w:after="283"/>
              <w:jc w:val="left"/>
              <w:rPr>
                <w:sz w:val="4"/>
                <w:szCs w:val="4"/>
              </w:rPr>
            </w:pPr>
            <w:r>
              <w:rPr>
                <w:sz w:val="4"/>
                <w:szCs w:val="4"/>
              </w:rPr>
            </w:r>
          </w:p>
        </w:tc>
      </w:tr>
      <w:tr>
        <w:trPr/>
        <w:tc>
          <w:tcPr>
            <w:tcW w:w="6449" w:type="dxa"/>
            <w:tcBorders/>
            <w:vAlign w:val="bottom"/>
          </w:tcPr>
          <w:p>
            <w:pPr>
              <w:pStyle w:val="TableContents"/>
              <w:bidi w:val="0"/>
              <w:spacing w:before="0" w:after="283"/>
              <w:jc w:val="left"/>
              <w:rPr/>
            </w:pPr>
            <w:r>
              <w:rPr/>
              <w:t>(i)Consolidated Net Income</w:t>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49"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807" w:type="dxa"/>
            <w:gridSpan w:val="2"/>
            <w:tcBorders/>
            <w:vAlign w:val="center"/>
          </w:tcPr>
          <w:p>
            <w:pPr>
              <w:pStyle w:val="TableContents"/>
              <w:bidi w:val="0"/>
              <w:spacing w:before="0" w:after="283"/>
              <w:jc w:val="left"/>
              <w:rPr>
                <w:sz w:val="4"/>
                <w:szCs w:val="4"/>
              </w:rPr>
            </w:pPr>
            <w:r>
              <w:rPr>
                <w:sz w:val="4"/>
                <w:szCs w:val="4"/>
              </w:rPr>
            </w:r>
          </w:p>
        </w:tc>
      </w:tr>
      <w:tr>
        <w:trPr/>
        <w:tc>
          <w:tcPr>
            <w:tcW w:w="64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(ii)Consolidated Interest Charges</w:t>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49"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807" w:type="dxa"/>
            <w:gridSpan w:val="2"/>
            <w:tcBorders/>
            <w:vAlign w:val="center"/>
          </w:tcPr>
          <w:p>
            <w:pPr>
              <w:pStyle w:val="TableContents"/>
              <w:bidi w:val="0"/>
              <w:spacing w:before="0" w:after="283"/>
              <w:jc w:val="left"/>
              <w:rPr>
                <w:sz w:val="4"/>
                <w:szCs w:val="4"/>
              </w:rPr>
            </w:pPr>
            <w:r>
              <w:rPr>
                <w:sz w:val="4"/>
                <w:szCs w:val="4"/>
              </w:rPr>
            </w:r>
          </w:p>
        </w:tc>
      </w:tr>
      <w:tr>
        <w:trPr/>
        <w:tc>
          <w:tcPr>
            <w:tcW w:w="64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(iii) provision for Federal, state, local and foreign income taxes</w:t>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49"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807" w:type="dxa"/>
            <w:gridSpan w:val="2"/>
            <w:tcBorders/>
            <w:vAlign w:val="center"/>
          </w:tcPr>
          <w:p>
            <w:pPr>
              <w:pStyle w:val="TableContents"/>
              <w:bidi w:val="0"/>
              <w:spacing w:before="0" w:after="283"/>
              <w:jc w:val="left"/>
              <w:rPr>
                <w:sz w:val="4"/>
                <w:szCs w:val="4"/>
              </w:rPr>
            </w:pPr>
            <w:r>
              <w:rPr>
                <w:sz w:val="4"/>
                <w:szCs w:val="4"/>
              </w:rPr>
            </w:r>
          </w:p>
        </w:tc>
      </w:tr>
      <w:tr>
        <w:trPr/>
        <w:tc>
          <w:tcPr>
            <w:tcW w:w="64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(iv) depreciation expense</w:t>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49"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807" w:type="dxa"/>
            <w:gridSpan w:val="2"/>
            <w:tcBorders/>
            <w:vAlign w:val="center"/>
          </w:tcPr>
          <w:p>
            <w:pPr>
              <w:pStyle w:val="TableContents"/>
              <w:bidi w:val="0"/>
              <w:spacing w:before="0" w:after="283"/>
              <w:jc w:val="left"/>
              <w:rPr>
                <w:sz w:val="4"/>
                <w:szCs w:val="4"/>
              </w:rPr>
            </w:pPr>
            <w:r>
              <w:rPr>
                <w:sz w:val="4"/>
                <w:szCs w:val="4"/>
              </w:rPr>
            </w:r>
          </w:p>
        </w:tc>
      </w:tr>
      <w:tr>
        <w:trPr/>
        <w:tc>
          <w:tcPr>
            <w:tcW w:w="64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(v) amortization expense</w:t>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49"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807" w:type="dxa"/>
            <w:gridSpan w:val="2"/>
            <w:tcBorders/>
            <w:vAlign w:val="center"/>
          </w:tcPr>
          <w:p>
            <w:pPr>
              <w:pStyle w:val="TableContents"/>
              <w:bidi w:val="0"/>
              <w:spacing w:before="0" w:after="283"/>
              <w:jc w:val="left"/>
              <w:rPr>
                <w:sz w:val="4"/>
                <w:szCs w:val="4"/>
              </w:rPr>
            </w:pPr>
            <w:r>
              <w:rPr>
                <w:sz w:val="4"/>
                <w:szCs w:val="4"/>
              </w:rPr>
            </w:r>
          </w:p>
        </w:tc>
      </w:tr>
      <w:tr>
        <w:trPr/>
        <w:tc>
          <w:tcPr>
            <w:tcW w:w="64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(vi) non-cash stock-based compensation expense</w:t>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49"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807" w:type="dxa"/>
            <w:gridSpan w:val="2"/>
            <w:tcBorders/>
            <w:vAlign w:val="center"/>
          </w:tcPr>
          <w:p>
            <w:pPr>
              <w:pStyle w:val="TableContents"/>
              <w:bidi w:val="0"/>
              <w:spacing w:before="0" w:after="283"/>
              <w:jc w:val="left"/>
              <w:rPr>
                <w:sz w:val="4"/>
                <w:szCs w:val="4"/>
              </w:rPr>
            </w:pPr>
            <w:r>
              <w:rPr>
                <w:sz w:val="4"/>
                <w:szCs w:val="4"/>
              </w:rPr>
            </w:r>
          </w:p>
        </w:tc>
      </w:tr>
      <w:tr>
        <w:trPr/>
        <w:tc>
          <w:tcPr>
            <w:tcW w:w="64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(vii) non-recurring expenses relating to pension liabilities, in an aggregate amount not to exceed $300,000,000</w:t>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49"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807" w:type="dxa"/>
            <w:gridSpan w:val="2"/>
            <w:tcBorders/>
            <w:vAlign w:val="center"/>
          </w:tcPr>
          <w:p>
            <w:pPr>
              <w:pStyle w:val="TableContents"/>
              <w:bidi w:val="0"/>
              <w:spacing w:before="0" w:after="283"/>
              <w:jc w:val="left"/>
              <w:rPr>
                <w:sz w:val="4"/>
                <w:szCs w:val="4"/>
              </w:rPr>
            </w:pPr>
            <w:r>
              <w:rPr>
                <w:sz w:val="4"/>
                <w:szCs w:val="4"/>
              </w:rPr>
            </w:r>
          </w:p>
        </w:tc>
      </w:tr>
      <w:tr>
        <w:trPr/>
        <w:tc>
          <w:tcPr>
            <w:tcW w:w="64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(viii) non-recurring expenses which do not represent a cash item in such period or any</w:t>
              <w:br/>
              <w:t>future period</w:t>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49"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807" w:type="dxa"/>
            <w:gridSpan w:val="2"/>
            <w:tcBorders/>
            <w:vAlign w:val="center"/>
          </w:tcPr>
          <w:p>
            <w:pPr>
              <w:pStyle w:val="TableContents"/>
              <w:bidi w:val="0"/>
              <w:spacing w:before="0" w:after="283"/>
              <w:jc w:val="left"/>
              <w:rPr>
                <w:sz w:val="4"/>
                <w:szCs w:val="4"/>
              </w:rPr>
            </w:pPr>
            <w:r>
              <w:rPr>
                <w:sz w:val="4"/>
                <w:szCs w:val="4"/>
              </w:rPr>
            </w:r>
          </w:p>
        </w:tc>
      </w:tr>
      <w:tr>
        <w:trPr/>
        <w:tc>
          <w:tcPr>
            <w:tcW w:w="64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(ix) non-recurring cash expenses to the extent such cash expenses are not paid in such period but will be paid in a future period</w:t>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49"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807" w:type="dxa"/>
            <w:gridSpan w:val="2"/>
            <w:tcBorders/>
            <w:vAlign w:val="center"/>
          </w:tcPr>
          <w:p>
            <w:pPr>
              <w:pStyle w:val="TableContents"/>
              <w:bidi w:val="0"/>
              <w:spacing w:before="0" w:after="283"/>
              <w:jc w:val="left"/>
              <w:rPr>
                <w:sz w:val="4"/>
                <w:szCs w:val="4"/>
              </w:rPr>
            </w:pPr>
            <w:r>
              <w:rPr>
                <w:sz w:val="4"/>
                <w:szCs w:val="4"/>
              </w:rPr>
            </w:r>
          </w:p>
        </w:tc>
      </w:tr>
      <w:tr>
        <w:trPr/>
        <w:tc>
          <w:tcPr>
            <w:tcW w:w="64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(x) fees and expenses incurred in connection with the execution and delivery of the Credit Agreement and the related transactions</w:t>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49"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807" w:type="dxa"/>
            <w:gridSpan w:val="2"/>
            <w:tcBorders/>
            <w:vAlign w:val="center"/>
          </w:tcPr>
          <w:p>
            <w:pPr>
              <w:pStyle w:val="TableContents"/>
              <w:bidi w:val="0"/>
              <w:spacing w:before="0" w:after="283"/>
              <w:jc w:val="left"/>
              <w:rPr>
                <w:sz w:val="4"/>
                <w:szCs w:val="4"/>
              </w:rPr>
            </w:pPr>
            <w:r>
              <w:rPr>
                <w:sz w:val="4"/>
                <w:szCs w:val="4"/>
              </w:rPr>
            </w:r>
          </w:p>
        </w:tc>
      </w:tr>
      <w:tr>
        <w:trPr/>
        <w:tc>
          <w:tcPr>
            <w:tcW w:w="64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(xi) fees and expenses incurred in connection with any Qualified Acquisition</w:t>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49" w:type="dxa"/>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804" w:type="dxa"/>
            <w:gridSpan w:val="2"/>
            <w:tcBorders/>
            <w:vAlign w:val="center"/>
          </w:tcPr>
          <w:p>
            <w:pPr>
              <w:pStyle w:val="TableContents"/>
              <w:bidi w:val="0"/>
              <w:spacing w:before="0" w:after="283"/>
              <w:jc w:val="left"/>
              <w:rPr>
                <w:sz w:val="4"/>
                <w:szCs w:val="4"/>
              </w:rPr>
            </w:pPr>
            <w:r>
              <w:rPr>
                <w:sz w:val="4"/>
                <w:szCs w:val="4"/>
              </w:rPr>
            </w:r>
          </w:p>
        </w:tc>
        <w:tc>
          <w:tcPr>
            <w:tcW w:w="807" w:type="dxa"/>
            <w:gridSpan w:val="2"/>
            <w:tcBorders/>
            <w:vAlign w:val="center"/>
          </w:tcPr>
          <w:p>
            <w:pPr>
              <w:pStyle w:val="TableContents"/>
              <w:bidi w:val="0"/>
              <w:spacing w:before="0" w:after="283"/>
              <w:jc w:val="left"/>
              <w:rPr>
                <w:sz w:val="4"/>
                <w:szCs w:val="4"/>
              </w:rPr>
            </w:pPr>
            <w:r>
              <w:rPr>
                <w:sz w:val="4"/>
                <w:szCs w:val="4"/>
              </w:rPr>
            </w:r>
          </w:p>
        </w:tc>
      </w:tr>
      <w:tr>
        <w:trPr/>
        <w:tc>
          <w:tcPr>
            <w:tcW w:w="6449" w:type="dxa"/>
            <w:tcBorders/>
            <w:vAlign w:val="bottom"/>
          </w:tcPr>
          <w:p>
            <w:pPr>
              <w:pStyle w:val="TableContents"/>
              <w:bidi w:val="0"/>
              <w:spacing w:before="0" w:after="0"/>
              <w:jc w:val="left"/>
              <w:rPr/>
            </w:pPr>
            <w:r>
              <w:rPr/>
              <w:t>–</w:t>
            </w:r>
          </w:p>
          <w:p>
            <w:pPr>
              <w:pStyle w:val="TableContents"/>
              <w:bidi w:val="0"/>
              <w:spacing w:before="0" w:after="20"/>
              <w:jc w:val="left"/>
              <w:rPr>
                <w:rFonts w:ascii="Times New Roman" w:hAnsi="Times New Roman"/>
                <w:sz w:val="20"/>
              </w:rPr>
            </w:pPr>
            <w:r>
              <w:rPr>
                <w:rFonts w:ascii="Times New Roman" w:hAnsi="Times New Roman"/>
                <w:sz w:val="20"/>
              </w:rPr>
              <w:t>(xii) non-recurring cash expenses that were previously added back to Consolidated EBITDA in a prior period pursuant to the entry in item (ix) above to the extent such cash expenses are paid in such period</w:t>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347"/>
        <w:gridCol w:w="101"/>
        <w:gridCol w:w="2552"/>
        <w:gridCol w:w="101"/>
        <w:gridCol w:w="2553"/>
        <w:gridCol w:w="101"/>
        <w:gridCol w:w="2450"/>
      </w:tblGrid>
      <w:tr>
        <w:trPr/>
        <w:tc>
          <w:tcPr>
            <w:tcW w:w="23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2654"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0"/>
              <w:jc w:val="left"/>
              <w:rPr/>
            </w:pPr>
            <w:r>
              <w:rPr/>
              <w:t>–</w:t>
            </w:r>
          </w:p>
          <w:p>
            <w:pPr>
              <w:pStyle w:val="TableContents"/>
              <w:bidi w:val="0"/>
              <w:spacing w:before="0" w:after="20"/>
              <w:jc w:val="left"/>
              <w:rPr>
                <w:rFonts w:ascii="Times New Roman" w:hAnsi="Times New Roman"/>
                <w:sz w:val="20"/>
              </w:rPr>
            </w:pPr>
            <w:r>
              <w:rPr>
                <w:rFonts w:ascii="Times New Roman" w:hAnsi="Times New Roman"/>
                <w:sz w:val="20"/>
              </w:rPr>
              <w:t>(xiii) non-recurring non-cash items increasing Consolidated Net Income</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sz w:val="4"/>
                <w:szCs w:val="4"/>
              </w:rPr>
            </w:pPr>
            <w:r>
              <w:rPr>
                <w:sz w:val="4"/>
                <w:szCs w:val="4"/>
              </w:rPr>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2654"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pPr>
            <w:r>
              <w:rPr/>
              <w:t>= Consolidated EBITDA</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sz w:val="4"/>
                <w:szCs w:val="4"/>
              </w:rPr>
            </w:pPr>
            <w:r>
              <w:rPr>
                <w:sz w:val="4"/>
                <w:szCs w:val="4"/>
              </w:rPr>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2654"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[Describe all Consolidated EBITDA Adjustments, if any]</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sz w:val="4"/>
                <w:szCs w:val="4"/>
              </w:rPr>
            </w:pPr>
            <w:r>
              <w:rPr>
                <w:sz w:val="4"/>
                <w:szCs w:val="4"/>
              </w:rPr>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2654" w:type="dxa"/>
            <w:gridSpan w:val="2"/>
            <w:tcBorders/>
            <w:vAlign w:val="center"/>
          </w:tcPr>
          <w:p>
            <w:pPr>
              <w:pStyle w:val="TableContents"/>
              <w:bidi w:val="0"/>
              <w:spacing w:before="0" w:after="283"/>
              <w:jc w:val="left"/>
              <w:rPr>
                <w:sz w:val="4"/>
                <w:szCs w:val="4"/>
              </w:rPr>
            </w:pPr>
            <w:r>
              <w:rPr>
                <w:sz w:val="4"/>
                <w:szCs w:val="4"/>
              </w:rPr>
            </w:r>
          </w:p>
        </w:tc>
        <w:tc>
          <w:tcPr>
            <w:tcW w:w="2551"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pPr>
            <w:r>
              <w:rPr/>
              <w:t>= Consolidated EBITDA, after giving effect to Consolidated EBITDA Adjustments</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10.06 </w:t>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ASSIGNMENT AND ASSUMPTION </w:t>
      </w:r>
    </w:p>
    <w:p>
      <w:pPr>
        <w:pStyle w:val="TextBody"/>
        <w:bidi w:val="0"/>
        <w:spacing w:before="240" w:after="0"/>
        <w:jc w:val="left"/>
        <w:rPr>
          <w:rFonts w:ascii="Times New Roman" w:hAnsi="Times New Roman"/>
          <w:sz w:val="20"/>
        </w:rPr>
      </w:pPr>
      <w:r>
        <w:rPr>
          <w:rFonts w:ascii="Times New Roman" w:hAnsi="Times New Roman"/>
          <w:sz w:val="20"/>
        </w:rPr>
        <w:t>This Assignment and Assumption (this “</w:t>
      </w:r>
      <w:r>
        <w:rPr>
          <w:rFonts w:ascii="Times New Roman" w:hAnsi="Times New Roman"/>
          <w:sz w:val="20"/>
          <w:u w:val="single"/>
        </w:rPr>
        <w:t>Assignment and Assumption</w:t>
      </w:r>
      <w:r>
        <w:rPr>
          <w:rFonts w:ascii="Times New Roman" w:hAnsi="Times New Roman"/>
          <w:sz w:val="20"/>
        </w:rPr>
        <w:t>”) is dated as of the Effective Date set forth below and is entered into by and between [the][each]1 Assignor identified in item 1 below ([the][each, an] “</w:t>
      </w:r>
      <w:r>
        <w:rPr>
          <w:rFonts w:ascii="Times New Roman" w:hAnsi="Times New Roman"/>
          <w:sz w:val="20"/>
          <w:u w:val="single"/>
        </w:rPr>
        <w:t>Assignor</w:t>
      </w:r>
      <w:r>
        <w:rPr>
          <w:rFonts w:ascii="Times New Roman" w:hAnsi="Times New Roman"/>
          <w:sz w:val="20"/>
        </w:rPr>
        <w:t>”) and [the][each]2 Assignee identified in item 2 below ([the][each, an] “</w:t>
      </w:r>
      <w:r>
        <w:rPr>
          <w:rFonts w:ascii="Times New Roman" w:hAnsi="Times New Roman"/>
          <w:sz w:val="20"/>
          <w:u w:val="single"/>
        </w:rPr>
        <w:t>Assignee</w:t>
      </w:r>
      <w:r>
        <w:rPr>
          <w:rFonts w:ascii="Times New Roman" w:hAnsi="Times New Roman"/>
          <w:sz w:val="20"/>
        </w:rPr>
        <w:t>”). [It is understood and agreed that the rights and obligations of [the Assignors][the Assignees]3 hereunder are several and not joint.]4 Capitalized terms used but not defined herein shall have the meanings given to them in the Credit Agreement identified below (the “</w:t>
      </w:r>
      <w:r>
        <w:rPr>
          <w:rFonts w:ascii="Times New Roman" w:hAnsi="Times New Roman"/>
          <w:sz w:val="20"/>
          <w:u w:val="single"/>
        </w:rPr>
        <w:t>Credit Agreement</w:t>
      </w:r>
      <w:r>
        <w:rPr>
          <w:rFonts w:ascii="Times New Roman" w:hAnsi="Times New Roman"/>
          <w:sz w:val="20"/>
        </w:rPr>
        <w:t xml:space="preserve">”), receipt of a copy of which is hereby acknowledged by [the][each] Assignee. The Standard Terms and Conditions set forth in </w:t>
      </w:r>
      <w:r>
        <w:rPr>
          <w:rFonts w:ascii="Times New Roman" w:hAnsi="Times New Roman"/>
          <w:sz w:val="20"/>
          <w:u w:val="single"/>
        </w:rPr>
        <w:t>Annex 1</w:t>
      </w:r>
      <w:r>
        <w:rPr>
          <w:rFonts w:ascii="Times New Roman" w:hAnsi="Times New Roman"/>
          <w:sz w:val="20"/>
        </w:rPr>
        <w:t xml:space="preserve"> attached hereto are hereby agreed to and incorporated herein by reference and made a part of this Assignment and Assumption as if set forth herein in full. </w:t>
      </w:r>
    </w:p>
    <w:p>
      <w:pPr>
        <w:pStyle w:val="TextBody"/>
        <w:bidi w:val="0"/>
        <w:spacing w:before="240" w:after="0"/>
        <w:jc w:val="left"/>
        <w:rPr>
          <w:rFonts w:ascii="Times New Roman" w:hAnsi="Times New Roman"/>
          <w:sz w:val="20"/>
        </w:rPr>
      </w:pPr>
      <w:r>
        <w:rPr>
          <w:rFonts w:ascii="Times New Roman" w:hAnsi="Times New Roman"/>
          <w:sz w:val="20"/>
        </w:rPr>
        <w:t xml:space="preserve">For an agreed consideration, [the][each] Assignor hereby irrevocably sells and assigns to [the Assignee][the respective Assignees], and [the][each] Assignee hereby irrevocably purchases and assumes from [the Assignor] [the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below5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w:t>
      </w:r>
      <w:r>
        <w:rPr>
          <w:rFonts w:ascii="Times New Roman" w:hAnsi="Times New Roman"/>
          <w:sz w:val="20"/>
          <w:u w:val="single"/>
        </w:rPr>
        <w:t>clause (i)</w:t>
      </w:r>
      <w:r>
        <w:rPr>
          <w:rFonts w:ascii="Times New Roman" w:hAnsi="Times New Roman"/>
          <w:sz w:val="20"/>
        </w:rPr>
        <w:t xml:space="preserve"> above (the rights and obligations sold and assigned by [the][any] Assignor to [the][any] Assignee pursuant to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being referred to herein collectively as [the][an] “</w:t>
      </w:r>
      <w:r>
        <w:rPr>
          <w:rFonts w:ascii="Times New Roman" w:hAnsi="Times New Roman"/>
          <w:sz w:val="20"/>
          <w:u w:val="single"/>
        </w:rPr>
        <w:t>Assigned</w:t>
      </w:r>
      <w:r>
        <w:rPr>
          <w:rFonts w:ascii="Times New Roman" w:hAnsi="Times New Roman"/>
          <w:sz w:val="20"/>
        </w:rPr>
        <w:t xml:space="preserve"> </w:t>
      </w:r>
      <w:r>
        <w:rPr>
          <w:rFonts w:ascii="Times New Roman" w:hAnsi="Times New Roman"/>
          <w:sz w:val="20"/>
          <w:u w:val="single"/>
        </w:rPr>
        <w:t>Interest</w:t>
      </w:r>
      <w:r>
        <w:rPr>
          <w:rFonts w:ascii="Times New Roman" w:hAnsi="Times New Roman"/>
          <w:sz w:val="20"/>
        </w:rPr>
        <w:t xml:space="preserve">”). Each such sale and assignment is without recourse to [the][any] Assignor and, except as expressly provided in this Assignment and Assumption, without representation or warranty by [the][any] Assignor.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
        <w:gridCol w:w="135"/>
        <w:gridCol w:w="1980"/>
        <w:gridCol w:w="135"/>
        <w:gridCol w:w="7813"/>
      </w:tblGrid>
      <w:tr>
        <w:trPr/>
        <w:tc>
          <w:tcPr>
            <w:tcW w:w="142"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813" w:type="dxa"/>
            <w:tcBorders/>
            <w:vAlign w:val="center"/>
          </w:tcPr>
          <w:p>
            <w:pPr>
              <w:pStyle w:val="TableContents"/>
              <w:bidi w:val="0"/>
              <w:spacing w:before="0" w:after="283"/>
              <w:jc w:val="left"/>
              <w:rPr>
                <w:sz w:val="4"/>
                <w:szCs w:val="4"/>
              </w:rPr>
            </w:pPr>
            <w:r>
              <w:rPr>
                <w:sz w:val="4"/>
                <w:szCs w:val="4"/>
              </w:rPr>
            </w:r>
          </w:p>
        </w:tc>
      </w:tr>
      <w:tr>
        <w:trPr/>
        <w:tc>
          <w:tcPr>
            <w:tcW w:w="142" w:type="dxa"/>
            <w:tcBorders/>
          </w:tcPr>
          <w:p>
            <w:pPr>
              <w:pStyle w:val="TableContents"/>
              <w:bidi w:val="0"/>
              <w:spacing w:before="0" w:after="283"/>
              <w:jc w:val="left"/>
              <w:rPr/>
            </w:pPr>
            <w:r>
              <w:rPr/>
              <w:t>1.</w:t>
            </w:r>
          </w:p>
        </w:tc>
        <w:tc>
          <w:tcPr>
            <w:tcW w:w="135"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left"/>
              <w:rPr>
                <w:u w:val="single"/>
              </w:rPr>
            </w:pPr>
            <w:r>
              <w:rPr>
                <w:u w:val="single"/>
              </w:rPr>
              <w:t>Assignor:[s]:</w:t>
            </w:r>
          </w:p>
        </w:tc>
        <w:tc>
          <w:tcPr>
            <w:tcW w:w="135" w:type="dxa"/>
            <w:tcBorders/>
            <w:vAlign w:val="bottom"/>
          </w:tcPr>
          <w:p>
            <w:pPr>
              <w:pStyle w:val="TableContents"/>
              <w:bidi w:val="0"/>
              <w:spacing w:before="0" w:after="283"/>
              <w:jc w:val="left"/>
              <w:rPr/>
            </w:pPr>
            <w:r>
              <w:rPr/>
              <w:t>  </w:t>
            </w:r>
          </w:p>
        </w:tc>
        <w:tc>
          <w:tcPr>
            <w:tcW w:w="7813" w:type="dxa"/>
            <w:tcBorders/>
          </w:tcPr>
          <w:p>
            <w:pPr>
              <w:pStyle w:val="TableContents"/>
              <w:pBdr>
                <w:bottom w:val="single" w:sz="2" w:space="1" w:color="000000"/>
              </w:pBdr>
              <w:bidi w:val="0"/>
              <w:spacing w:before="0" w:after="20"/>
              <w:jc w:val="left"/>
              <w:rPr/>
            </w:pPr>
            <w:r>
              <w:rPr/>
              <w:t> </w:t>
            </w:r>
          </w:p>
        </w:tc>
      </w:tr>
      <w:tr>
        <w:trPr>
          <w:trHeight w:val="120" w:hRule="atLeast"/>
        </w:trPr>
        <w:tc>
          <w:tcPr>
            <w:tcW w:w="142" w:type="dxa"/>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c>
          <w:tcPr>
            <w:tcW w:w="7948" w:type="dxa"/>
            <w:gridSpan w:val="2"/>
            <w:tcBorders/>
            <w:vAlign w:val="center"/>
          </w:tcPr>
          <w:p>
            <w:pPr>
              <w:pStyle w:val="TableContents"/>
              <w:bidi w:val="0"/>
              <w:spacing w:before="0" w:after="283"/>
              <w:jc w:val="left"/>
              <w:rPr>
                <w:sz w:val="4"/>
                <w:szCs w:val="4"/>
              </w:rPr>
            </w:pPr>
            <w:r>
              <w:rPr>
                <w:sz w:val="4"/>
                <w:szCs w:val="4"/>
              </w:rPr>
            </w:r>
          </w:p>
        </w:tc>
      </w:tr>
      <w:tr>
        <w:trPr/>
        <w:tc>
          <w:tcPr>
            <w:tcW w:w="142" w:type="dxa"/>
            <w:tcBorders/>
          </w:tcPr>
          <w:p>
            <w:pPr>
              <w:pStyle w:val="TableContents"/>
              <w:bidi w:val="0"/>
              <w:spacing w:before="0" w:after="283"/>
              <w:jc w:val="left"/>
              <w:rPr/>
            </w:pPr>
            <w:r>
              <w:rPr/>
              <w:t>2.</w:t>
            </w:r>
          </w:p>
        </w:tc>
        <w:tc>
          <w:tcPr>
            <w:tcW w:w="135"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left"/>
              <w:rPr>
                <w:u w:val="single"/>
              </w:rPr>
            </w:pPr>
            <w:r>
              <w:rPr>
                <w:u w:val="single"/>
              </w:rPr>
              <w:t>Assignee:[s]:</w:t>
            </w:r>
          </w:p>
        </w:tc>
        <w:tc>
          <w:tcPr>
            <w:tcW w:w="135" w:type="dxa"/>
            <w:tcBorders/>
            <w:vAlign w:val="bottom"/>
          </w:tcPr>
          <w:p>
            <w:pPr>
              <w:pStyle w:val="TableContents"/>
              <w:bidi w:val="0"/>
              <w:spacing w:before="0" w:after="283"/>
              <w:jc w:val="left"/>
              <w:rPr/>
            </w:pPr>
            <w:r>
              <w:rPr/>
              <w:t>  </w:t>
            </w:r>
          </w:p>
        </w:tc>
        <w:tc>
          <w:tcPr>
            <w:tcW w:w="7813" w:type="dxa"/>
            <w:tcBorders/>
          </w:tcPr>
          <w:p>
            <w:pPr>
              <w:pStyle w:val="TableContents"/>
              <w:pBdr>
                <w:bottom w:val="single" w:sz="2" w:space="1" w:color="000000"/>
              </w:pBdr>
              <w:bidi w:val="0"/>
              <w:spacing w:before="0" w:after="20"/>
              <w:jc w:val="left"/>
              <w:rPr/>
            </w:pPr>
            <w:r>
              <w:rPr/>
              <w:t> </w:t>
            </w:r>
          </w:p>
        </w:tc>
      </w:tr>
      <w:tr>
        <w:trPr>
          <w:trHeight w:val="120" w:hRule="atLeast"/>
        </w:trPr>
        <w:tc>
          <w:tcPr>
            <w:tcW w:w="142" w:type="dxa"/>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c>
          <w:tcPr>
            <w:tcW w:w="7948" w:type="dxa"/>
            <w:gridSpan w:val="2"/>
            <w:tcBorders/>
            <w:vAlign w:val="center"/>
          </w:tcPr>
          <w:p>
            <w:pPr>
              <w:pStyle w:val="TableContents"/>
              <w:bidi w:val="0"/>
              <w:spacing w:before="0" w:after="283"/>
              <w:jc w:val="left"/>
              <w:rPr>
                <w:sz w:val="4"/>
                <w:szCs w:val="4"/>
              </w:rPr>
            </w:pPr>
            <w:r>
              <w:rPr>
                <w:sz w:val="4"/>
                <w:szCs w:val="4"/>
              </w:rPr>
            </w:r>
          </w:p>
        </w:tc>
      </w:tr>
      <w:tr>
        <w:trPr/>
        <w:tc>
          <w:tcPr>
            <w:tcW w:w="142"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813" w:type="dxa"/>
            <w:tcBorders/>
          </w:tcPr>
          <w:p>
            <w:pPr>
              <w:pStyle w:val="TableContents"/>
              <w:pBdr>
                <w:bottom w:val="single" w:sz="2" w:space="1" w:color="000000"/>
              </w:pBdr>
              <w:bidi w:val="0"/>
              <w:spacing w:before="0" w:after="20"/>
              <w:jc w:val="left"/>
              <w:rPr/>
            </w:pPr>
            <w:r>
              <w:rPr/>
              <w:t> </w:t>
            </w:r>
          </w:p>
        </w:tc>
      </w:tr>
      <w:tr>
        <w:trPr/>
        <w:tc>
          <w:tcPr>
            <w:tcW w:w="142"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283"/>
              <w:jc w:val="left"/>
              <w:rPr/>
            </w:pPr>
            <w:r>
              <w:rPr/>
              <w:t xml:space="preserve">[for each Assignee, indicate [Lender] [[Affiliate] [Approved Fund] of </w:t>
            </w:r>
            <w:r>
              <w:rPr>
                <w:i/>
              </w:rPr>
              <w:t>[identify Lender]</w:t>
            </w:r>
            <w:r>
              <w:rPr/>
              <w:t>]</w:t>
            </w:r>
          </w:p>
        </w:tc>
      </w:tr>
      <w:tr>
        <w:trPr>
          <w:trHeight w:val="120" w:hRule="atLeast"/>
        </w:trPr>
        <w:tc>
          <w:tcPr>
            <w:tcW w:w="142" w:type="dxa"/>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c>
          <w:tcPr>
            <w:tcW w:w="7948" w:type="dxa"/>
            <w:gridSpan w:val="2"/>
            <w:tcBorders/>
            <w:vAlign w:val="center"/>
          </w:tcPr>
          <w:p>
            <w:pPr>
              <w:pStyle w:val="TableContents"/>
              <w:bidi w:val="0"/>
              <w:spacing w:before="0" w:after="283"/>
              <w:jc w:val="left"/>
              <w:rPr>
                <w:sz w:val="4"/>
                <w:szCs w:val="4"/>
              </w:rPr>
            </w:pPr>
            <w:r>
              <w:rPr>
                <w:sz w:val="4"/>
                <w:szCs w:val="4"/>
              </w:rPr>
            </w:r>
          </w:p>
        </w:tc>
      </w:tr>
      <w:tr>
        <w:trPr/>
        <w:tc>
          <w:tcPr>
            <w:tcW w:w="142" w:type="dxa"/>
            <w:tcBorders/>
          </w:tcPr>
          <w:p>
            <w:pPr>
              <w:pStyle w:val="TableContents"/>
              <w:bidi w:val="0"/>
              <w:spacing w:before="0" w:after="283"/>
              <w:jc w:val="left"/>
              <w:rPr/>
            </w:pPr>
            <w:r>
              <w:rPr/>
              <w:t>3.</w:t>
            </w:r>
          </w:p>
        </w:tc>
        <w:tc>
          <w:tcPr>
            <w:tcW w:w="135"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left"/>
              <w:rPr>
                <w:u w:val="single"/>
              </w:rPr>
            </w:pPr>
            <w:r>
              <w:rPr>
                <w:u w:val="single"/>
              </w:rPr>
              <w:t>Company:</w:t>
            </w:r>
          </w:p>
        </w:tc>
        <w:tc>
          <w:tcPr>
            <w:tcW w:w="135"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283"/>
              <w:jc w:val="left"/>
              <w:rPr/>
            </w:pPr>
            <w:r>
              <w:rPr/>
              <w:t>Analog Devices, Inc., a Massachusetts corporation</w:t>
            </w:r>
          </w:p>
        </w:tc>
      </w:tr>
      <w:tr>
        <w:trPr>
          <w:trHeight w:val="120" w:hRule="atLeast"/>
        </w:trPr>
        <w:tc>
          <w:tcPr>
            <w:tcW w:w="142" w:type="dxa"/>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c>
          <w:tcPr>
            <w:tcW w:w="7948" w:type="dxa"/>
            <w:gridSpan w:val="2"/>
            <w:tcBorders/>
            <w:vAlign w:val="center"/>
          </w:tcPr>
          <w:p>
            <w:pPr>
              <w:pStyle w:val="TableContents"/>
              <w:bidi w:val="0"/>
              <w:spacing w:before="0" w:after="283"/>
              <w:jc w:val="left"/>
              <w:rPr>
                <w:sz w:val="4"/>
                <w:szCs w:val="4"/>
              </w:rPr>
            </w:pPr>
            <w:r>
              <w:rPr>
                <w:sz w:val="4"/>
                <w:szCs w:val="4"/>
              </w:rPr>
            </w:r>
          </w:p>
        </w:tc>
      </w:tr>
      <w:tr>
        <w:trPr/>
        <w:tc>
          <w:tcPr>
            <w:tcW w:w="142" w:type="dxa"/>
            <w:tcBorders/>
          </w:tcPr>
          <w:p>
            <w:pPr>
              <w:pStyle w:val="TableContents"/>
              <w:bidi w:val="0"/>
              <w:spacing w:before="0" w:after="283"/>
              <w:jc w:val="left"/>
              <w:rPr/>
            </w:pPr>
            <w:r>
              <w:rPr/>
              <w:t>4.</w:t>
            </w:r>
          </w:p>
        </w:tc>
        <w:tc>
          <w:tcPr>
            <w:tcW w:w="135"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left"/>
              <w:rPr/>
            </w:pPr>
            <w:r>
              <w:rPr>
                <w:u w:val="single"/>
              </w:rPr>
              <w:t>Administrative Agent</w:t>
            </w:r>
            <w:r>
              <w:rPr/>
              <w:t>:</w:t>
            </w:r>
          </w:p>
        </w:tc>
        <w:tc>
          <w:tcPr>
            <w:tcW w:w="135"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283"/>
              <w:jc w:val="left"/>
              <w:rPr/>
            </w:pPr>
            <w:r>
              <w:rPr/>
              <w:t>Bank of America, N.A., as the administrative agent under the Credit Agreement</w:t>
            </w:r>
          </w:p>
        </w:tc>
      </w:tr>
      <w:tr>
        <w:trPr>
          <w:trHeight w:val="120" w:hRule="atLeast"/>
        </w:trPr>
        <w:tc>
          <w:tcPr>
            <w:tcW w:w="142" w:type="dxa"/>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c>
          <w:tcPr>
            <w:tcW w:w="7948" w:type="dxa"/>
            <w:gridSpan w:val="2"/>
            <w:tcBorders/>
            <w:vAlign w:val="center"/>
          </w:tcPr>
          <w:p>
            <w:pPr>
              <w:pStyle w:val="TableContents"/>
              <w:bidi w:val="0"/>
              <w:spacing w:before="0" w:after="283"/>
              <w:jc w:val="left"/>
              <w:rPr>
                <w:sz w:val="4"/>
                <w:szCs w:val="4"/>
              </w:rPr>
            </w:pPr>
            <w:r>
              <w:rPr>
                <w:sz w:val="4"/>
                <w:szCs w:val="4"/>
              </w:rPr>
            </w:r>
          </w:p>
        </w:tc>
      </w:tr>
      <w:tr>
        <w:trPr/>
        <w:tc>
          <w:tcPr>
            <w:tcW w:w="142" w:type="dxa"/>
            <w:tcBorders/>
          </w:tcPr>
          <w:p>
            <w:pPr>
              <w:pStyle w:val="TableContents"/>
              <w:bidi w:val="0"/>
              <w:spacing w:before="0" w:after="283"/>
              <w:jc w:val="left"/>
              <w:rPr/>
            </w:pPr>
            <w:r>
              <w:rPr/>
              <w:t>5.</w:t>
            </w:r>
          </w:p>
        </w:tc>
        <w:tc>
          <w:tcPr>
            <w:tcW w:w="135"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left"/>
              <w:rPr/>
            </w:pPr>
            <w:r>
              <w:rPr>
                <w:u w:val="single"/>
              </w:rPr>
              <w:t>Credit Agreement</w:t>
            </w:r>
            <w:r>
              <w:rPr/>
              <w:t>:</w:t>
            </w:r>
          </w:p>
        </w:tc>
        <w:tc>
          <w:tcPr>
            <w:tcW w:w="135" w:type="dxa"/>
            <w:tcBorders/>
            <w:vAlign w:val="bottom"/>
          </w:tcPr>
          <w:p>
            <w:pPr>
              <w:pStyle w:val="TableContents"/>
              <w:bidi w:val="0"/>
              <w:spacing w:before="0" w:after="283"/>
              <w:jc w:val="left"/>
              <w:rPr/>
            </w:pPr>
            <w:r>
              <w:rPr/>
              <w:t>  </w:t>
            </w:r>
          </w:p>
        </w:tc>
        <w:tc>
          <w:tcPr>
            <w:tcW w:w="7813" w:type="dxa"/>
            <w:tcBorders/>
          </w:tcPr>
          <w:p>
            <w:pPr>
              <w:pStyle w:val="TableContents"/>
              <w:bidi w:val="0"/>
              <w:spacing w:before="0" w:after="283"/>
              <w:jc w:val="left"/>
              <w:rPr/>
            </w:pPr>
            <w:r>
              <w:rPr/>
              <w:t>Credit Agreement, dated as of July 2, 2026, among the Company, the Designated Borrowers, the Lenders from time to time party thereto, and Bank of America, N.A., as Administrative Agent, as amended, restated, extended, supplemented or otherwise modified in writing from time to time.</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bracketed language here and elsewhere in this form relating to the Assignor(s), if the assignment is from a single Assignor, choose the first bracketed language. If the assignment is from multiple Assignors, choose the second bracketed language.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bracketed language here and elsewhere in this form relating to the Assignee(s), if the assignment is to a single Assignee, choose the first bracketed language. If the assignment is to multiple Assignees, choose the second bracketed language.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 as appropriate.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bracketed language if there are either multiple Assignors or multiple Assignees.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all applicable subfacilities.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Assigned Interest</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11"/>
        <w:gridCol w:w="293"/>
        <w:gridCol w:w="1338"/>
        <w:gridCol w:w="344"/>
        <w:gridCol w:w="1882"/>
        <w:gridCol w:w="344"/>
        <w:gridCol w:w="2310"/>
        <w:gridCol w:w="344"/>
        <w:gridCol w:w="1639"/>
      </w:tblGrid>
      <w:tr>
        <w:trPr/>
        <w:tc>
          <w:tcPr>
            <w:tcW w:w="1711"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Assignor[s]1</w:t>
            </w:r>
          </w:p>
        </w:tc>
        <w:tc>
          <w:tcPr>
            <w:tcW w:w="293" w:type="dxa"/>
            <w:tcBorders/>
            <w:vAlign w:val="bottom"/>
          </w:tcPr>
          <w:p>
            <w:pPr>
              <w:pStyle w:val="TableContents"/>
              <w:bidi w:val="0"/>
              <w:spacing w:before="0" w:after="283"/>
              <w:jc w:val="left"/>
              <w:rPr/>
            </w:pPr>
            <w:r>
              <w:rPr/>
              <w:t>  </w:t>
            </w:r>
          </w:p>
        </w:tc>
        <w:tc>
          <w:tcPr>
            <w:tcW w:w="13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Assignee[s]2</w:t>
            </w:r>
          </w:p>
        </w:tc>
        <w:tc>
          <w:tcPr>
            <w:tcW w:w="344" w:type="dxa"/>
            <w:tcBorders/>
            <w:vAlign w:val="bottom"/>
          </w:tcPr>
          <w:p>
            <w:pPr>
              <w:pStyle w:val="TableContents"/>
              <w:bidi w:val="0"/>
              <w:spacing w:before="0" w:after="283"/>
              <w:jc w:val="left"/>
              <w:rPr/>
            </w:pPr>
            <w:r>
              <w:rPr/>
              <w:t>  </w:t>
            </w:r>
          </w:p>
        </w:tc>
        <w:tc>
          <w:tcPr>
            <w:tcW w:w="18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Aggregate Amount of</w:t>
              <w:br/>
              <w:t>Commitment/ Loans</w:t>
              <w:br/>
              <w:t>for all Lenders3</w:t>
            </w:r>
          </w:p>
        </w:tc>
        <w:tc>
          <w:tcPr>
            <w:tcW w:w="344" w:type="dxa"/>
            <w:tcBorders/>
            <w:vAlign w:val="bottom"/>
          </w:tcPr>
          <w:p>
            <w:pPr>
              <w:pStyle w:val="TableContents"/>
              <w:bidi w:val="0"/>
              <w:spacing w:before="0" w:after="283"/>
              <w:jc w:val="left"/>
              <w:rPr/>
            </w:pPr>
            <w:r>
              <w:rPr/>
              <w:t>  </w:t>
            </w:r>
          </w:p>
        </w:tc>
        <w:tc>
          <w:tcPr>
            <w:tcW w:w="2310" w:type="dxa"/>
            <w:tcBorders>
              <w:bottom w:val="single" w:sz="8" w:space="0" w:color="000000"/>
            </w:tcBorders>
            <w:tcMar>
              <w:bottom w:w="28" w:type="dxa"/>
            </w:tcMar>
            <w:vAlign w:val="bottom"/>
          </w:tcPr>
          <w:p>
            <w:pPr>
              <w:pStyle w:val="TableContents"/>
              <w:bidi w:val="0"/>
              <w:spacing w:before="0" w:after="283"/>
              <w:jc w:val="center"/>
              <w:rPr>
                <w:b/>
              </w:rPr>
            </w:pPr>
            <w:r>
              <w:rPr>
                <w:b/>
              </w:rPr>
              <w:t>Amount of Commitment/</w:t>
              <w:br/>
              <w:t>Loans Assigned</w:t>
            </w:r>
          </w:p>
        </w:tc>
        <w:tc>
          <w:tcPr>
            <w:tcW w:w="344" w:type="dxa"/>
            <w:tcBorders/>
            <w:vAlign w:val="bottom"/>
          </w:tcPr>
          <w:p>
            <w:pPr>
              <w:pStyle w:val="TableContents"/>
              <w:bidi w:val="0"/>
              <w:spacing w:before="0" w:after="283"/>
              <w:jc w:val="left"/>
              <w:rPr/>
            </w:pPr>
            <w:r>
              <w:rPr/>
              <w:t>  </w:t>
            </w:r>
          </w:p>
        </w:tc>
        <w:tc>
          <w:tcPr>
            <w:tcW w:w="1639" w:type="dxa"/>
            <w:tcBorders>
              <w:bottom w:val="single" w:sz="8" w:space="0" w:color="000000"/>
            </w:tcBorders>
            <w:tcMar>
              <w:bottom w:w="28" w:type="dxa"/>
            </w:tcMar>
            <w:vAlign w:val="bottom"/>
          </w:tcPr>
          <w:p>
            <w:pPr>
              <w:pStyle w:val="TableContents"/>
              <w:bidi w:val="0"/>
              <w:spacing w:before="0" w:after="283"/>
              <w:jc w:val="center"/>
              <w:rPr>
                <w:b/>
              </w:rPr>
            </w:pPr>
            <w:r>
              <w:rPr>
                <w:b/>
              </w:rPr>
              <w:t>Percentage Assigned of</w:t>
              <w:br/>
              <w:t>Commitment/ Loans4</w:t>
            </w:r>
          </w:p>
        </w:tc>
      </w:tr>
      <w:tr>
        <w:trPr/>
        <w:tc>
          <w:tcPr>
            <w:tcW w:w="1711"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882"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2310" w:type="dxa"/>
            <w:tcBorders/>
            <w:vAlign w:val="bottom"/>
          </w:tcPr>
          <w:p>
            <w:pPr>
              <w:pStyle w:val="TableContents"/>
              <w:bidi w:val="0"/>
              <w:spacing w:before="0" w:after="283"/>
              <w:jc w:val="center"/>
              <w:rPr>
                <w:b/>
              </w:rPr>
            </w:pPr>
            <w:r>
              <w:rPr>
                <w:b/>
              </w:rPr>
              <w:t>$         </w:t>
            </w:r>
          </w:p>
        </w:tc>
        <w:tc>
          <w:tcPr>
            <w:tcW w:w="344"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center"/>
              <w:rPr>
                <w:b/>
              </w:rPr>
            </w:pPr>
            <w:r>
              <w:rPr>
                <w:b/>
              </w:rPr>
              <w:t>%</w:t>
            </w:r>
          </w:p>
        </w:tc>
      </w:tr>
      <w:tr>
        <w:trPr/>
        <w:tc>
          <w:tcPr>
            <w:tcW w:w="1711"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882"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2310" w:type="dxa"/>
            <w:tcBorders/>
            <w:vAlign w:val="bottom"/>
          </w:tcPr>
          <w:p>
            <w:pPr>
              <w:pStyle w:val="TableContents"/>
              <w:pBdr>
                <w:top w:val="single" w:sz="2" w:space="1" w:color="000000"/>
              </w:pBdr>
              <w:bidi w:val="0"/>
              <w:spacing w:before="0" w:after="0"/>
              <w:jc w:val="left"/>
              <w:rPr/>
            </w:pPr>
            <w:r>
              <w:rPr/>
              <w:t> </w:t>
            </w:r>
          </w:p>
        </w:tc>
        <w:tc>
          <w:tcPr>
            <w:tcW w:w="344" w:type="dxa"/>
            <w:tcBorders/>
            <w:vAlign w:val="bottom"/>
          </w:tcPr>
          <w:p>
            <w:pPr>
              <w:pStyle w:val="TableContents"/>
              <w:bidi w:val="0"/>
              <w:spacing w:before="0" w:after="283"/>
              <w:jc w:val="left"/>
              <w:rPr/>
            </w:pPr>
            <w:r>
              <w:rPr/>
              <w:t>  </w:t>
            </w:r>
          </w:p>
        </w:tc>
        <w:tc>
          <w:tcPr>
            <w:tcW w:w="1639"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Trade Date:     ]5</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Effective Date: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xml:space="preserve">  </w:t>
      </w:r>
      <w:r>
        <w:rPr>
          <w:rFonts w:ascii="Times New Roman" w:hAnsi="Times New Roman"/>
          <w:sz w:val="20"/>
        </w:rPr>
        <w:t xml:space="preserve">[TO BE INSERTED BY ADMINISTRATIVE AGENT AND WHICH SHALL BE THE EFFECTIVE DATE OF RECORDATION OF TRANSFER IN THE REGISTER THEREFOR.]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List each Assignor, as appropriate.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List each Assignee, as appropriate.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and in the column immediately to the right to be adjusted by the counterparties to take into account any payments or prepayments made between the Trade Date and the Effective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 forth, to at least 9 decimals, as a percentage of the Commitment/Loans of all Lenders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completed if the Assignor and the Assignee intend that the minimum assignment amount is to be determined as of the Trade Date.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terms set forth in this Assignment and Assumption are hereby agreed 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39"/>
        <w:gridCol w:w="78"/>
        <w:gridCol w:w="3365"/>
      </w:tblGrid>
      <w:tr>
        <w:trPr/>
        <w:tc>
          <w:tcPr>
            <w:tcW w:w="639"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ASSIGNOR</w:t>
            </w:r>
          </w:p>
          <w:p>
            <w:pPr>
              <w:pStyle w:val="TableContents"/>
              <w:bidi w:val="0"/>
              <w:spacing w:before="0" w:after="20"/>
              <w:jc w:val="left"/>
              <w:rPr>
                <w:rFonts w:ascii="Times New Roman" w:hAnsi="Times New Roman"/>
                <w:sz w:val="20"/>
              </w:rPr>
            </w:pPr>
            <w:r>
              <w:rPr>
                <w:rFonts w:ascii="Times New Roman" w:hAnsi="Times New Roman"/>
                <w:sz w:val="20"/>
              </w:rPr>
              <w:t>[NAME OF ASSIGNOR]</w:t>
            </w:r>
          </w:p>
        </w:tc>
      </w:tr>
      <w:tr>
        <w:trPr>
          <w:trHeight w:val="240" w:hRule="atLeast"/>
        </w:trPr>
        <w:tc>
          <w:tcPr>
            <w:tcW w:w="639" w:type="dxa"/>
            <w:tcBorders/>
            <w:vAlign w:val="center"/>
          </w:tcPr>
          <w:p>
            <w:pPr>
              <w:pStyle w:val="TableContents"/>
              <w:bidi w:val="0"/>
              <w:spacing w:before="0" w:after="283"/>
              <w:jc w:val="left"/>
              <w:rPr>
                <w:sz w:val="4"/>
                <w:szCs w:val="4"/>
              </w:rPr>
            </w:pPr>
            <w:r>
              <w:rPr>
                <w:sz w:val="4"/>
                <w:szCs w:val="4"/>
              </w:rPr>
            </w:r>
          </w:p>
        </w:tc>
        <w:tc>
          <w:tcPr>
            <w:tcW w:w="3443" w:type="dxa"/>
            <w:gridSpan w:val="2"/>
            <w:tcBorders/>
            <w:vAlign w:val="center"/>
          </w:tcPr>
          <w:p>
            <w:pPr>
              <w:pStyle w:val="TableContents"/>
              <w:bidi w:val="0"/>
              <w:spacing w:before="0" w:after="283"/>
              <w:jc w:val="left"/>
              <w:rPr>
                <w:sz w:val="4"/>
                <w:szCs w:val="4"/>
              </w:rPr>
            </w:pPr>
            <w:r>
              <w:rPr>
                <w:sz w:val="4"/>
                <w:szCs w:val="4"/>
              </w:rPr>
            </w:r>
          </w:p>
        </w:tc>
      </w:tr>
      <w:tr>
        <w:trPr/>
        <w:tc>
          <w:tcPr>
            <w:tcW w:w="639" w:type="dxa"/>
            <w:tcBorders/>
          </w:tcPr>
          <w:p>
            <w:pPr>
              <w:pStyle w:val="TableContents"/>
              <w:bidi w:val="0"/>
              <w:spacing w:before="0" w:after="283"/>
              <w:jc w:val="left"/>
              <w:rPr/>
            </w:pPr>
            <w:r>
              <w:rPr/>
              <w:t>By: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3365" w:type="dxa"/>
            <w:tcBorders>
              <w:bottom w:val="single" w:sz="2" w:space="0" w:color="000000"/>
            </w:tcBorders>
            <w:tcMar>
              <w:bottom w:w="28" w:type="dxa"/>
            </w:tcMar>
          </w:tcPr>
          <w:p>
            <w:pPr>
              <w:pStyle w:val="TableContents"/>
              <w:bidi w:val="0"/>
              <w:spacing w:before="0" w:after="283"/>
              <w:jc w:val="left"/>
              <w:rPr/>
            </w:pPr>
            <w:r>
              <w:rPr/>
              <w:t> </w:t>
            </w:r>
          </w:p>
        </w:tc>
      </w:tr>
      <w:tr>
        <w:trPr/>
        <w:tc>
          <w:tcPr>
            <w:tcW w:w="639"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365"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ASSIGNEE</w:t>
            </w:r>
          </w:p>
          <w:p>
            <w:pPr>
              <w:pStyle w:val="TableContents"/>
              <w:bidi w:val="0"/>
              <w:spacing w:before="0" w:after="20"/>
              <w:jc w:val="left"/>
              <w:rPr>
                <w:rFonts w:ascii="Times New Roman" w:hAnsi="Times New Roman"/>
                <w:sz w:val="20"/>
              </w:rPr>
            </w:pPr>
            <w:r>
              <w:rPr>
                <w:rFonts w:ascii="Times New Roman" w:hAnsi="Times New Roman"/>
                <w:sz w:val="20"/>
              </w:rPr>
              <w:t>[NAME OF ASSIGNEE]</w:t>
            </w:r>
          </w:p>
        </w:tc>
      </w:tr>
      <w:tr>
        <w:trPr>
          <w:trHeight w:val="240" w:hRule="atLeast"/>
        </w:trPr>
        <w:tc>
          <w:tcPr>
            <w:tcW w:w="639" w:type="dxa"/>
            <w:tcBorders/>
            <w:vAlign w:val="center"/>
          </w:tcPr>
          <w:p>
            <w:pPr>
              <w:pStyle w:val="TableContents"/>
              <w:bidi w:val="0"/>
              <w:spacing w:before="0" w:after="283"/>
              <w:jc w:val="left"/>
              <w:rPr>
                <w:sz w:val="4"/>
                <w:szCs w:val="4"/>
              </w:rPr>
            </w:pPr>
            <w:r>
              <w:rPr>
                <w:sz w:val="4"/>
                <w:szCs w:val="4"/>
              </w:rPr>
            </w:r>
          </w:p>
        </w:tc>
        <w:tc>
          <w:tcPr>
            <w:tcW w:w="3443" w:type="dxa"/>
            <w:gridSpan w:val="2"/>
            <w:tcBorders/>
            <w:vAlign w:val="center"/>
          </w:tcPr>
          <w:p>
            <w:pPr>
              <w:pStyle w:val="TableContents"/>
              <w:bidi w:val="0"/>
              <w:spacing w:before="0" w:after="283"/>
              <w:jc w:val="left"/>
              <w:rPr>
                <w:sz w:val="4"/>
                <w:szCs w:val="4"/>
              </w:rPr>
            </w:pPr>
            <w:r>
              <w:rPr>
                <w:sz w:val="4"/>
                <w:szCs w:val="4"/>
              </w:rPr>
            </w:r>
          </w:p>
        </w:tc>
      </w:tr>
      <w:tr>
        <w:trPr/>
        <w:tc>
          <w:tcPr>
            <w:tcW w:w="639" w:type="dxa"/>
            <w:tcBorders/>
          </w:tcPr>
          <w:p>
            <w:pPr>
              <w:pStyle w:val="TableContents"/>
              <w:bidi w:val="0"/>
              <w:spacing w:before="0" w:after="283"/>
              <w:jc w:val="left"/>
              <w:rPr/>
            </w:pPr>
            <w:r>
              <w:rPr/>
              <w:t>By: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3365" w:type="dxa"/>
            <w:tcBorders>
              <w:bottom w:val="single" w:sz="2" w:space="0" w:color="000000"/>
            </w:tcBorders>
            <w:tcMar>
              <w:bottom w:w="28" w:type="dxa"/>
            </w:tcMar>
          </w:tcPr>
          <w:p>
            <w:pPr>
              <w:pStyle w:val="TableContents"/>
              <w:bidi w:val="0"/>
              <w:spacing w:before="0" w:after="283"/>
              <w:jc w:val="left"/>
              <w:rPr/>
            </w:pPr>
            <w:r>
              <w:rPr/>
              <w:t> </w:t>
            </w:r>
          </w:p>
        </w:tc>
      </w:tr>
      <w:tr>
        <w:trPr/>
        <w:tc>
          <w:tcPr>
            <w:tcW w:w="639"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365"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[Consented to and]1 Accepted: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BANK OF AMERICA, N.A.,</w:t>
            </w:r>
          </w:p>
          <w:p>
            <w:pPr>
              <w:pStyle w:val="TableContents"/>
              <w:bidi w:val="0"/>
              <w:spacing w:before="0" w:after="20"/>
              <w:jc w:val="left"/>
              <w:rPr>
                <w:rFonts w:ascii="Times New Roman" w:hAnsi="Times New Roman"/>
                <w:sz w:val="20"/>
              </w:rPr>
            </w:pPr>
            <w:r>
              <w:rPr>
                <w:rFonts w:ascii="Times New Roman" w:hAnsi="Times New Roman"/>
                <w:sz w:val="20"/>
              </w:rPr>
              <w:t>as Administrative Agent</w:t>
            </w:r>
          </w:p>
        </w:tc>
      </w:tr>
      <w:tr>
        <w:trPr>
          <w:trHeight w:val="240" w:hRule="atLeast"/>
        </w:trPr>
        <w:tc>
          <w:tcPr>
            <w:tcW w:w="639" w:type="dxa"/>
            <w:tcBorders/>
            <w:vAlign w:val="center"/>
          </w:tcPr>
          <w:p>
            <w:pPr>
              <w:pStyle w:val="TableContents"/>
              <w:bidi w:val="0"/>
              <w:spacing w:before="0" w:after="283"/>
              <w:jc w:val="left"/>
              <w:rPr>
                <w:sz w:val="4"/>
                <w:szCs w:val="4"/>
              </w:rPr>
            </w:pPr>
            <w:r>
              <w:rPr>
                <w:sz w:val="4"/>
                <w:szCs w:val="4"/>
              </w:rPr>
            </w:r>
          </w:p>
        </w:tc>
        <w:tc>
          <w:tcPr>
            <w:tcW w:w="3443" w:type="dxa"/>
            <w:gridSpan w:val="2"/>
            <w:tcBorders/>
            <w:vAlign w:val="center"/>
          </w:tcPr>
          <w:p>
            <w:pPr>
              <w:pStyle w:val="TableContents"/>
              <w:bidi w:val="0"/>
              <w:spacing w:before="0" w:after="283"/>
              <w:jc w:val="left"/>
              <w:rPr>
                <w:sz w:val="4"/>
                <w:szCs w:val="4"/>
              </w:rPr>
            </w:pPr>
            <w:r>
              <w:rPr>
                <w:sz w:val="4"/>
                <w:szCs w:val="4"/>
              </w:rPr>
            </w:r>
          </w:p>
        </w:tc>
      </w:tr>
      <w:tr>
        <w:trPr/>
        <w:tc>
          <w:tcPr>
            <w:tcW w:w="639" w:type="dxa"/>
            <w:tcBorders/>
          </w:tcPr>
          <w:p>
            <w:pPr>
              <w:pStyle w:val="TableContents"/>
              <w:bidi w:val="0"/>
              <w:spacing w:before="0" w:after="283"/>
              <w:jc w:val="left"/>
              <w:rPr/>
            </w:pPr>
            <w:r>
              <w:rPr/>
              <w:t>By: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3365" w:type="dxa"/>
            <w:tcBorders>
              <w:bottom w:val="single" w:sz="2" w:space="0" w:color="000000"/>
            </w:tcBorders>
            <w:tcMar>
              <w:bottom w:w="28" w:type="dxa"/>
            </w:tcMar>
          </w:tcPr>
          <w:p>
            <w:pPr>
              <w:pStyle w:val="TableContents"/>
              <w:bidi w:val="0"/>
              <w:spacing w:before="0" w:after="283"/>
              <w:jc w:val="left"/>
              <w:rPr/>
            </w:pPr>
            <w:r>
              <w:rPr/>
              <w:t> </w:t>
            </w:r>
          </w:p>
        </w:tc>
      </w:tr>
      <w:tr>
        <w:trPr/>
        <w:tc>
          <w:tcPr>
            <w:tcW w:w="639"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365"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[Consented to:]2</w:t>
            </w:r>
          </w:p>
        </w:tc>
      </w:tr>
      <w:tr>
        <w:trPr>
          <w:trHeight w:val="240" w:hRule="atLeast"/>
        </w:trPr>
        <w:tc>
          <w:tcPr>
            <w:tcW w:w="639" w:type="dxa"/>
            <w:tcBorders/>
            <w:vAlign w:val="center"/>
          </w:tcPr>
          <w:p>
            <w:pPr>
              <w:pStyle w:val="TableContents"/>
              <w:bidi w:val="0"/>
              <w:spacing w:before="0" w:after="283"/>
              <w:jc w:val="left"/>
              <w:rPr>
                <w:sz w:val="4"/>
                <w:szCs w:val="4"/>
              </w:rPr>
            </w:pPr>
            <w:r>
              <w:rPr>
                <w:sz w:val="4"/>
                <w:szCs w:val="4"/>
              </w:rPr>
            </w:r>
          </w:p>
        </w:tc>
        <w:tc>
          <w:tcPr>
            <w:tcW w:w="3443" w:type="dxa"/>
            <w:gridSpan w:val="2"/>
            <w:tcBorders/>
            <w:vAlign w:val="center"/>
          </w:tcPr>
          <w:p>
            <w:pPr>
              <w:pStyle w:val="TableContents"/>
              <w:bidi w:val="0"/>
              <w:spacing w:before="0" w:after="283"/>
              <w:jc w:val="left"/>
              <w:rPr>
                <w:sz w:val="4"/>
                <w:szCs w:val="4"/>
              </w:rPr>
            </w:pPr>
            <w:r>
              <w:rPr>
                <w:sz w:val="4"/>
                <w:szCs w:val="4"/>
              </w:rPr>
            </w:r>
          </w:p>
        </w:tc>
      </w:tr>
      <w:tr>
        <w:trPr/>
        <w:tc>
          <w:tcPr>
            <w:tcW w:w="639" w:type="dxa"/>
            <w:tcBorders/>
          </w:tcPr>
          <w:p>
            <w:pPr>
              <w:pStyle w:val="TableContents"/>
              <w:bidi w:val="0"/>
              <w:spacing w:before="0" w:after="283"/>
              <w:jc w:val="left"/>
              <w:rPr/>
            </w:pPr>
            <w:r>
              <w:rPr/>
              <w:t>By: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3365" w:type="dxa"/>
            <w:tcBorders>
              <w:bottom w:val="single" w:sz="2" w:space="0" w:color="000000"/>
            </w:tcBorders>
            <w:tcMar>
              <w:bottom w:w="28" w:type="dxa"/>
            </w:tcMar>
          </w:tcPr>
          <w:p>
            <w:pPr>
              <w:pStyle w:val="TableContents"/>
              <w:bidi w:val="0"/>
              <w:spacing w:before="0" w:after="283"/>
              <w:jc w:val="left"/>
              <w:rPr/>
            </w:pPr>
            <w:r>
              <w:rPr/>
              <w:t> </w:t>
            </w:r>
          </w:p>
        </w:tc>
      </w:tr>
      <w:tr>
        <w:trPr/>
        <w:tc>
          <w:tcPr>
            <w:tcW w:w="639"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365" w:type="dxa"/>
            <w:tcBorders/>
            <w:vAlign w:val="bottom"/>
          </w:tcPr>
          <w:p>
            <w:pPr>
              <w:pStyle w:val="TableContents"/>
              <w:bidi w:val="0"/>
              <w:spacing w:before="0" w:after="283"/>
              <w:jc w:val="left"/>
              <w:rPr/>
            </w:pPr>
            <w:r>
              <w:rPr/>
              <w:t>Title:</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added only if the consent of the Administrative Agent is required by the terms of the Credit Agreement.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added only if the consent of the Company is required by the terms of the Credit Agreement.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b/>
          <w:i/>
          <w:sz w:val="20"/>
        </w:rPr>
        <w:t>ANNEX I TO ASSIGNMENT AND ASSUMPTION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STANDARD TERMS AND CONDITIONS FOR </w:t>
      </w:r>
    </w:p>
    <w:p>
      <w:pPr>
        <w:pStyle w:val="TextBody"/>
        <w:bidi w:val="0"/>
        <w:spacing w:before="0" w:after="0"/>
        <w:jc w:val="center"/>
        <w:rPr>
          <w:rFonts w:ascii="Times New Roman" w:hAnsi="Times New Roman"/>
          <w:b/>
          <w:sz w:val="20"/>
        </w:rPr>
      </w:pPr>
      <w:r>
        <w:rPr>
          <w:rFonts w:ascii="Times New Roman" w:hAnsi="Times New Roman"/>
          <w:b/>
          <w:sz w:val="20"/>
        </w:rPr>
        <w:t xml:space="preserve">ASSIGNMENT AND ASSUMPTION </w:t>
      </w:r>
    </w:p>
    <w:p>
      <w:pPr>
        <w:pStyle w:val="TextBody"/>
        <w:bidi w:val="0"/>
        <w:spacing w:before="240" w:after="0"/>
        <w:jc w:val="left"/>
        <w:rPr>
          <w:rFonts w:ascii="Times New Roman" w:hAnsi="Times New Roman"/>
          <w:sz w:val="20"/>
        </w:rPr>
      </w:pPr>
      <w:r>
        <w:rPr>
          <w:rFonts w:ascii="Times New Roman" w:hAnsi="Times New Roman"/>
          <w:sz w:val="20"/>
        </w:rPr>
        <w:t xml:space="preserve">1. 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Assignor</w:t>
      </w:r>
      <w:r>
        <w:rPr>
          <w:rFonts w:ascii="Times New Roman" w:hAnsi="Times New Roman"/>
          <w:sz w:val="20"/>
        </w:rPr>
        <w:t xml:space="preserve">.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other than its representations and warranties set forth herein,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Assignee</w:t>
      </w:r>
      <w:r>
        <w:rPr>
          <w:rFonts w:ascii="Times New Roman" w:hAnsi="Times New Roman"/>
          <w:sz w:val="20"/>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Eligible Assignee under the Credit Agreement (subject to such consents, if any, as may be required under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 w:hAnsi="Times New Roman"/>
          <w:sz w:val="20"/>
          <w:u w:val="single"/>
        </w:rPr>
        <w:t>Section 6.01</w:t>
      </w:r>
      <w:r>
        <w:rPr>
          <w:rFonts w:ascii="Times New Roman" w:hAnsi="Times New Roman"/>
          <w:sz w:val="20"/>
        </w:rPr>
        <w:t xml:space="preserve"> thereof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The Assignee represents and warrants as of the Effective Date that it is not (A) an employee benefit plan subject to Title I of ERISA, (B) a plan or account subject to Section 4975 of the Internal Revenue Code, (C) an entity deemed to hold “plan assets” of any such plans or accounts for purposes of ERISA or the Internal Revenue Code, or (D) a “governmental plan” within the meaning of ERISA.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Payments</w:t>
      </w:r>
      <w:r>
        <w:rPr>
          <w:rFonts w:ascii="Times New Roman" w:hAnsi="Times New Roman"/>
          <w:sz w:val="20"/>
        </w:rPr>
        <w:t xml:space="preserve">.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General Provisions</w:t>
      </w:r>
      <w:r>
        <w:rPr>
          <w:rFonts w:ascii="Times New Roman" w:hAnsi="Times New Roman"/>
          <w:sz w:val="20"/>
        </w:rPr>
        <w:t xml:space="preserve">. This Assignment and Assumption shall be binding upon, and inure to the benefit of, the parties hereto and their respective successors and assigns. This Assignment and Assumption may be executed in counterparts (and by different parties hereto in different counterparts), each of which shall constitute an original, but all of which when taken together shall constitute a single contract. Delivery of an executed counterpart of a signature page of this Assignment and Assumption by facsimile or other electronic imaging means (e.g., “pdf” or “tif”) shall be effective as delivery of a manually executed counterpart of this Assignment and Assumption. This Assignment and Assumption shall be governed by, and construed in accordance with, the law of the State of New York.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180</Pages>
  <Words>79136</Words>
  <Characters>418944</Characters>
  <CharactersWithSpaces>499388</CharactersWithSpaces>
  <Paragraphs>4047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