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4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February 3, 2007</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345"/>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526"/>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205740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760"/>
        <w:spacing w:after="0" w:line="207" w:lineRule="exact"/>
        <w:tabs>
          <w:tab w:leader="none" w:pos="510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3, 2007 there were 333,719,659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0"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3, 2007</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656,614</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621,302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Revenue from the one-time payment associated with the licensing of certain intellectual property rights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691,614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621,302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 (1)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274,594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417,020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360,787</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143,894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Selling, marketing, general and administrative (1)</w:t>
            </w:r>
          </w:p>
        </w:tc>
        <w:tc>
          <w:tcPr>
            <w:tcW w:w="2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104,681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253,771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228,582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163,249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132,205</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(24,837)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195,551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152,797</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153,227</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338,698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349,208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0.44</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  2,936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8,906</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10,263</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8,215</w:t>
            </w:r>
          </w:p>
        </w:tc>
        <w:tc>
          <w:tcPr>
            <w:tcW w:w="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February 3,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398,549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343,947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1,555,272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1,784,387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344,783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329,393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18,889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16,430</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263,298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264,076</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103,579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98,145</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385,766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378,651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77,401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91,045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74,310</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82,770</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2,837,191</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3,011,302</w:t>
            </w:r>
          </w:p>
        </w:tc>
        <w:tc>
          <w:tcPr>
            <w:tcW w:w="100" w:type="dxa"/>
            <w:vAlign w:val="bottom"/>
            <w:shd w:val="clear" w:color="auto" w:fill="CCEEFF"/>
          </w:tcPr>
          <w:p>
            <w:pPr>
              <w:spacing w:after="0"/>
              <w:rPr>
                <w:sz w:val="18"/>
                <w:szCs w:val="18"/>
                <w:color w:val="auto"/>
              </w:rPr>
            </w:pPr>
          </w:p>
        </w:tc>
      </w:tr>
      <w:tr>
        <w:trPr>
          <w:trHeight w:val="439"/>
        </w:trPr>
        <w:tc>
          <w:tcPr>
            <w:tcW w:w="868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355,777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353,912</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1,404,049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1,371,332</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78,976</w:t>
            </w: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109,499</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109,028</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1,948,900</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1,913,248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1,383,929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1,350,623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564,971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562,625</w:t>
            </w:r>
          </w:p>
        </w:tc>
      </w:tr>
      <w:tr>
        <w:trPr>
          <w:trHeight w:val="20"/>
        </w:trPr>
        <w:tc>
          <w:tcPr>
            <w:tcW w:w="8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68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31,977</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263,116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256,209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58,250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27,744</w:t>
            </w: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421,655</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412,924</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3,823,817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3,986,851</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$3,398 and $3,703 related to stock-based compensation at February 3, 2007 and October 28, 2006,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February 3,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125,623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160,422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67,742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133,608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488,505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490,943</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15,837</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32,028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26,240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74,105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333,719,659 shares issued and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outstanding (342,000,004 on October 28, 2006)</w:t>
            </w:r>
          </w:p>
        </w:tc>
        <w:tc>
          <w:tcPr>
            <w:tcW w:w="18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55,621</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3,200,395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3,261,207</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3,435,793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3,823,817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3,986,851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w w:val="93"/>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Arial" w:cs="Arial" w:eastAsia="Arial" w:hAnsi="Arial"/>
                <w:sz w:val="14"/>
                <w:szCs w:val="14"/>
                <w:color w:val="auto"/>
              </w:rPr>
              <w:t>February 3, 2007</w:t>
            </w:r>
          </w:p>
        </w:tc>
        <w:tc>
          <w:tcPr>
            <w:tcW w:w="1280" w:type="dxa"/>
            <w:vAlign w:val="bottom"/>
            <w:gridSpan w:val="3"/>
          </w:tcPr>
          <w:p>
            <w:pPr>
              <w:ind w:left="280"/>
              <w:spacing w:after="0" w:line="142" w:lineRule="exact"/>
              <w:rPr>
                <w:sz w:val="20"/>
                <w:szCs w:val="20"/>
                <w:color w:val="auto"/>
              </w:rPr>
            </w:pPr>
            <w:r>
              <w:rPr>
                <w:rFonts w:ascii="Arial" w:cs="Arial" w:eastAsia="Arial" w:hAnsi="Arial"/>
                <w:sz w:val="14"/>
                <w:szCs w:val="14"/>
                <w:color w:val="auto"/>
                <w:w w:val="90"/>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153,227</w:t>
            </w:r>
          </w:p>
        </w:tc>
        <w:tc>
          <w:tcPr>
            <w:tcW w:w="3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35,613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20,057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(6,467)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Gain on sale of an investment</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(7,919)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non-cash expense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208,153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175,255</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(646,407)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(954,871)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878,619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(37,726)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Decrease in other assets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an investment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(used)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(244,898)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(333,223)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24,497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(54,737)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(356,996)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(130,507)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4"/>
                <w:szCs w:val="2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54,602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343,947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627,591</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398,549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3,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28, 2006 and related notes. The results of operations for the interim periods shown in this report are not necessarily indicative of the results that may be expected for the fiscal year ending November 3, 2007 or any future period.</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2007 is a 53-week fiscal year and fiscal 2006 was a 52-week fiscal year. The additional week in fiscal 2007 is included in the first quarter ended February 3, 2007. Therefore, the first quarter of fiscal 2007 included 14 weeks of operations and the first quarter of fiscal 2006 included 13 weeks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 xml:space="preserve">On December 16, 2004, the Financial Accounting Standards Board (FASB) issued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Generally, the approach in SFAS 123R is similar to the approach described in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SFAS 123R requires all share-based payments to employees, including grants of employee stock options, to be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over their vesting period based on their fair values at the date of grant. Pro forma disclosure is no longer an alternative.</w:t>
      </w:r>
    </w:p>
    <w:p>
      <w:pPr>
        <w:spacing w:after="0" w:line="5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October 30, 2005 (the first day of its 2006 fiscal year), the Company adopted SFAS 123R using the modified prospective method as permitted under SFAS 123R. Under this transition method, compensation cost recognized in fiscal 2006 and fiscal 2007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grants, or has granted, stock options and other stock and stock-based awards under the </w:t>
      </w:r>
      <w:r>
        <w:rPr>
          <w:rFonts w:ascii="Arial" w:cs="Arial" w:eastAsia="Arial" w:hAnsi="Arial"/>
          <w:sz w:val="16"/>
          <w:szCs w:val="16"/>
          <w:i w:val="1"/>
          <w:iCs w:val="1"/>
          <w:color w:val="auto"/>
        </w:rPr>
        <w:t>2006 Stock Incentive Plan (2006 Plan).</w:t>
      </w:r>
      <w:r>
        <w:rPr>
          <w:rFonts w:ascii="Arial" w:cs="Arial" w:eastAsia="Arial" w:hAnsi="Arial"/>
          <w:sz w:val="16"/>
          <w:szCs w:val="16"/>
          <w:color w:val="auto"/>
        </w:rPr>
        <w:t xml:space="preserve"> The 2006 Plan was approved by the Company’s Board of Directors on January 23, 2006 and was approved by shareholders on March 14, 2006. The 2006 Plan provides for the issuance of up to 15 million shares of the Company’s common stock, plus such number of additional shares that were subject to outstanding options under the Company’s 1998 Stock Option Plan and the 2001 Broad-Based Stock Option Plan as of January 23, 2006 that are not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w:t>
      </w:r>
    </w:p>
    <w:p>
      <w:pPr>
        <w:spacing w:after="0" w:line="5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While the Company may grant to employees options that become exercisable at different times or within different periods, the Company has generally granted to employees options that vest over five years and become exercisable in annual installments of 33 1/3% on each of the third, fourth, and fifth anniversaries of the date of grant; 25% on each of the second, third, fourth and fifth anniversaries of the date of grant; or 20% on each of the first, second, third, fourth and fifth anniversaries of the date of grant. The maximum contractual term of all options is ten years.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uses the Black-Scholes option pricing model to calculate the grant-date fair value of an award. The fair values of options granted during the three-month periods ended February 3, 2007 and January 28, 2006 were calculated using the following estimated weighted-average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08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February 3,</w:t>
            </w:r>
          </w:p>
        </w:tc>
        <w:tc>
          <w:tcPr>
            <w:tcW w:w="540" w:type="dxa"/>
            <w:vAlign w:val="bottom"/>
          </w:tcPr>
          <w:p>
            <w:pPr>
              <w:spacing w:after="0"/>
              <w:rPr>
                <w:sz w:val="10"/>
                <w:szCs w:val="10"/>
                <w:color w:val="auto"/>
              </w:rPr>
            </w:pPr>
          </w:p>
        </w:tc>
        <w:tc>
          <w:tcPr>
            <w:tcW w:w="10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January 28,</w:t>
            </w:r>
          </w:p>
        </w:tc>
        <w:tc>
          <w:tcPr>
            <w:tcW w:w="0" w:type="dxa"/>
            <w:vAlign w:val="bottom"/>
          </w:tcPr>
          <w:p>
            <w:pPr>
              <w:spacing w:after="0"/>
              <w:rPr>
                <w:sz w:val="1"/>
                <w:szCs w:val="1"/>
                <w:color w:val="auto"/>
              </w:rPr>
            </w:pPr>
          </w:p>
        </w:tc>
      </w:tr>
      <w:tr>
        <w:trPr>
          <w:trHeight w:val="171"/>
        </w:trPr>
        <w:tc>
          <w:tcPr>
            <w:tcW w:w="87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162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84"/>
              </w:rPr>
              <w:t>7,409</w:t>
            </w:r>
          </w:p>
        </w:tc>
        <w:tc>
          <w:tcPr>
            <w:tcW w:w="5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Restricted awards and/or units granted (in thousands)</w:t>
            </w:r>
          </w:p>
        </w:tc>
        <w:tc>
          <w:tcPr>
            <w:tcW w:w="340" w:type="dxa"/>
            <w:vAlign w:val="bottom"/>
          </w:tcPr>
          <w:p>
            <w:pPr>
              <w:spacing w:after="0"/>
              <w:rPr>
                <w:sz w:val="18"/>
                <w:szCs w:val="18"/>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exercise price of 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33.40</w:t>
            </w:r>
          </w:p>
        </w:tc>
        <w:tc>
          <w:tcPr>
            <w:tcW w:w="162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Weighted-average grant date fair-value stock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9.46</w:t>
            </w:r>
          </w:p>
        </w:tc>
        <w:tc>
          <w:tcPr>
            <w:tcW w:w="1620" w:type="dxa"/>
            <w:vAlign w:val="bottom"/>
            <w:gridSpan w:val="2"/>
          </w:tcPr>
          <w:p>
            <w:pPr>
              <w:jc w:val="right"/>
              <w:ind w:right="256"/>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 date fair-value non-vested shares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32.96</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30.5%</w:t>
            </w:r>
          </w:p>
        </w:tc>
        <w:tc>
          <w:tcPr>
            <w:tcW w:w="16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340" w:type="dxa"/>
            <w:vAlign w:val="bottom"/>
          </w:tcPr>
          <w:p>
            <w:pPr>
              <w:spacing w:after="0"/>
              <w:rPr>
                <w:sz w:val="18"/>
                <w:szCs w:val="18"/>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5.1</w:t>
            </w:r>
          </w:p>
        </w:tc>
        <w:tc>
          <w:tcPr>
            <w:tcW w:w="1620" w:type="dxa"/>
            <w:vAlign w:val="bottom"/>
            <w:gridSpan w:val="2"/>
          </w:tcPr>
          <w:p>
            <w:pPr>
              <w:jc w:val="right"/>
              <w:ind w:right="25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6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0"/>
                <w:szCs w:val="20"/>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2.15%</w:t>
            </w:r>
          </w:p>
        </w:tc>
        <w:tc>
          <w:tcPr>
            <w:tcW w:w="1620" w:type="dxa"/>
            <w:vAlign w:val="bottom"/>
            <w:gridSpan w:val="2"/>
          </w:tcPr>
          <w:p>
            <w:pPr>
              <w:jc w:val="right"/>
              <w:ind w:right="96"/>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third-party advisors. The Company currently believes that the exclusive use of implied volatility results in a more accurate estimate of the grant-date fair value of employee stock options because it more appropriately reflects the market’s current expectations of future volatility. Historical volatility during the period commensurate with the expected term of the Company’s stock options over the past several years included a period of time when the Company’s stock price experienced unprecedented increases and subsequent declines. The Company believes that this past stock price volatility is unlikely to be indicative of future stock price behavior. Options in the Company’s common stock are actively traded on several exchanges. Implied volatility is calculated for the period that is commensurate with the option’s expected term assumption. Because this term often exceeds the period for which there are exchange-traded options in the Company’s common stock, statistical techniques are used to derive the implied volatility for traded options with terms commensurate with the option’s expected term of 5.1 years. This calculation of implied volatility is derived from the closing prices of both the Company’s common stock and exchange traded options from the most recent five trading days prior to the grant date of the employee stock option.</w:t>
      </w:r>
    </w:p>
    <w:p>
      <w:pPr>
        <w:spacing w:after="0" w:line="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17"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evenly over the vesting period. The expense associated with the unvested portion of the pre-adoption grants will continue to be expensed using the graded attribution method.</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3.4% to all unvested stock-based awards as of February 3, 2007. The 3.4%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stock option agreements historically provided for retirement-related continued vesting for a portion, or all, of certain stock options based on the optionee’s age and years of service (the retirement provision) in that regardless of whether the employee continues to provide services, the optionee receives the benefit of the stock option. SFAS 123R clarifies the timing for recognizing stock-based compensation expense for awards subject to continued vesting upon meeting this retirement provision. This compensation expense must be recognized over the period from the date of grant to the date retirement eligibility is met if it is shorter than the required service period. Upon adoption of SFAS 123R in the first quarter of fiscal 2006, the Company changed its policy regarding the timing of option expense recognition for optionees meeting the criteria of the retirement provision to recognize compensation cost over the period through the date that the optionee is no longer required to provide service to earn the award. Prior to the adoption of SFAS 123R, the Company’s policy was to recognize these compensation costs over the vesting term. Had the Company applied these non-substantive vesting provisions required by SFAS 123R to awards granted prior to the adoption of SFAS 123R, the impact on the pro forma net earnings would have been immaterial. Effective during the third fiscal quarter of fiscal 2006, new grants will not include a provision that provides for retirement-related continued vesting.</w:t>
      </w:r>
    </w:p>
    <w:p>
      <w:pPr>
        <w:spacing w:after="0" w:line="6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adoption of SFAS 123R had the following impact on the first quarter of fiscal 2007 results: operating profit before tax was lower by $19.9 million, net income was lower by $14.1 million, cash flow from operations was lower by $6.5 million, cash flow from financing activities was higher by $6.5 million and basic and diluted EPS were each lower by $0.04.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activity under the Company’s stock option plans as of February 3, 2007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4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28, 2006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84,461</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$34.09</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7,409</w:t>
            </w:r>
          </w:p>
        </w:tc>
        <w:tc>
          <w:tcPr>
            <w:tcW w:w="320" w:type="dxa"/>
            <w:vAlign w:val="bottom"/>
          </w:tcPr>
          <w:p>
            <w:pPr>
              <w:spacing w:after="0"/>
              <w:rPr>
                <w:sz w:val="18"/>
                <w:szCs w:val="18"/>
                <w:color w:val="auto"/>
              </w:rPr>
            </w:pP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$33.40</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(1,805)</w:t>
            </w: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$13.57</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(718)</w:t>
            </w: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$34.63</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expired</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(1,035)</w:t>
            </w: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$43.65</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Options outstanding at February 3, 2007</w:t>
            </w: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vMerge w:val="restart"/>
          </w:tcPr>
          <w:p>
            <w:pPr>
              <w:jc w:val="right"/>
              <w:ind w:right="328"/>
              <w:spacing w:after="0"/>
              <w:rPr>
                <w:sz w:val="20"/>
                <w:szCs w:val="20"/>
                <w:color w:val="auto"/>
              </w:rPr>
            </w:pPr>
            <w:r>
              <w:rPr>
                <w:rFonts w:ascii="Arial" w:cs="Arial" w:eastAsia="Arial" w:hAnsi="Arial"/>
                <w:sz w:val="18"/>
                <w:szCs w:val="18"/>
                <w:color w:val="auto"/>
              </w:rPr>
              <w:t>$34.34</w:t>
            </w:r>
          </w:p>
        </w:tc>
        <w:tc>
          <w:tcPr>
            <w:tcW w:w="1440" w:type="dxa"/>
            <w:vAlign w:val="bottom"/>
            <w:gridSpan w:val="2"/>
            <w:vMerge w:val="restart"/>
          </w:tcPr>
          <w:p>
            <w:pPr>
              <w:jc w:val="center"/>
              <w:ind w:left="390"/>
              <w:spacing w:after="0"/>
              <w:rPr>
                <w:sz w:val="20"/>
                <w:szCs w:val="20"/>
                <w:color w:val="auto"/>
              </w:rPr>
            </w:pPr>
            <w:r>
              <w:rPr>
                <w:rFonts w:ascii="Arial" w:cs="Arial" w:eastAsia="Arial" w:hAnsi="Arial"/>
                <w:sz w:val="18"/>
                <w:szCs w:val="18"/>
                <w:color w:val="auto"/>
                <w:w w:val="95"/>
              </w:rPr>
              <w:t>5.8</w:t>
            </w: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8"/>
                <w:szCs w:val="18"/>
                <w:color w:val="auto"/>
              </w:rPr>
              <w:t>$369,385</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88,312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February 3, 2007</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60,565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$33.99</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5"/>
              </w:rPr>
              <w:t>4.5</w:t>
            </w:r>
          </w:p>
        </w:tc>
        <w:tc>
          <w:tcPr>
            <w:tcW w:w="16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$329,016</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or expected to vest at February 3, 2007 (1)</w:t>
            </w: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vMerge w:val="restart"/>
          </w:tcPr>
          <w:p>
            <w:pPr>
              <w:jc w:val="right"/>
              <w:ind w:right="328"/>
              <w:spacing w:after="0"/>
              <w:rPr>
                <w:sz w:val="20"/>
                <w:szCs w:val="20"/>
                <w:color w:val="auto"/>
              </w:rPr>
            </w:pPr>
            <w:r>
              <w:rPr>
                <w:rFonts w:ascii="Arial" w:cs="Arial" w:eastAsia="Arial" w:hAnsi="Arial"/>
                <w:sz w:val="18"/>
                <w:szCs w:val="18"/>
                <w:color w:val="auto"/>
              </w:rPr>
              <w:t>$34.31</w:t>
            </w:r>
          </w:p>
        </w:tc>
        <w:tc>
          <w:tcPr>
            <w:tcW w:w="1440" w:type="dxa"/>
            <w:vAlign w:val="bottom"/>
            <w:gridSpan w:val="2"/>
            <w:vMerge w:val="restart"/>
          </w:tcPr>
          <w:p>
            <w:pPr>
              <w:jc w:val="center"/>
              <w:ind w:left="390"/>
              <w:spacing w:after="0"/>
              <w:rPr>
                <w:sz w:val="20"/>
                <w:szCs w:val="20"/>
                <w:color w:val="auto"/>
              </w:rPr>
            </w:pPr>
            <w:r>
              <w:rPr>
                <w:rFonts w:ascii="Arial" w:cs="Arial" w:eastAsia="Arial" w:hAnsi="Arial"/>
                <w:sz w:val="18"/>
                <w:szCs w:val="18"/>
                <w:color w:val="auto"/>
                <w:w w:val="95"/>
              </w:rPr>
              <w:t>5.7</w:t>
            </w: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8"/>
                <w:szCs w:val="18"/>
                <w:color w:val="auto"/>
              </w:rPr>
              <w:t>$368,308</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86,402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6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the three months ended February 3, 2007, the total intrinsic value of options exercised (i.e. the difference between the market price at exercise and the price paid by the employee to exercise the options) was $35.1 million, and the total amount of cash received from exercise of these options was $24.5 million. The total grant-date fair value of stock options that vested during the three months ended February 3, 2007 was approximately $37.3 million.</w:t>
      </w:r>
    </w:p>
    <w:p>
      <w:pPr>
        <w:spacing w:after="0" w:line="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summary of the Company’s restricted stock award activity as of February 3, 2007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5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5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28, 2006</w:t>
            </w:r>
          </w:p>
        </w:tc>
        <w:tc>
          <w:tcPr>
            <w:tcW w:w="520" w:type="dxa"/>
            <w:vAlign w:val="bottom"/>
            <w:gridSpan w:val="2"/>
            <w:shd w:val="clear" w:color="auto" w:fill="CCEEFF"/>
          </w:tcPr>
          <w:p>
            <w:pPr>
              <w:jc w:val="center"/>
              <w:ind w:left="261"/>
              <w:spacing w:after="0"/>
              <w:rPr>
                <w:sz w:val="20"/>
                <w:szCs w:val="20"/>
                <w:color w:val="auto"/>
              </w:rPr>
            </w:pPr>
            <w:r>
              <w:rPr>
                <w:rFonts w:ascii="Arial" w:cs="Arial" w:eastAsia="Arial" w:hAnsi="Arial"/>
                <w:sz w:val="18"/>
                <w:szCs w:val="18"/>
                <w:color w:val="auto"/>
                <w:w w:val="89"/>
              </w:rPr>
              <w:t>55</w:t>
            </w: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520" w:type="dxa"/>
            <w:vAlign w:val="bottom"/>
            <w:gridSpan w:val="2"/>
          </w:tcPr>
          <w:p>
            <w:pPr>
              <w:jc w:val="center"/>
              <w:ind w:left="261"/>
              <w:spacing w:after="0"/>
              <w:rPr>
                <w:sz w:val="20"/>
                <w:szCs w:val="20"/>
                <w:color w:val="auto"/>
              </w:rPr>
            </w:pPr>
            <w:r>
              <w:rPr>
                <w:rFonts w:ascii="Arial" w:cs="Arial" w:eastAsia="Arial" w:hAnsi="Arial"/>
                <w:sz w:val="18"/>
                <w:szCs w:val="18"/>
                <w:color w:val="auto"/>
                <w:w w:val="89"/>
              </w:rPr>
              <w:t>15</w:t>
            </w:r>
          </w:p>
        </w:tc>
        <w:tc>
          <w:tcPr>
            <w:tcW w:w="340" w:type="dxa"/>
            <w:vAlign w:val="bottom"/>
          </w:tcPr>
          <w:p>
            <w:pPr>
              <w:spacing w:after="0"/>
              <w:rPr>
                <w:sz w:val="18"/>
                <w:szCs w:val="18"/>
                <w:color w:val="auto"/>
              </w:rPr>
            </w:pPr>
          </w:p>
        </w:tc>
        <w:tc>
          <w:tcPr>
            <w:tcW w:w="1760" w:type="dxa"/>
            <w:vAlign w:val="bottom"/>
            <w:gridSpan w:val="2"/>
          </w:tcPr>
          <w:p>
            <w:pPr>
              <w:jc w:val="right"/>
              <w:ind w:right="322"/>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340" w:type="dxa"/>
            <w:vAlign w:val="bottom"/>
          </w:tcPr>
          <w:p>
            <w:pPr>
              <w:spacing w:after="0"/>
              <w:rPr>
                <w:sz w:val="19"/>
                <w:szCs w:val="19"/>
                <w:color w:val="auto"/>
              </w:rPr>
            </w:pPr>
          </w:p>
        </w:tc>
        <w:tc>
          <w:tcPr>
            <w:tcW w:w="5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February 3, 2007</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February 3, 2007, there was $203.5 million (before tax consideration) of total unrecognized compensation cost related to unvested share-based awards including stock options and restricted shares. That cost is expected to be recognized over a weighted-average period of 1.9 years.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3, 2007</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28, 2006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153,227</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120,557</w:t>
            </w: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1,850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Change in unrealized holding gains (net of taxes of $1,117 and $911, respectively) on securities classified as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1,980</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r>
      <w:tr>
        <w:trPr>
          <w:trHeight w:val="418"/>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w w:val="96"/>
              </w:rPr>
              <w:t>Change in unrealized holding (losses) gains (net of taxes of $47 and $15, respectively) on securities classified</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as Other Investments</w:t>
            </w:r>
          </w:p>
        </w:tc>
        <w:tc>
          <w:tcPr>
            <w:tcW w:w="2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on derivative instruments designated as cash flow hedges</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18"/>
                <w:szCs w:val="18"/>
                <w:color w:val="auto"/>
              </w:rPr>
            </w:pPr>
          </w:p>
        </w:tc>
      </w:tr>
      <w:tr>
        <w:trPr>
          <w:trHeight w:val="446"/>
        </w:trPr>
        <w:tc>
          <w:tcPr>
            <w:tcW w:w="87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158,625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124,984</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at February 3, 2007 and October 28, 2006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February 3,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r>
      <w:tr>
        <w:trPr>
          <w:trHeight w:val="20"/>
        </w:trPr>
        <w:tc>
          <w:tcPr>
            <w:tcW w:w="8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11,264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3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(3,478)</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3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(4,669)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(4,669)</w:t>
            </w:r>
          </w:p>
        </w:tc>
      </w:tr>
      <w:tr>
        <w:trPr>
          <w:trHeight w:val="27"/>
        </w:trPr>
        <w:tc>
          <w:tcPr>
            <w:tcW w:w="8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accumulated other comprehensive income (loss)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0"/>
        </w:trPr>
        <w:tc>
          <w:tcPr>
            <w:tcW w:w="8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Basic earnings per share is computed based only on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weighted-average exercise prices during the respective years, related to the Company’s outstanding stock options could be dilutive in the future. The following table sets forth the computation of basic and diluted earnings per share: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color w:val="auto"/>
              </w:rPr>
              <w:t>February 3, 2007</w:t>
            </w:r>
          </w:p>
        </w:tc>
        <w:tc>
          <w:tcPr>
            <w:tcW w:w="1320" w:type="dxa"/>
            <w:vAlign w:val="bottom"/>
            <w:gridSpan w:val="3"/>
          </w:tcPr>
          <w:p>
            <w:pPr>
              <w:ind w:left="320"/>
              <w:spacing w:after="0" w:line="142" w:lineRule="exact"/>
              <w:rPr>
                <w:sz w:val="20"/>
                <w:szCs w:val="20"/>
                <w:color w:val="auto"/>
              </w:rPr>
            </w:pPr>
            <w:r>
              <w:rPr>
                <w:rFonts w:ascii="Arial" w:cs="Arial" w:eastAsia="Arial" w:hAnsi="Arial"/>
                <w:sz w:val="14"/>
                <w:szCs w:val="14"/>
                <w:color w:val="auto"/>
                <w:w w:val="90"/>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38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153,227</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38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0.45</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38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153,227</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338,698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366,135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380,337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38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56,551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3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Workforce reductions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Abandonment of equipment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estimate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2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3,608</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items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2007 Charges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3,608</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3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2006</w:t>
            </w:r>
          </w:p>
        </w:tc>
        <w:tc>
          <w:tcPr>
            <w:tcW w:w="2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5,903</w:t>
            </w:r>
          </w:p>
        </w:tc>
        <w:tc>
          <w:tcPr>
            <w:tcW w:w="82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4,976</w:t>
            </w:r>
          </w:p>
        </w:tc>
        <w:tc>
          <w:tcPr>
            <w:tcW w:w="4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Special Charges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3,608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(3,251)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3, 2007</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Pension Plans and for Termination Benefits </w:t>
      </w:r>
      <w:r>
        <w:rPr>
          <w:rFonts w:ascii="Arial" w:cs="Arial" w:eastAsia="Arial" w:hAnsi="Arial"/>
          <w:sz w:val="17"/>
          <w:szCs w:val="17"/>
          <w:color w:val="auto"/>
        </w:rPr>
        <w:t>(SFAS 88), under the Company’s ongoing benefit plan for 339 manufacturing employees and 28</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employees at that site. The severance benefit is calculated based on length of past service, and employees must continue to be employed until they are involuntarily terminated in order to receive the severance benefit. As of February 3, 2007, eight of these employees remained employed at the Company and will continue working during the second quarter on the cleanup and closure of the wafer fabrication facility. The Company expects to complete the remaining cleanup and closure activities by the end of April 2007.</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$18.3 million of non-cash cost of sales expenses for additional depreciation due to shortened useful lives of certain manufacturing equipment and $2.0 million for stay-on bonuses. The Company reversed approximately $2.0 million of its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completed production at the wafer fabrication facility on November 9, 2006. During the first quarter of fiscal 2007, the Company recorded additional expense, in accordance with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consisted of $3.2 million for clean-up and closure costs that were charged to expense as incurred. The additional $0.4 million of this charge was for lease obligation costs for a warehouse facility the Company ceased using during the first quarter of fiscal 2007.</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expects to incur the remaining expenses of approximately $7 million related to this action in the second quarter of fiscal 2007. These expenses relate to termination costs for the lease of the wafer fabrication building based on the cease-use date and final clean-up and closure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 As of February 3, 2007, two of these employees were still employed by the Company. These employees must continue to be employed until they are involuntarily terminated in order to receive the severance benefit.</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subsidiary. The remaining $2.3 million relates to the severance and fringe benefit costs that were recorded in the fourth quarter pursuant to SFAS 88 under the Company’s ongoing benefit plan or statutory requirements at foreign locations for 46 engineering and selling, marketing, general and administrative employees. As of February 3, 2007, ten of these employees were still employed by the Company. These employees must continue to be employed until they are involuntarily terminated in order to receive the severance benefit.</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that were recorded in the first quarter pursuant to SFAS 88 under the Company’s ongoing benefit plan for six engineering employees. As of February 3, 2007, two of these employees were still employed by the Company. These employees must continue to be employed until they are involuntarily terminated in order to receive the severance benefit.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or the underlying trends of results within each end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285,996</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174,017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134,217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62,384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656,614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621,302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6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intellectual property*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35,000</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691,614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621,302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or the underlying trends of results within each product category.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Three Months Ended</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2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263,648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Amplifiers</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137,728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51,187</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93,778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546,341</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55,700</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DSP-based DSL ASIC and Network Processor Product Line*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46,968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DSP</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7,605</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110,273</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656,614</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621,302</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intellectual property</w:t>
            </w:r>
          </w:p>
        </w:tc>
        <w:tc>
          <w:tcPr>
            <w:tcW w:w="1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35,000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691,614</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2480" w:hanging="5612"/>
        <w:spacing w:after="0" w:line="481"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sold its DSP-based DSL ASIC and network processor product line in the second quarter of fiscal 2006.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Revenue by geographic region, based upon point of sale, for the three-month periods ended February 3, 2007 and January 28, 2006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gridSpan w:val="2"/>
            <w:vMerge w:val="continue"/>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203,655</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149,020</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123,541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83,187</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132,211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134,805</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691,614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$35 million of revenue in the first quarter of fiscal 2007 received in exchange for licensing of certain intellectual property rights to a third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annually evaluates goodwill for impairment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2006. No impairment of goodwill resulted in any of the fiscal years presented. The Company’s next annual impairment assessment will be made in the fourth quarter of fiscal 2007 unless indicators arise that would require the Company to reevaluate goodwill for impairment at an earlier date. The following table presents the changes in goodwill during fiscal 2007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three</w:t>
            </w:r>
          </w:p>
        </w:tc>
        <w:tc>
          <w:tcPr>
            <w:tcW w:w="32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months</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February 3,</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October</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28, 2006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$ 256,209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$ 163,373</w:t>
            </w:r>
          </w:p>
        </w:tc>
        <w:tc>
          <w:tcPr>
            <w:tcW w:w="0" w:type="dxa"/>
            <w:vAlign w:val="bottom"/>
          </w:tcPr>
          <w:p>
            <w:pPr>
              <w:spacing w:after="0"/>
              <w:rPr>
                <w:sz w:val="1"/>
                <w:szCs w:val="1"/>
                <w:color w:val="auto"/>
              </w:rPr>
            </w:pPr>
          </w:p>
        </w:tc>
      </w:tr>
      <w:tr>
        <w:trPr>
          <w:trHeight w:val="216"/>
        </w:trPr>
        <w:tc>
          <w:tcPr>
            <w:tcW w:w="9200" w:type="dxa"/>
            <w:vAlign w:val="bottom"/>
            <w:gridSpan w:val="3"/>
          </w:tcPr>
          <w:p>
            <w:pPr>
              <w:spacing w:after="0"/>
              <w:rPr>
                <w:sz w:val="20"/>
                <w:szCs w:val="20"/>
                <w:color w:val="auto"/>
              </w:rPr>
            </w:pPr>
            <w:r>
              <w:rPr>
                <w:rFonts w:ascii="Arial" w:cs="Arial" w:eastAsia="Arial" w:hAnsi="Arial"/>
                <w:sz w:val="18"/>
                <w:szCs w:val="18"/>
                <w:color w:val="auto"/>
              </w:rPr>
              <w:t>Acquisition of TTPCom assets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Integrant Technologies*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80,641</w:t>
            </w:r>
          </w:p>
        </w:tc>
        <w:tc>
          <w:tcPr>
            <w:tcW w:w="0" w:type="dxa"/>
            <w:vAlign w:val="bottom"/>
          </w:tcPr>
          <w:p>
            <w:pPr>
              <w:spacing w:after="0"/>
              <w:rPr>
                <w:sz w:val="1"/>
                <w:szCs w:val="1"/>
                <w:color w:val="auto"/>
              </w:rPr>
            </w:pPr>
          </w:p>
        </w:tc>
      </w:tr>
      <w:tr>
        <w:trPr>
          <w:trHeight w:val="216"/>
        </w:trPr>
        <w:tc>
          <w:tcPr>
            <w:tcW w:w="9200" w:type="dxa"/>
            <w:vAlign w:val="bottom"/>
            <w:gridSpan w:val="3"/>
          </w:tcPr>
          <w:p>
            <w:pPr>
              <w:spacing w:after="0"/>
              <w:rPr>
                <w:sz w:val="20"/>
                <w:szCs w:val="20"/>
                <w:color w:val="auto"/>
              </w:rPr>
            </w:pPr>
            <w:r>
              <w:rPr>
                <w:rFonts w:ascii="Arial" w:cs="Arial" w:eastAsia="Arial" w:hAnsi="Arial"/>
                <w:sz w:val="18"/>
                <w:szCs w:val="18"/>
                <w:color w:val="auto"/>
              </w:rPr>
              <w:t>Acquisition of AudioAsics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3"/>
        </w:trPr>
        <w:tc>
          <w:tcPr>
            <w:tcW w:w="9200" w:type="dxa"/>
            <w:vAlign w:val="bottom"/>
            <w:gridSpan w:val="3"/>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$ 263,116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$ 256,209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920" w:type="dxa"/>
            <w:vAlign w:val="bottom"/>
            <w:gridSpan w:val="2"/>
          </w:tcPr>
          <w:p>
            <w:pPr>
              <w:ind w:left="180"/>
              <w:spacing w:after="0"/>
              <w:rPr>
                <w:sz w:val="20"/>
                <w:szCs w:val="20"/>
                <w:color w:val="auto"/>
              </w:rPr>
            </w:pPr>
            <w:r>
              <w:rPr>
                <w:rFonts w:ascii="Arial" w:cs="Arial" w:eastAsia="Arial" w:hAnsi="Arial"/>
                <w:sz w:val="18"/>
                <w:szCs w:val="18"/>
                <w:color w:val="auto"/>
              </w:rPr>
              <w:t>The Company completed the final purchase accounting during the first quarter of fiscal 2007.</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3"/>
              </w:rPr>
              <w:t>February 3, 2007</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28, 2006</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20,654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53,177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17,714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7,018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6,617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6,125</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29,240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68,349</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25,541</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Intangible assets acquired prior to the third quarter of fiscal 2006 continue to be amortized on a straight-line basis over their estimated useful lives, which range from five to ten years. The $43.1 million of intangible assets acquired during the third and fourth quarters of fiscal 2006 are being amortized over their estimated useful lives of five years using an accelerated method of amortization that is expected to reflect the estimated pattern of economic use. The remaining amortization expense will be recognized over a weighted-average period of approximately 1.9 years. Amortization expense related to intangibles was $3.6 million and $0.4 million for the three-month periods ended February 3, 2007 and January 28, 2006,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40" w:type="dxa"/>
            <w:vAlign w:val="bottom"/>
          </w:tcPr>
          <w:p>
            <w:pPr>
              <w:spacing w:after="0"/>
              <w:rPr>
                <w:sz w:val="14"/>
                <w:szCs w:val="14"/>
                <w:color w:val="auto"/>
              </w:rPr>
            </w:pPr>
          </w:p>
        </w:tc>
        <w:tc>
          <w:tcPr>
            <w:tcW w:w="1180" w:type="dxa"/>
            <w:vAlign w:val="bottom"/>
          </w:tcPr>
          <w:p>
            <w:pPr>
              <w:jc w:val="right"/>
              <w:ind w:right="122"/>
              <w:spacing w:after="0"/>
              <w:rPr>
                <w:sz w:val="20"/>
                <w:szCs w:val="20"/>
                <w:color w:val="auto"/>
              </w:rPr>
            </w:pPr>
            <w:r>
              <w:rPr>
                <w:rFonts w:ascii="Arial" w:cs="Arial" w:eastAsia="Arial" w:hAnsi="Arial"/>
                <w:sz w:val="14"/>
                <w:szCs w:val="14"/>
                <w:color w:val="auto"/>
              </w:rPr>
              <w:t>Amortization</w:t>
            </w:r>
          </w:p>
        </w:tc>
      </w:tr>
      <w:tr>
        <w:trPr>
          <w:trHeight w:val="167"/>
        </w:trPr>
        <w:tc>
          <w:tcPr>
            <w:tcW w:w="9700" w:type="dxa"/>
            <w:vAlign w:val="bottom"/>
            <w:gridSpan w:val="2"/>
          </w:tcPr>
          <w:p>
            <w:pPr>
              <w:spacing w:after="0"/>
              <w:rPr>
                <w:sz w:val="20"/>
                <w:szCs w:val="20"/>
                <w:color w:val="auto"/>
              </w:rPr>
            </w:pPr>
            <w:r>
              <w:rPr>
                <w:rFonts w:ascii="Arial" w:cs="Arial" w:eastAsia="Arial" w:hAnsi="Arial"/>
                <w:sz w:val="14"/>
                <w:szCs w:val="14"/>
                <w:color w:val="auto"/>
              </w:rPr>
              <w:t>Years</w:t>
            </w:r>
          </w:p>
        </w:tc>
        <w:tc>
          <w:tcPr>
            <w:tcW w:w="540" w:type="dxa"/>
            <w:vAlign w:val="bottom"/>
          </w:tcPr>
          <w:p>
            <w:pPr>
              <w:spacing w:after="0"/>
              <w:rPr>
                <w:sz w:val="14"/>
                <w:szCs w:val="14"/>
                <w:color w:val="auto"/>
              </w:rPr>
            </w:pPr>
          </w:p>
        </w:tc>
        <w:tc>
          <w:tcPr>
            <w:tcW w:w="1180" w:type="dxa"/>
            <w:vAlign w:val="bottom"/>
          </w:tcPr>
          <w:p>
            <w:pPr>
              <w:jc w:val="right"/>
              <w:ind w:right="262"/>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5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$ 9,522</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2008</w:t>
            </w:r>
          </w:p>
        </w:tc>
        <w:tc>
          <w:tcPr>
            <w:tcW w:w="1720" w:type="dxa"/>
            <w:vAlign w:val="bottom"/>
            <w:gridSpan w:val="2"/>
          </w:tcPr>
          <w:p>
            <w:pPr>
              <w:jc w:val="right"/>
              <w:ind w:right="262"/>
              <w:spacing w:after="0"/>
              <w:rPr>
                <w:sz w:val="20"/>
                <w:szCs w:val="20"/>
                <w:color w:val="auto"/>
              </w:rPr>
            </w:pPr>
            <w:r>
              <w:rPr>
                <w:rFonts w:ascii="Arial" w:cs="Arial" w:eastAsia="Arial" w:hAnsi="Arial"/>
                <w:sz w:val="18"/>
                <w:szCs w:val="18"/>
                <w:color w:val="auto"/>
              </w:rPr>
              <w:t>12,254</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7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9,183</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2010</w:t>
            </w:r>
          </w:p>
        </w:tc>
        <w:tc>
          <w:tcPr>
            <w:tcW w:w="1720" w:type="dxa"/>
            <w:vAlign w:val="bottom"/>
            <w:gridSpan w:val="2"/>
          </w:tcPr>
          <w:p>
            <w:pPr>
              <w:jc w:val="right"/>
              <w:ind w:right="262"/>
              <w:spacing w:after="0"/>
              <w:rPr>
                <w:sz w:val="20"/>
                <w:szCs w:val="20"/>
                <w:color w:val="auto"/>
              </w:rPr>
            </w:pPr>
            <w:r>
              <w:rPr>
                <w:rFonts w:ascii="Arial" w:cs="Arial" w:eastAsia="Arial" w:hAnsi="Arial"/>
                <w:sz w:val="18"/>
                <w:szCs w:val="18"/>
                <w:color w:val="auto"/>
              </w:rPr>
              <w:t>5,732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7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2,655</w:t>
            </w: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2012</w:t>
            </w:r>
          </w:p>
        </w:tc>
        <w:tc>
          <w:tcPr>
            <w:tcW w:w="1720" w:type="dxa"/>
            <w:vAlign w:val="bottom"/>
            <w:gridSpan w:val="2"/>
          </w:tcPr>
          <w:p>
            <w:pPr>
              <w:jc w:val="right"/>
              <w:ind w:right="262"/>
              <w:spacing w:after="0"/>
              <w:rPr>
                <w:sz w:val="20"/>
                <w:szCs w:val="20"/>
                <w:color w:val="auto"/>
              </w:rPr>
            </w:pPr>
            <w:r>
              <w:rPr>
                <w:rFonts w:ascii="Arial" w:cs="Arial" w:eastAsia="Arial" w:hAnsi="Arial"/>
                <w:sz w:val="18"/>
                <w:szCs w:val="18"/>
                <w:color w:val="auto"/>
              </w:rPr>
              <w:t>398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9"/>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3, 2007</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4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2,709</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cost</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2,241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obligation or (asset)</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4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44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2,713</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140" w:type="dxa"/>
            <w:vAlign w:val="bottom"/>
            <w:vMerge w:val="restart"/>
          </w:tcPr>
          <w:p>
            <w:pPr>
              <w:jc w:val="right"/>
              <w:ind w:right="281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Pension contributions of $2.0 million were made by the Company during the three months ended February 3, 2007. The Company presently anticipates contributing an additional $5.6 million to fund its defined benefit pension plans in fiscal year 2007 for a total of $7.6 million in fiscal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three-month periods ended February 3, 2007 and January 28,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Company’s 2004 Form 10-K filing,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all times since receiving notice of this inquiry, the Company has cooperated with the SEC. In November 2005, the Company and its President and CEO, Mr. Jerald G. Fishman, made an offer of settlement to the Staff of the SEC, which the Staff indicated it would recommend to the Commission. The settlement, however, remains subject to agreement as to the specific language of the SEC’s administrative order and other settlement documents, as well as approval of any final settlement by the Commission, the Company and Mr. Fishman. There can be no assurance a final settlement will be so approved.</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November 2005 offer of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 on November 30, 1999 and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of the Company on November 10, 2000. The SEC settlement would conclude that the Company should have made disclosures in its proxy filings to the effect that the Company priced these stock options prior to releasing favorable financial results.</w:t>
      </w:r>
    </w:p>
    <w:p>
      <w:pPr>
        <w:spacing w:after="0" w:line="7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second issue addressed by the tentative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proposed settlement, the Company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impact on net income in individual fiscal years would have been as follows: fiscal 1998 ($0.2 million), fiscal 1999 ($1.4 million), fiscal 2000 ($1.8 million), fiscal 2001 ($3.7 million), fiscal 2002 ($8.1 million), fiscal 2003 ($6.1 million), fiscal 2004 ($0.5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seeks injunctive relief, unspecified damages with interest, as well as Biax’s costs, expenses and fees. On August 3, 2005, the Company filed an answer and counterclaimed against Biax. In the counterclaim, the Company seeks rulings that the patents are not infringed, the patents are invalid and the patents are unenforceable. On November 7, 2005, Biax filed a second amended complaint alleging that the Company infringed two additional patents. The Company intends to vigorously defend against these allegations. The Company is unable at this time to predict the outcome of this litigation; however, the Company believes that the final disposition of this matter will not have a material adverse effect on the Company or its financial position.</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is cooperating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25, 2006, the Company filed a lawsuit in United States District Court for the District of Delaware against Linear Technology Corp. (“LTC”), alleging infringement of three Company patents by LTC’s making, selling and using various products. In addition, the Company also sought a declaratory judgment that its products do not infringe eight patents allegedly owned by LTC (the “LTC patents”) and that the LTC patents are invalid. On July 28, 2006, LTC filed an answer and counterclaims, denying that its products infringe the asserted Company patents and asking the court to declare such patents invalid. LTC also claimed that the Company, by making, selling and using various power management products, is infringing seven of the eight LTC patents. LTC seeks damages in an unspecified amount and injunctive relief. On August 21, 2006, the Company filed its answer to LTC’s counterclaims, denying all liability to LTC. The case is currently in the discovery phase and trial is scheduled to begin in June 2008. The Company intends to vigorously pursue its claims against LTC, and to vigorously defend against LTC’s counterclaims. The Company is unable at this time to predict the outcome of this litigation; however, the Company believes that the final disposition of this matter will not have a material adverse effect on the Company or its financial position.</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Although the Company believes it has meritorious defenses to the asserted claims, it is unable at this time to predict the outcome of this proceeding.</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on the Company’s consolidated results of operations or cash flows in the quarter or annual period in which one or more of these matters are resolved.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Since August 2004, the Company has had a common stock repurchase program in place. On December 6, 2006 the Board of Directors authorized the repurchase by the Company of an additional $1 billion of the Company’s common stock, increasing the total amount of the Company’s common stock the Company is authorized to repurchase from $2 billion to $3 billion.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repurchased approximately 10.1 million shares for approximately $333.2 million during the first quarter of fiscal 2007. As of February 3, 2007, the Company had repurchased a total of approximately 59.2 million shares of its common stock for approximately $2.0 billion under this program. The repurchased shares are held as authorized but unissued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One of the Company’s directors, who has served on the Company’s Board of Directors since 1988, became a director of Taiwan Semiconductor Manufacturing Company, or TSMC, in fiscal 2002 and continues to serve as a director of TSMC. Management believes the terms and prices for the purchases of products from TSMC are not affected by the presence of one of the Company’s directors on the Board of Directors of TSMC. The Company purchased approximately $74 million and $63 million of products from TSMC during the three-month periods ended February 3, 2007 and January 28, 2006, respectively. Approximately $17 million was payable to TSMC as of February 3, 2007 and October 28, 2006. Management anticipates that it will make significant purchases from TSMC in the remaining quarters of fiscal year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September 2006, the SEC issued Staff Accounting Bulletin (SAB) No.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This SAB provides guidance on the consideration of the effects of prior year misstatements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September 2006, the FASB issued Statement of Financial Accounting Standard (SFAS) No. 158, </w:t>
      </w:r>
      <w:r>
        <w:rPr>
          <w:rFonts w:ascii="Arial" w:cs="Arial" w:eastAsia="Arial" w:hAnsi="Arial"/>
          <w:sz w:val="17"/>
          <w:szCs w:val="17"/>
          <w:i w:val="1"/>
          <w:iCs w:val="1"/>
          <w:color w:val="auto"/>
        </w:rPr>
        <w:t>Employers’ Accounting for Defined Benefit Pension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Postretirement Plans — An Amendment of FASB Statements No. 87, 88, 106, and 132R </w:t>
      </w:r>
      <w:r>
        <w:rPr>
          <w:rFonts w:ascii="Arial" w:cs="Arial" w:eastAsia="Arial" w:hAnsi="Arial"/>
          <w:sz w:val="17"/>
          <w:szCs w:val="17"/>
          <w:color w:val="auto"/>
        </w:rPr>
        <w:t>(SFAS 158). SFAS 158 requires companies to recognize the</w:t>
      </w:r>
      <w:r>
        <w:rPr>
          <w:rFonts w:ascii="Arial" w:cs="Arial" w:eastAsia="Arial" w:hAnsi="Arial"/>
          <w:sz w:val="17"/>
          <w:szCs w:val="17"/>
          <w:i w:val="1"/>
          <w:iCs w:val="1"/>
          <w:color w:val="auto"/>
        </w:rPr>
        <w:t xml:space="preserve"> </w:t>
      </w:r>
      <w:r>
        <w:rPr>
          <w:rFonts w:ascii="Arial" w:cs="Arial" w:eastAsia="Arial" w:hAnsi="Arial"/>
          <w:sz w:val="17"/>
          <w:szCs w:val="17"/>
          <w:color w:val="auto"/>
        </w:rPr>
        <w:t>funded status of pension and other postretirement benefit plans on sponsoring employers’ balance sheets and to recognize changes in the funded status in the year the changes occur. It also requires the measurement date of plan assets and obligations to occur at the end of the employers’ fiscal year. SFAS 158 is effective for the Company at the end of fiscal 2007, except for the change in measurement date, which is effective for the Company in fiscal 2008. The effect on the Company’s financial statements is dependent upon the discount rate at the Company’s fiscal 2007 measurement date (September 30, 2007) and actual returns on the Company’s pension plan assets during the year. The Company is currently evaluating the impact, if any, that SFAS 158 may have on the Company’s financial conditions, results of operations or liquidity.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Company is currently evaluating the impact, if any, that FIN 48 may have on the Company’s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income tax payable at February 3, 2007 was approximately $67.7 million, which included approximately $60.7 million for current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foreign tax filings. The remaining $7.0 million of income tax payable is for various other income taxes.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effective tax rate increased to 21.8% in the first quarter of fiscal 2007 from 21.1% in the first quarter of fiscal 2006. The Company’s effective tax rate reflects the applicable tax rate in effect in the various tax jurisdictions around the world where income is earned. The tax rate was higher for the first quarter of fiscal 2007 as compared to the first quarter of fiscal 2006 primarily due to the higher tax rate on the $35 million one-time payment associated with the licensing of intellectual property and the gain on the sale of an investment of $7.9 million during the first quarter of fiscal 2007. These factors, that increased the Company’s effective tax rate in the first quarter of fiscal 2007, were partially offset by a tax benefit of $9.9 million from the reinstatement of the U.S. federal research and development tax credit and the cumulative adjustment recorded in the first quarter of fiscal 2007 related to the application of this credit to a portion of the Company’s fiscal 2006 results.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2006, the United States Internal Revenue Service (IRS) invited the Company to participate in the Compliance Assurance Process</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Under the program, the IRS will contemporaneously work with the Company to achieve federal tax compliance and resolve issues prior to the filing of a tax return. CAP is designed to eliminate or substantially reduce the need for post-filing examinations of future tax returns. The routine audit of fiscal years 2004 and 2005 is currently underway.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February 20, 2007, the Company’s Board of Directors declared a cash dividend of $0.18 per outstanding share of common stock. The dividend will be paid on March 28, 2007 to all shareholders of record at the close of business on March 9,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28, 2006.</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January 28, 2006</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691,614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621,302</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60.3%</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58.1%</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153,227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120,557</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22.2%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19.4%</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0.32</w:t>
            </w: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first quarter of fiscal 2007 was a 14-week quarter and the first quarter of fiscal 2006 was a 13-week quarter. Therefore, the first quarter of fiscal 2007 includes an additional week of operations as compared to the first quarter of fiscal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Revenue in the first quarter of fiscal 2007 increased by $70.3 million, or 11%, from the amount recorded in the first quarter of fiscal 2006. This was primarily the result of an additional week of operations in the first quarter of fiscal 2007 as compared to fiscal 2006 and $35 million in revenue we recorded in the first quarter of fiscal 2007 in exchange for the licensing of certain intellectual property rights. The remainder of the increase is described below under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by End Market </w:t>
      </w:r>
      <w:r>
        <w:rPr>
          <w:rFonts w:ascii="Arial" w:cs="Arial" w:eastAsia="Arial" w:hAnsi="Arial"/>
          <w:sz w:val="18"/>
          <w:szCs w:val="18"/>
          <w:color w:val="auto"/>
        </w:rPr>
        <w:t>and</w:t>
      </w:r>
      <w:r>
        <w:rPr>
          <w:rFonts w:ascii="Arial" w:cs="Arial" w:eastAsia="Arial" w:hAnsi="Arial"/>
          <w:sz w:val="18"/>
          <w:szCs w:val="18"/>
          <w:i w:val="1"/>
          <w:iCs w:val="1"/>
          <w:color w:val="auto"/>
        </w:rPr>
        <w:t xml:space="preserve"> Revenue Trends by Product</w:t>
      </w:r>
      <w:r>
        <w:rPr>
          <w:rFonts w:ascii="Arial" w:cs="Arial" w:eastAsia="Arial" w:hAnsi="Arial"/>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or the underlying trends of results within each end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285,996</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174,017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134,217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62,384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656,614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621,302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6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intellectual property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35,000</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691,614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621,302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Industrial — </w:t>
      </w:r>
      <w:r>
        <w:rPr>
          <w:rFonts w:ascii="Arial" w:cs="Arial" w:eastAsia="Arial" w:hAnsi="Arial"/>
          <w:sz w:val="17"/>
          <w:szCs w:val="17"/>
          <w:color w:val="auto"/>
        </w:rPr>
        <w:t>Revenues from products sold into the industrial end market (which includes factory automation, medical and scientific instrumentation,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security and defense applications) increased 14% in the first quarter of fiscal 2007 as compared to the same period of fiscal 2006. This increase was primarily the result of revenue growth in the broad base of products sold into the industrial end market.</w:t>
      </w:r>
    </w:p>
    <w:p>
      <w:pPr>
        <w:spacing w:after="0" w:line="57"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i w:val="1"/>
          <w:iCs w:val="1"/>
          <w:color w:val="auto"/>
        </w:rPr>
        <w:t xml:space="preserve">Communications — </w:t>
      </w:r>
      <w:r>
        <w:rPr>
          <w:rFonts w:ascii="Arial" w:cs="Arial" w:eastAsia="Arial" w:hAnsi="Arial"/>
          <w:sz w:val="16"/>
          <w:szCs w:val="16"/>
          <w:color w:val="auto"/>
        </w:rPr>
        <w:t>Revenues from products sold into the communications end market decreased 9% in the first quarter of fiscal 2007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fiscal 2006. This decrease was primarily attributable to decreases in revenue from networking customers, due to loss of revenue from our DSP-based DSL ASIC and network processor product line that we sold in the second quarter of fiscal 2006, and to decreases in wireless handset revenue. These decreases were partially offset by an increase in revenue from the wireless base station end market.</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Revenues from products sold into the consumer end market increased 35% in the first quarter of fiscal 2007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2006. This increase was primarily the result of the success of our products in digital home applications, including advanced television systems and video game applications.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Revenues from products sold into the computer end market declined 20% in the first quarter of fiscal 2007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2006. The decline was primarily the result of refocusing our power management portfolio toward portable devices.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Intellectual Property Revenue – </w:t>
      </w:r>
      <w:r>
        <w:rPr>
          <w:rFonts w:ascii="Arial" w:cs="Arial" w:eastAsia="Arial" w:hAnsi="Arial"/>
          <w:sz w:val="18"/>
          <w:szCs w:val="18"/>
          <w:color w:val="auto"/>
        </w:rPr>
        <w:t>During the first quarter of fiscal 2007 we recorded revenue of $35 million received in exchange for licensing of certain DSP-related intellectual property rights to a third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is therefore subject to judgment in some cases and can vary over time. In instances where products move between product categories we reclassify the amounts in the product categories for all prior periods. Such reclassifications typically do not materially change the sizing, or the underlying trends of results within each product category.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Three Months Ended</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2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263,648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Amplifiers</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137,728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51,187</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93,778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546,341</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55,700</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DSP-based DSL ASIC and Network Processor Product Line*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46,968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DSP</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7,605</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110,273</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 of Product Revenue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656,614</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621,302</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intellectual property</w:t>
            </w:r>
          </w:p>
        </w:tc>
        <w:tc>
          <w:tcPr>
            <w:tcW w:w="1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35,000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0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691,614</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3200" w:hanging="5612"/>
        <w:spacing w:after="0" w:line="481" w:lineRule="auto"/>
        <w:tabs>
          <w:tab w:leader="none" w:pos="45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sold our DSP-based DSL ASIC and network processor product line in the second quarter of fiscal 2006.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Revenue by geographic region, based upon point of sale, for the three-month periods ended February 3, 2007 and January 28, 2006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149,020</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134,478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123,541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116,018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83,187</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79,459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132,211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134,805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691,614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 million of revenue in the first quarter of fiscal 2007 received in exchange for licensing of certain intellectual property rights to a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$417,020</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$360,787</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60.3%</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Gross margin percentage increased 220 basis points in the first quarter of fiscal 2007 compared to the first quarter of fiscal 2006. The increase in gross margin percentage in the first quarter of fiscal 2007 as compared to the first quarter of fiscal 2006 was primarily the result of the recording of $35 million in revenue in the first quarter of fiscal 2007 received in exchange for licensing of certain intellectual property rights to a third party with no associated cost of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during which our stock price experienced unprecedented increases and subsequent declines. We believe that this past stock price volatility is unlikely to be indicative of future stock price behavior.</w:t>
      </w:r>
    </w:p>
    <w:p>
      <w:pPr>
        <w:spacing w:after="0" w:line="7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the first quarter of fiscal 2007, we recognized $19.9 million of stock-based compensation expense, or 3% of product revenue, as a result of the adoption of SFAS 123R. The adoption of SFAS 123R reduced diluted EPS for the first quarter of fiscal 2007 by $0.04. We expect that stock-based compensation related to our adoption of SFAS 123R will reduce diluted EPS by approximately $0.04 in the second quarter of fiscal 2007.</w:t>
      </w:r>
    </w:p>
    <w:p>
      <w:pPr>
        <w:spacing w:after="0" w:line="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Prior to the adoption of SFAS 123R, we accounted for share-based payments to employees using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the intrinsic value method and, as such, generally recognized no compensation cost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employee stock options. The adoption of SFAS 123R under the modified prospective application method allowed us to recognize compensation cost beginning with the effective date (a) based on the requirement of SFAS 123R for all share-based payments granted after the effective date and (b) based on the requirements of SFAS 123 for all awards granted to employees prior to the effective date of SFAS 123R that remain unvested on the effective date. Under the modified prospective application method, prior periods are not restated for the effect of SFAS 123R. We used the graded attribution method to recognize expense for all options granted prior to the adoption of SFAS 123R. Upon adoption of SFAS 123R on October 30, 2005, we switched to the straight-line attribution method to recognize expense for all grants made after October 29, 2005. The expense associated with the unvested portion of the pre-adoption grants will continue to be expensed using the graded attribution method.</w:t>
      </w:r>
    </w:p>
    <w:p>
      <w:pPr>
        <w:spacing w:after="0" w:line="70"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As of February 3, 2007, the total compensation cost related to unvested awards not yet recognized in the statement of income was approximately $203.5 million (before tax consideration), which we expect to recognize over a weighted-average period of 1.9 years.</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$143,894</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$131,288</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21.9%</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Research and development, or R&amp;D, expenses increased $12.6 million, or 10%, in the first quarter of fiscal 2007 as compared to the first quarter of fiscal 2006. This increase was primarily the result of the extra week of operations in the first quarter of fiscal 2007. In addition to the extra week of operations contributing to higher employee salary and benefit expense, the salary and benefit expense was also higher in the first quarter of fiscal 2007 compared to the first quarter of fiscal 2006 as the result of an increase in our employee population and salary increases.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4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$104,681</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$96,281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480" w:type="dxa"/>
            <w:vAlign w:val="bottom"/>
          </w:tcPr>
          <w:p>
            <w:pPr>
              <w:jc w:val="right"/>
              <w:ind w:right="199"/>
              <w:spacing w:after="0"/>
              <w:rPr>
                <w:sz w:val="20"/>
                <w:szCs w:val="20"/>
                <w:color w:val="auto"/>
              </w:rPr>
            </w:pPr>
            <w:r>
              <w:rPr>
                <w:rFonts w:ascii="Arial" w:cs="Arial" w:eastAsia="Arial" w:hAnsi="Arial"/>
                <w:sz w:val="18"/>
                <w:szCs w:val="18"/>
                <w:color w:val="auto"/>
              </w:rPr>
              <w:t>15.9%</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Selling, marketing, general and administrative, or SMG&amp;A, expenses increased $8.4 million, or 9%, in the first quarter of fiscal 2007 as compared to the first quarter of fiscal 2006. This increase was primarily the result of the extra week of operations in the first quarter of fiscal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 Defined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Plans and for Termination Benefits</w:t>
      </w:r>
      <w:r>
        <w:rPr>
          <w:rFonts w:ascii="Arial" w:cs="Arial" w:eastAsia="Arial" w:hAnsi="Arial"/>
          <w:sz w:val="17"/>
          <w:szCs w:val="17"/>
          <w:color w:val="auto"/>
        </w:rPr>
        <w:t>, or SFAS 88, under our ongoing benefit plan for 339 manufacturing employees and 28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The severance benefit was calculated based on length of past service, and employees must continue to be employed until they are involuntarily terminated in order to receive the severance benefit. As of February 3, 2007, eight of these employees remained employed at our company and will continue working during the second quarter on the cleanup and closure of this wafer fabrication facility. We expect to complete the remaining cleanup and closure activities by the end of April 2007.</w:t>
      </w:r>
    </w:p>
    <w:p>
      <w:pPr>
        <w:spacing w:after="0" w:line="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ceased production at the wafer fabrication facility on November 9, 2006. During the first quarter of fiscal 2007, we recorded additional expense, in accordance with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consisted of $3.2 million for clean-up and closure costs that were charged to expense as incurred. The additional $0.4 million of this charge was for lease obligation costs for a warehouse facility we ceased using during the first quarter of fiscal 2007.</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incur the remaining expenses of approximately $7 million related to this action in the second quarter of fiscal 2007. These expenses relate to termination costs for the lease of the wafer fabrication building based on the cease-use date and final clean-up and closure costs. 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unutilized resulting in significant adverse variances associated with the under utilization of our wafer fabrication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 As of February 3, 2007, we still employed two of these employees. These employees must continue to be employed until they are involuntarily terminated in order to receive the severance benefit.</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The remaining $2.3 million relates to the severance and fringe benefit costs that were recorded in the fourth quarter of fiscal 2006 pursuant to SFAS 88 under our ongoing benefit plan or statutory requirements at foreign locations for 46 engineering and selling, marketing, general and administrative employees. As of February 3, 2007, we still employed ten of these employees. These employees must continue to be employed until they are involuntarily terminated in order to receive the severance benefit.</w:t>
      </w:r>
    </w:p>
    <w:p>
      <w:pPr>
        <w:spacing w:after="0" w:line="8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the first quarter of fiscal 2007, we recorded an additional special charge of $1.6 million related to this reorganization action. Approximately $0.6 million of this charge was for contract termination costs. The remaining $1.0 million relates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severance and fringe benefit costs that were recorded in the first quarter pursuant to SFAS 88 under our ongoing benefit plan for six engineering employees. As of February 3, 2007, we still employed two of these employees. These employees must continue to be employed until they are involuntarily terminated in order to receive the severance benefit.</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expect to incur any further material charges related to this reorganization action. These organizational changes are expected to result in savings of approximately $27 million per year once fully completed by the end of the second quarter of fiscal 2007. These savings are expected to be realized as follows: approximately $16 million in R&amp;D expenses, approximately $8 million in SMG&amp;A expenses and approximately $3 million in cost of sales. A portion of these savings associated with these charges are reflected in our current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$163,249</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$132,205</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Operating Income as a % of Total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23.6%</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The $31.0 million increase in operating income in the first quarter of fiscal 2007 as compared to the first quarter of fiscal 2006 was primarily the result of recording $35 million in revenue in the first quarter of fiscal 2007 received in exchange for licensing of certain intellectual property rights to a third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100" w:type="dxa"/>
            <w:vAlign w:val="bottom"/>
          </w:tcPr>
          <w:p>
            <w:pPr>
              <w:spacing w:after="0"/>
              <w:rPr>
                <w:sz w:val="12"/>
                <w:szCs w:val="1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(24,837)</w:t>
            </w:r>
          </w:p>
        </w:tc>
        <w:tc>
          <w:tcPr>
            <w:tcW w:w="4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(23,257)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(7,465)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nonoperating income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(20,592)</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Nonoperating income increased by $11.7 million in the first quarter of fiscal 2007 as compared to the same period in the prior fiscal year. The increase was primarily related to a $7.9 million gain we recognized from the sale of an investment in the first quarter of fiscal 2007 and to a lesser extent higher interest income recognized as a result of the 14-week first quarter of fiscal 2007 as compared to the 13-week first quarter of fiscal 2006. The impact of higher interest rates in the first quarter of fiscal 2007 as compared to the first quarter of fiscal 2006 was offset by the impact of lower invested cash balances in the first quarter of fiscal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2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1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13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$42,543</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$32,240</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tcPr>
          <w:p>
            <w:pPr>
              <w:jc w:val="right"/>
              <w:ind w:right="199"/>
              <w:spacing w:after="0"/>
              <w:rPr>
                <w:sz w:val="20"/>
                <w:szCs w:val="20"/>
                <w:color w:val="auto"/>
              </w:rPr>
            </w:pPr>
            <w:r>
              <w:rPr>
                <w:rFonts w:ascii="Arial" w:cs="Arial" w:eastAsia="Arial" w:hAnsi="Arial"/>
                <w:sz w:val="18"/>
                <w:szCs w:val="18"/>
                <w:color w:val="auto"/>
              </w:rPr>
              <w:t>21.8%</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The tax rate was higher for the first quarter of fiscal 2007 as compared to the first quarter of fiscal 2006 primarily due to the higher tax rate on the $35 million one-time payment received in exchange for the licensing of certain intellectual property rights and the gain of the sale of an investment of $7.9 million during the first quarter of fiscal 2007. These factors had the impact of increasing our effective tax rate in the first quarter of fiscal 2007 and were partially offset by a tax benefit of $9.9 million from the reinstatement of the U.S. federal research and development tax credit and the cumulative adjustment recorded in the first quarter of fiscal 2007 related to the application of this credit to a portion of our fiscal 2006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January 28, 2006</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6"/>
              </w:rPr>
              <w:t>153,227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120,557</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22.2%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19.4%</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0.32</w:t>
            </w: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income in the first quarter of fiscal 2007 was higher than in the first quarter of fiscal 2006 by approximately $32.7 million primarily as the result of the 11% increase in revenue, the increase in nonoperating income and the reinstatement of the U.S. federal research and development tax credit. These increases were partially offset by approximately $8 million of acquisition related expense recorded in the first quarter of fiscal 2007 related to the acquisitions completed during the second half of fiscal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One of our directors, who has served on our Board of Directors since 1988, became a director of Taiwan Semiconductor Manufacturing Company, or TSMC, in fiscal 2002 and continues to serve as a director of TSMC. Management believes the terms and prices for the purchases of products from TSMC are not affected by the presence of one of our directors on the Board of Directors of TSMC. We purchased approximately $74 million and $63 million of products from TSMC during the three-month periods ended February 3, 2007 and January 28, 2006, respectively. Approximately $17 million was payable to TSMC as of February 3, 2007 and October 28, 2006. Management anticipates that we will make significant purchases from TSMC in the remainder of fiscal year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planning for revenues for the second quarter of fiscal 2007 to be in the range of $640 million to $670 million. We are also planning for our gross margin percentage in the second quarter to be in the range of 57.7% to 58.3%. Operating expenses are planned to increase slightly in the 13-week second quarter as compared to the 14-week first quarter as a result of annual salary increases that take effect in the second quarter of fiscal 2007 and increased research and development spending on new analog products. Diluted EPS is planned to be in the range of $0.31 to $0.36 in the second quarter of fiscal 2007. This estimate of diluted EPS includes approximately $0.06 per share related to stock-based compensation expense, previously announced restructuring-related expenses and previously announced acquisition-related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28, 2006</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$208,153</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$175,255</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30.1%</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February 3, 2007, cash, cash equivalents and short-term investments totaled $1,953.8 million, a decrease of $174.5 million from the fourth quarter of fiscal 2006. The primary sources of funds for the first three months of fiscal 2007 were net cash generated from operating activities of $208.2 million and proceeds of $24.5 million from our various employee stock plans. The principal uses of funds for the first three months of fiscal 2007 were the repurchase of approximately 10.1 million shares of our common stock for an aggregate of $333.2 million, dividend payments of $54.7 million and capital expenditures of $37.7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February 3, 2007</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October 28, 2006</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6"/>
              <w:spacing w:after="0" w:line="195" w:lineRule="exact"/>
              <w:rPr>
                <w:sz w:val="20"/>
                <w:szCs w:val="20"/>
                <w:color w:val="auto"/>
              </w:rPr>
            </w:pPr>
            <w:r>
              <w:rPr>
                <w:rFonts w:ascii="Arial" w:cs="Arial" w:eastAsia="Arial" w:hAnsi="Arial"/>
                <w:sz w:val="18"/>
                <w:szCs w:val="18"/>
                <w:color w:val="auto"/>
              </w:rPr>
              <w:t>$344,783</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$329,393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Inventory</w:t>
            </w:r>
          </w:p>
        </w:tc>
        <w:tc>
          <w:tcPr>
            <w:tcW w:w="1500" w:type="dxa"/>
            <w:vAlign w:val="bottom"/>
          </w:tcPr>
          <w:p>
            <w:pPr>
              <w:jc w:val="right"/>
              <w:ind w:right="376"/>
              <w:spacing w:after="0"/>
              <w:rPr>
                <w:sz w:val="20"/>
                <w:szCs w:val="20"/>
                <w:color w:val="auto"/>
              </w:rPr>
            </w:pPr>
            <w:r>
              <w:rPr>
                <w:rFonts w:ascii="Arial" w:cs="Arial" w:eastAsia="Arial" w:hAnsi="Arial"/>
                <w:sz w:val="18"/>
                <w:szCs w:val="18"/>
                <w:color w:val="auto"/>
              </w:rPr>
              <w:t>$385,766</w:t>
            </w:r>
          </w:p>
        </w:tc>
        <w:tc>
          <w:tcPr>
            <w:tcW w:w="1980" w:type="dxa"/>
            <w:vAlign w:val="bottom"/>
            <w:gridSpan w:val="2"/>
          </w:tcPr>
          <w:p>
            <w:pPr>
              <w:jc w:val="right"/>
              <w:ind w:right="359"/>
              <w:spacing w:after="0"/>
              <w:rPr>
                <w:sz w:val="20"/>
                <w:szCs w:val="20"/>
                <w:color w:val="auto"/>
              </w:rPr>
            </w:pPr>
            <w:r>
              <w:rPr>
                <w:rFonts w:ascii="Arial" w:cs="Arial" w:eastAsia="Arial" w:hAnsi="Arial"/>
                <w:sz w:val="18"/>
                <w:szCs w:val="18"/>
                <w:color w:val="auto"/>
              </w:rPr>
              <w:t>$378,651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Accounts receivable at February 3, 2007 increased $15.4 million, or 5%, from the end of the fourth quarter of fiscal 2006. The increase in receivables was primarily related to the higher shipment rate in the last month of the first quarter of fiscal 2007.</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Inventory at February 3, 2007 increased by $7.1 million, or 2%, from the end of fiscal 2006. The increase in inventory was primarily caused by an inventory build to support anticipated higher sales demand.</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additions to property, plant and equipment were $37.7 million in the first three months of fiscal 2007 and were funded with a combination of cash on hand and cash generated from operations. Capital expenditures are expected to be approximately $165 million in fiscal 2007.</w:t>
      </w:r>
    </w:p>
    <w:p>
      <w:pPr>
        <w:spacing w:after="0" w:line="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February 20, 2007, our Board of Directors declared a cash dividend of $0.18 per outstanding share of our common stock. The dividend is payable on March 28, 2007 to shareholders of record on March 9, 2007 and is expected to be approximately $59.4 million in the aggregate. The payment of future dividends will be based on several factors including our financial performance, outlook and liquidity. Quarterly dividends are expected to continue at $0.18 per share, although they remain subject to declaration or change by our Board of Directors.</w:t>
      </w:r>
    </w:p>
    <w:p>
      <w:pPr>
        <w:spacing w:after="0" w:line="7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February 3, 2007, our principal source of liquidity was $1,953.8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September 2006, the United States Securities and Exchange Commission (SEC) issued Staff Accounting Bulletin (SAB) No. 108, </w:t>
      </w:r>
      <w:r>
        <w:rPr>
          <w:rFonts w:ascii="Arial" w:cs="Arial" w:eastAsia="Arial" w:hAnsi="Arial"/>
          <w:sz w:val="16"/>
          <w:szCs w:val="16"/>
          <w:i w:val="1"/>
          <w:iCs w:val="1"/>
          <w:color w:val="auto"/>
        </w:rPr>
        <w:t>Considering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Prior Year Misstatements when Quantifying Misstatements in Current Year Financial Statements </w:t>
      </w:r>
      <w:r>
        <w:rPr>
          <w:rFonts w:ascii="Arial" w:cs="Arial" w:eastAsia="Arial" w:hAnsi="Arial"/>
          <w:sz w:val="16"/>
          <w:szCs w:val="16"/>
          <w:color w:val="auto"/>
        </w:rPr>
        <w:t>(SAB 108). This SAB provides guidance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the effects of prior year misstatements 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September 2006, the Financial Accounting Standards Board (FASB) issued Statement of Financial Accounting Standard (SFAS) No. 158,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Defined Benefit Pension and Other Postretirement Plans — An Amendment of FASB Statements No. 87, 88, 106, and 132R </w:t>
      </w:r>
      <w:r>
        <w:rPr>
          <w:rFonts w:ascii="Arial" w:cs="Arial" w:eastAsia="Arial" w:hAnsi="Arial"/>
          <w:sz w:val="17"/>
          <w:szCs w:val="17"/>
          <w:color w:val="auto"/>
        </w:rPr>
        <w:t>(SFAS 158). SFAS</w:t>
      </w:r>
      <w:r>
        <w:rPr>
          <w:rFonts w:ascii="Arial" w:cs="Arial" w:eastAsia="Arial" w:hAnsi="Arial"/>
          <w:sz w:val="17"/>
          <w:szCs w:val="17"/>
          <w:i w:val="1"/>
          <w:iCs w:val="1"/>
          <w:color w:val="auto"/>
        </w:rPr>
        <w:t xml:space="preserve"> </w:t>
      </w:r>
      <w:r>
        <w:rPr>
          <w:rFonts w:ascii="Arial" w:cs="Arial" w:eastAsia="Arial" w:hAnsi="Arial"/>
          <w:sz w:val="17"/>
          <w:szCs w:val="17"/>
          <w:color w:val="auto"/>
        </w:rPr>
        <w:t>158 requires companies to recognize the funded status of pension and other postretirement benefit plans on sponsoring employers’ balance sheets and to recognize changes in the funded status in the year the changes occur. It also requires the measurement date of plan assets and obligations to occur at the end of the employers’ fiscal year. SFAS 158 is effective for us at the end of fiscal 2007, except for the change in measurement date, which is effective for us in fiscal 2008. The effect on our financial statements is dependent upon the discount rate at our fiscal 2007 measurement date (September 30, 2007) and actual returns on our pension plan assets during the year. We are currently evaluating the impact, if any, that SFAS 158 may have on our financial condition, results of operations or liquidity.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We are currently evaluating the impact, if any, that FIN 48 may have on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and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account for income taxes in accordance with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February 3, 2007, we had gross deferred tax assets of $181.3 million primarily resulting from temporary differences between the book and tax bases of assets and liabilities. We have conducted an assessment of the likelihood of realization of those deferred tax assets and concluded that a $45.6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adoption of SFAS 123R in the first quarter of fiscal 2006 requires that stock-based compensation expense associated with stock options and related awards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We are responsible for estimating volatility and have considered a number of factors, including third-party estimates, when estimating</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exchange-traded options in our stock, statistical techniques are used to derive the implied volatility for traded options with terms commensurate with the option’s expected term of 5.1 years. This calculation of implied volatility is derived from the closing prices of our stock and exchange traded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options from the most recent five trading days prior to the grant date of the employee stock option. In general, the higher the expected volatility used in the Black-Scholes valuation model, the higher the grant-date fair value of the option.</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use historical employee exercise and option expiration data to estimate the expected term assumption for the Black-Scholes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our Board of Directors for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dividing that result 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3.4% to all unvested stock-based awards as of February 3, 2007. The 3.4%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 See Note 10 to our Consolidated Financial Statements contained in Item 1 of this Quarterly Report on Form 10-Q for additional information regarding our commitments and contingencies.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October 28,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February 3,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3, 2007,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20"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February 3, 2007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2004 Form 10-K filing, we disclosed that the Securities and Exchange Commission (SEC) had initiated an inquiry into our stock option granting practices, focusing on options that were granted shortly before the issuance of favorable financial results. On November 15, 2005, we announced that we had reached a tentative settlement with the SEC.</w:t>
      </w:r>
    </w:p>
    <w:p>
      <w:pPr>
        <w:spacing w:after="0" w:line="7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At all times since receiving notice of this inquiry, we have cooperated with the SEC. In November 2005, we and our President and CEO, Mr. Jerald G. Fishman, made an offer of settlement to the Staff of the SEC, which the Staff indicated it would recommend to the Commission. The settlement, however, remains subject to agreement as to the specific language of the SEC’s administrative order and other settlement documents, as well as approval of any final settlement by the Commission, us and Mr. Fishman. There can be no assurance a final settlement will be so approved.</w:t>
      </w:r>
    </w:p>
    <w:p>
      <w:pPr>
        <w:spacing w:after="0" w:line="6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The November 2005 offer of settlement addresses two separate issues. The first issue concerns our disclosure regarding grants of options to employees and directors prior to the release of favorable financial results. Specifically, the issue relates to options granted to our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on November 30, 1999 and to our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Company on November 10, 2000. The SEC settlement would conclude that we should have made disclosures in our proxy filings to the effect that we priced these stock options prior to releasing favorable financial results.</w:t>
      </w:r>
    </w:p>
    <w:p>
      <w:pPr>
        <w:spacing w:after="0" w:line="4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The second issue addressed by the tentative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5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proposed settlement, we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w:t>
      </w:r>
    </w:p>
    <w:p>
      <w:pPr>
        <w:jc w:val="both"/>
        <w:ind w:right="1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 Mr. Fishman would settle this matter without admitting or denying the Commission’s findings.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no restatement of our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our net income for fiscal years 1998 through 2005 would have been reduced by $21.8 million in total. During this period, we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June 14, 2005, Biax Corporation filed its first amended complaint for patent infringement in the United States District Court for the Eastern District of Texas against us and Intel Corporation, alleging that we infringed three patents owned by Biax relating to parallel processors. Prior to the filing of the first amended complaint, we were unaware of Biax or this action. The first amended complaint seeks injunctive relief, unspecified damages with interest, as well as Biax’s costs, expenses and fees. On August 3, 2005, we filed an answer and counterclaimed against Biax. In the counterclaim, we seek rulings that the patents are not infringed, the patents are invalid and the patents are unenforceable. On November 7, 2005, Biax filed a second amended complaint alleging that we infringed two additional patents. We intend to vigorously defend against these allegations.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unable at this time to predict the outcome of this litigation; however, we believe that the final disposition of this matter will not have a material adverse effect on us or our financial position.</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are cooperating with the office of the U.S. Attorney in connection with this subpoena. We cannot predict the outcome of this matter, but believe the disposition of the matter will not have a material adverse effect on us or our financial position.</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May 25, 2006, we filed a lawsuit in United States District Court for the District of Delaware against Linear Technology Corp. (“LTC”) alleging infringement of three of our patents by LTC’s making, selling and using various products. In addition, we also sought a declaratory judgment that our products do not infringe eight patents allegedly owned by LTC (the “LTC patents”) and that the LTC patents are invalid. On July 28, 2006, LTC filed an answer and counterclaims, denying that its products infringe the asserted patents and asking the court to declare such patents invalid. LTC also claimed that we, by making, selling and using various power management products, are infringing seven of the eight LTC patents. LTC seeks damages in an unspecified amount and injunctive relief. On August 21, 2006, we filed our answer to LTC’s counterclaims, denying all liability to LTC. The case is currently in the discovery phase and trial is scheduled to begin in June 2008. We intend to vigorously pursue our claims against LTC, and to vigorously defend against LTC’s counterclaims. We are unable at this time to predict the outcome of this litigation; however, we believe that the final disposition of this matter will not have a material adverse effect on us or our financial position.</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13, 2006, a purported class action complaint was filed in the United States District Court for the District of Massachusetts on behalf of participants in our Investment Partnership Plan from October 5, 2000 to the present. The complaint named as defendants us, certain officers and directors, and our Investment Partnership Plan Administration Committee.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Although we believe we have meritorious defenses to the asserted claims, we are unable at this time to predict the outcome of this proceeding.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 10-K for the fiscal year ended October 28,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and operating results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future revenue, gross margins and operating results are difficult to predict and may be materially affected by a number of factors, including:</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risk that our backlog could decline significantly;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effect of adverse changes in economic conditions in the United States and international markets;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effects of public health emergencies, natural disasters, terrorist activities, international conflicts and other events beyond our control.</w:t>
      </w:r>
    </w:p>
    <w:p>
      <w:pPr>
        <w:spacing w:after="0" w:line="1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and operating results on a quarterly or annual basis. In addition, if our revenue, gross margins and operating results do not meet the expectations of securities analysts or investors, the market price of our common stock may decline.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may incur inventory and manufacturing costs in advance of anticipated sales and are subject to the risk of cancellations of orders leading to a sharp reduction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Reductions, cancellations or delays in orders for our products could adversely affect our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continue to improve our products, develop and market new products, and enter new markets.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new products. Product development and enhancement is often a complex, time-consuming and costly process, and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quality standards or comply with industry standards and technical requirements may adversely affect demand for our products and our results of operations.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 markets we serve. Competition is based on design and quality of products, product performance, features and functionality, and price, with the relative importance of these factors varying among products, markets and customers. Existing or new competitors may develop products or technologies that more effectively address the demands of our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price competition.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In addition, these suppliers often provide manufacturing services to our competitors and therefore periods of increased industry demand may result in capacity constraints.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In addition, we may not be able to expand our workforce and operations in a sufficiently timely manner, or locate suitable third-party suppliers, to respond effectively to changes in demand for our existing products or to the demand for new products requested by our customers, and our current or future business could be materially and adversely affected. Conversely, if we expand our operations and workforce too rapidly in anticipation of increased demand for our products, and such demand does not materialize at the pace at which we expect, our operating results may be adversely affected. These capacity expansions by us and other semiconductor manufacturers could also lead to overcapacity in our target markets which could lead to price erosion that would adversely impact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increased operating expenses, reduced margins, underutilization of capacity or asset impairment charges.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and market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services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one of our customers’ products containing one of our products. See Note 10 in the Notes to our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Acquisitions also involve a number of risks, including: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and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and other risks through our significant worldwide operations.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first quarter of fiscal 2007, approximately 71%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and intellectual property, trade and travel restrictions, pandemics, import and export license requirements and restrictions, difficulties in staffing and managing worldwide operations, and accounts receivable collections.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actual or perceived noncompliance with corporate responsibility or ethics standards by us or any of our employees, officers or directors; and</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Total Number of</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Shares Purchased</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as Part of Publicly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Purchased Under</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Average Price</w:t>
            </w: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Announced Plans</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800" w:type="dxa"/>
            <w:vAlign w:val="bottom"/>
          </w:tcPr>
          <w:p>
            <w:pPr>
              <w:ind w:left="2200"/>
              <w:spacing w:after="0"/>
              <w:rPr>
                <w:sz w:val="20"/>
                <w:szCs w:val="20"/>
                <w:color w:val="auto"/>
              </w:rPr>
            </w:pPr>
            <w:r>
              <w:rPr>
                <w:rFonts w:ascii="Arial" w:cs="Arial" w:eastAsia="Arial" w:hAnsi="Arial"/>
                <w:sz w:val="14"/>
                <w:szCs w:val="14"/>
                <w:color w:val="auto"/>
              </w:rPr>
              <w:t>Period</w:t>
            </w:r>
          </w:p>
        </w:tc>
        <w:tc>
          <w:tcPr>
            <w:tcW w:w="1740" w:type="dxa"/>
            <w:vAlign w:val="bottom"/>
            <w:gridSpan w:val="4"/>
          </w:tcPr>
          <w:p>
            <w:pPr>
              <w:ind w:left="460"/>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color w:val="auto"/>
              </w:rPr>
              <w:t>Paid Per Share (a)</w:t>
            </w: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color w:val="auto"/>
                <w:w w:val="91"/>
              </w:rPr>
              <w:t>or Programs (b)</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Programs</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28, 2006 through November 25, 2006</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291,646</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303,032,406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November 26, 2006 through December 30, 2006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5,495,899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32.86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5,495,899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1,122,419,761</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 through February 3,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4,302,623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33.28</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4,302,623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979,219,276</w:t>
            </w: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10,090,168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33.02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10,090,168</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979,219,276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60" w:hanging="452"/>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December 6, 2006, our Board of Directors authorized the repurchase by us of an additional $1 billion of our common stock, increasing the total amount of our common stock we are authorized to repurchase from $2 billion to $3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ind w:left="84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21, 2007</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February 21, 2007</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President-Finance</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50"/>
              <w:spacing w:after="0"/>
              <w:rPr>
                <w:sz w:val="20"/>
                <w:szCs w:val="20"/>
                <w:color w:val="auto"/>
              </w:rPr>
            </w:pPr>
            <w:r>
              <w:rPr>
                <w:rFonts w:ascii="Arial" w:cs="Arial" w:eastAsia="Arial" w:hAnsi="Arial"/>
                <w:sz w:val="18"/>
                <w:szCs w:val="18"/>
                <w:color w:val="auto"/>
              </w:rPr>
              <w:t>43</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0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2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w w:val="93"/>
              </w:rPr>
              <w:t>Form of Confirming Memorandum for grants of non-qualified stock options to employees for usage under the Company’s 2006 Stock</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w w:val="92"/>
              </w:rPr>
              <w:t>Incentive Plan, incorporated herein by reference to Exhibit 99.1 of the Company’s Current Report on Form 8-K filed with the Securities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rPr>
              <w:t>and Exchange Commission on December 22, 2006 (File No. 1-7819).</w:t>
            </w:r>
          </w:p>
        </w:tc>
        <w:tc>
          <w:tcPr>
            <w:tcW w:w="0" w:type="dxa"/>
            <w:vAlign w:val="bottom"/>
          </w:tcPr>
          <w:p>
            <w:pPr>
              <w:spacing w:after="0"/>
              <w:rPr>
                <w:sz w:val="1"/>
                <w:szCs w:val="1"/>
                <w:color w:val="auto"/>
              </w:rPr>
            </w:pP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rPr>
              <w:t>Sarbanes-Oxley Act of 2002 (Chief Executive Officer).</w:t>
            </w:r>
          </w:p>
        </w:tc>
        <w:tc>
          <w:tcPr>
            <w:tcW w:w="0" w:type="dxa"/>
            <w:vAlign w:val="bottom"/>
          </w:tcPr>
          <w:p>
            <w:pPr>
              <w:spacing w:after="0"/>
              <w:rPr>
                <w:sz w:val="1"/>
                <w:szCs w:val="1"/>
                <w:color w:val="auto"/>
              </w:rPr>
            </w:pP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rPr>
              <w:t>Sarbanes-Oxley Act of 2002 (Chief Financial Officer).</w:t>
            </w: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20" w:type="dxa"/>
            <w:vAlign w:val="bottom"/>
            <w:gridSpan w:val="4"/>
          </w:tcPr>
          <w:p>
            <w:pPr>
              <w:ind w:left="5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5240" w:type="dxa"/>
            <w:vAlign w:val="bottom"/>
            <w:gridSpan w:val="3"/>
          </w:tcPr>
          <w:p>
            <w:pPr>
              <w:jc w:val="right"/>
              <w:ind w:right="359"/>
              <w:spacing w:after="0"/>
              <w:rPr>
                <w:sz w:val="20"/>
                <w:szCs w:val="20"/>
                <w:color w:val="auto"/>
              </w:rPr>
            </w:pPr>
            <w:r>
              <w:rPr>
                <w:rFonts w:ascii="Arial" w:cs="Arial" w:eastAsia="Arial" w:hAnsi="Arial"/>
                <w:sz w:val="18"/>
                <w:szCs w:val="18"/>
                <w:color w:val="auto"/>
              </w:rPr>
              <w:t>44</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36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3, 2007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6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3, 2007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2019-12-20T05:29:24Z</dcterms:created>
  <dcterms:modified xsi:type="dcterms:W3CDTF">2019-12-20T05:29:24Z</dcterms:modified>
</cp:coreProperties>
</file>