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7700" cy="1252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25222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3180" w:type="dxa"/>
            <w:vAlign w:val="bottom"/>
            <w:gridSpan w:val="2"/>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160" w:type="dxa"/>
            <w:vAlign w:val="bottom"/>
            <w:vMerge w:val="restart"/>
          </w:tcPr>
          <w:p>
            <w:pPr>
              <w:ind w:left="2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Sacks Anelise Angelino</w:t>
              </w:r>
            </w:hyperlink>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60" w:type="dxa"/>
            <w:vAlign w:val="bottom"/>
            <w:vMerge w:val="continue"/>
          </w:tcPr>
          <w:p>
            <w:pPr>
              <w:spacing w:after="0"/>
              <w:rPr>
                <w:sz w:val="14"/>
                <w:szCs w:val="14"/>
                <w:color w:val="auto"/>
              </w:rPr>
            </w:pPr>
          </w:p>
        </w:tc>
        <w:tc>
          <w:tcPr>
            <w:tcW w:w="1380" w:type="dxa"/>
            <w:vAlign w:val="bottom"/>
          </w:tcPr>
          <w:p>
            <w:pPr>
              <w:ind w:left="120"/>
              <w:spacing w:after="0"/>
              <w:rPr>
                <w:sz w:val="20"/>
                <w:szCs w:val="20"/>
                <w:color w:val="auto"/>
              </w:rPr>
            </w:pPr>
            <w:r>
              <w:rPr>
                <w:rFonts w:ascii="Arial" w:cs="Arial" w:eastAsia="Arial" w:hAnsi="Arial"/>
                <w:sz w:val="13"/>
                <w:szCs w:val="13"/>
                <w:color w:val="0000FF"/>
              </w:rPr>
              <w:t>02/22/2021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16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5"/>
          <w:szCs w:val="15"/>
          <w:color w:val="0000EE"/>
        </w:rPr>
      </w:pPr>
      <w:hyperlink r:id="rId13">
        <w:r>
          <w:rPr>
            <w:rFonts w:ascii="Arial" w:cs="Arial" w:eastAsia="Arial" w:hAnsi="Arial"/>
            <w:sz w:val="15"/>
            <w:szCs w:val="15"/>
            <w:u w:val="single" w:color="auto"/>
            <w:color w:val="0000EE"/>
          </w:rPr>
          <w:t>ANALOG DEVICES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ADI</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310"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tbl>
      <w:tblPr>
        <w:tblLayout w:type="fixed"/>
        <w:tblInd w:w="6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960" w:type="dxa"/>
            <w:vAlign w:val="bottom"/>
          </w:tcPr>
          <w:p>
            <w:pPr>
              <w:ind w:left="20"/>
              <w:spacing w:after="0"/>
              <w:rPr>
                <w:sz w:val="20"/>
                <w:szCs w:val="20"/>
                <w:color w:val="auto"/>
              </w:rPr>
            </w:pPr>
            <w:r>
              <w:rPr>
                <w:rFonts w:ascii="Arial" w:cs="Arial" w:eastAsia="Arial" w:hAnsi="Arial"/>
                <w:sz w:val="10"/>
                <w:szCs w:val="10"/>
                <w:color w:val="auto"/>
              </w:rPr>
              <w:t>(Last)</w:t>
            </w:r>
          </w:p>
        </w:tc>
        <w:tc>
          <w:tcPr>
            <w:tcW w:w="760" w:type="dxa"/>
            <w:vAlign w:val="bottom"/>
          </w:tcPr>
          <w:p>
            <w:pPr>
              <w:ind w:left="100"/>
              <w:spacing w:after="0"/>
              <w:rPr>
                <w:sz w:val="20"/>
                <w:szCs w:val="20"/>
                <w:color w:val="auto"/>
              </w:rPr>
            </w:pPr>
            <w:r>
              <w:rPr>
                <w:rFonts w:ascii="Arial" w:cs="Arial" w:eastAsia="Arial" w:hAnsi="Arial"/>
                <w:sz w:val="10"/>
                <w:szCs w:val="10"/>
                <w:color w:val="auto"/>
              </w:rPr>
              <w:t>(First)</w:t>
            </w:r>
          </w:p>
        </w:tc>
        <w:tc>
          <w:tcPr>
            <w:tcW w:w="1440" w:type="dxa"/>
            <w:vAlign w:val="bottom"/>
          </w:tcPr>
          <w:p>
            <w:pPr>
              <w:ind w:left="400"/>
              <w:spacing w:after="0"/>
              <w:rPr>
                <w:sz w:val="20"/>
                <w:szCs w:val="20"/>
                <w:color w:val="auto"/>
              </w:rPr>
            </w:pPr>
            <w:r>
              <w:rPr>
                <w:rFonts w:ascii="Arial" w:cs="Arial" w:eastAsia="Arial" w:hAnsi="Arial"/>
                <w:sz w:val="10"/>
                <w:szCs w:val="10"/>
                <w:color w:val="auto"/>
              </w:rPr>
              <w:t>(Middle)</w:t>
            </w:r>
          </w:p>
        </w:tc>
      </w:tr>
      <w:tr>
        <w:trPr>
          <w:trHeight w:val="208"/>
        </w:trPr>
        <w:tc>
          <w:tcPr>
            <w:tcW w:w="2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Arial" w:cs="Arial" w:eastAsia="Arial" w:hAnsi="Arial"/>
                <w:sz w:val="13"/>
                <w:szCs w:val="13"/>
                <w:color w:val="0000FF"/>
              </w:rPr>
              <w:t>ONE ANALOG WAY</w:t>
            </w:r>
          </w:p>
        </w:tc>
        <w:tc>
          <w:tcPr>
            <w:tcW w:w="1440" w:type="dxa"/>
            <w:vAlign w:val="bottom"/>
          </w:tcPr>
          <w:p>
            <w:pPr>
              <w:spacing w:after="0"/>
              <w:rPr>
                <w:sz w:val="18"/>
                <w:szCs w:val="18"/>
                <w:color w:val="auto"/>
              </w:rPr>
            </w:pPr>
          </w:p>
        </w:tc>
      </w:tr>
      <w:tr>
        <w:trPr>
          <w:trHeight w:val="152"/>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200"/>
        </w:trPr>
        <w:tc>
          <w:tcPr>
            <w:tcW w:w="9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78"/>
        </w:trPr>
        <w:tc>
          <w:tcPr>
            <w:tcW w:w="20" w:type="dxa"/>
            <w:vAlign w:val="bottom"/>
          </w:tcPr>
          <w:p>
            <w:pPr>
              <w:spacing w:after="0"/>
              <w:rPr>
                <w:sz w:val="15"/>
                <w:szCs w:val="15"/>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0000FF"/>
              </w:rPr>
              <w:t>WILMINGTON</w:t>
            </w:r>
          </w:p>
        </w:tc>
        <w:tc>
          <w:tcPr>
            <w:tcW w:w="760" w:type="dxa"/>
            <w:vAlign w:val="bottom"/>
          </w:tcPr>
          <w:p>
            <w:pPr>
              <w:ind w:left="100"/>
              <w:spacing w:after="0"/>
              <w:rPr>
                <w:sz w:val="20"/>
                <w:szCs w:val="20"/>
                <w:color w:val="auto"/>
              </w:rPr>
            </w:pPr>
            <w:r>
              <w:rPr>
                <w:rFonts w:ascii="Arial" w:cs="Arial" w:eastAsia="Arial" w:hAnsi="Arial"/>
                <w:sz w:val="13"/>
                <w:szCs w:val="13"/>
                <w:color w:val="0000FF"/>
              </w:rPr>
              <w:t>MA</w:t>
            </w:r>
          </w:p>
        </w:tc>
        <w:tc>
          <w:tcPr>
            <w:tcW w:w="1440" w:type="dxa"/>
            <w:vAlign w:val="bottom"/>
          </w:tcPr>
          <w:p>
            <w:pPr>
              <w:ind w:left="400"/>
              <w:spacing w:after="0"/>
              <w:rPr>
                <w:sz w:val="20"/>
                <w:szCs w:val="20"/>
                <w:color w:val="auto"/>
              </w:rPr>
            </w:pPr>
            <w:r>
              <w:rPr>
                <w:rFonts w:ascii="Arial" w:cs="Arial" w:eastAsia="Arial" w:hAnsi="Arial"/>
                <w:sz w:val="13"/>
                <w:szCs w:val="13"/>
                <w:color w:val="0000FF"/>
              </w:rPr>
              <w:t>01887</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80" w:lineRule="exact"/>
        <w:rPr>
          <w:sz w:val="24"/>
          <w:szCs w:val="24"/>
          <w:color w:val="auto"/>
        </w:rPr>
      </w:pPr>
    </w:p>
    <w:p>
      <w:pPr>
        <w:ind w:left="825"/>
        <w:spacing w:after="0"/>
        <w:rPr>
          <w:sz w:val="20"/>
          <w:szCs w:val="20"/>
          <w:color w:val="auto"/>
        </w:rPr>
      </w:pPr>
      <w:r>
        <w:rPr>
          <w:rFonts w:ascii="Arial" w:cs="Arial" w:eastAsia="Arial" w:hAnsi="Arial"/>
          <w:sz w:val="13"/>
          <w:szCs w:val="13"/>
          <w:color w:val="0000FF"/>
        </w:rPr>
        <w:t>SVP, Chief Customer Officer</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3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7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7700" cy="445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44513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997700" cy="813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813435"/>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8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No securities are beneficially owned.</w:t>
      </w:r>
    </w:p>
    <w:p>
      <w:pPr>
        <w:sectPr>
          <w:pgSz w:w="11900" w:h="16838" w:orient="portrait"/>
          <w:cols w:equalWidth="0" w:num="1">
            <w:col w:w="11020"/>
          </w:cols>
          <w:pgMar w:left="440" w:top="203" w:right="439" w:bottom="1440" w:gutter="0" w:footer="0" w:header="0"/>
          <w:type w:val="continuous"/>
        </w:sectPr>
      </w:pPr>
    </w:p>
    <w:p>
      <w:pPr>
        <w:spacing w:after="0" w:line="62" w:lineRule="exact"/>
        <w:rPr>
          <w:sz w:val="24"/>
          <w:szCs w:val="24"/>
          <w:color w:val="auto"/>
        </w:rPr>
      </w:pPr>
    </w:p>
    <w:p>
      <w:pPr>
        <w:ind w:left="6620"/>
        <w:spacing w:after="0"/>
        <w:rPr>
          <w:sz w:val="20"/>
          <w:szCs w:val="20"/>
          <w:color w:val="auto"/>
        </w:rPr>
      </w:pPr>
      <w:r>
        <w:rPr>
          <w:rFonts w:ascii="Arial" w:cs="Arial" w:eastAsia="Arial" w:hAnsi="Arial"/>
          <w:sz w:val="11"/>
          <w:szCs w:val="11"/>
          <w:color w:val="0000FF"/>
        </w:rPr>
        <w:t>/s/ Eric French, Senior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5715</wp:posOffset>
            </wp:positionV>
            <wp:extent cx="109474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4740" cy="6350"/>
                    </a:xfrm>
                    <a:prstGeom prst="rect">
                      <a:avLst/>
                    </a:prstGeom>
                    <a:noFill/>
                  </pic:spPr>
                </pic:pic>
              </a:graphicData>
            </a:graphic>
          </wp:anchor>
        </w:drawing>
      </w:r>
    </w:p>
    <w:p>
      <w:pPr>
        <w:spacing w:after="0" w:line="17" w:lineRule="exact"/>
        <w:rPr>
          <w:sz w:val="24"/>
          <w:szCs w:val="24"/>
          <w:color w:val="auto"/>
        </w:rPr>
      </w:pPr>
    </w:p>
    <w:p>
      <w:pPr>
        <w:ind w:left="6620"/>
        <w:spacing w:after="0"/>
        <w:rPr>
          <w:sz w:val="20"/>
          <w:szCs w:val="20"/>
          <w:color w:val="auto"/>
        </w:rPr>
      </w:pPr>
      <w:r>
        <w:rPr>
          <w:rFonts w:ascii="Arial" w:cs="Arial" w:eastAsia="Arial" w:hAnsi="Arial"/>
          <w:sz w:val="12"/>
          <w:szCs w:val="12"/>
          <w:color w:val="0000FF"/>
        </w:rPr>
        <w:t>Counsel, by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-3175</wp:posOffset>
            </wp:positionV>
            <wp:extent cx="103060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30605" cy="6350"/>
                    </a:xfrm>
                    <a:prstGeom prst="rect">
                      <a:avLst/>
                    </a:prstGeom>
                    <a:noFill/>
                  </pic:spPr>
                </pic:pic>
              </a:graphicData>
            </a:graphic>
          </wp:anchor>
        </w:drawing>
      </w:r>
    </w:p>
    <w:p>
      <w:pPr>
        <w:spacing w:after="0" w:line="44"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54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1"/>
          <w:szCs w:val="11"/>
          <w:color w:val="0000FF"/>
        </w:rPr>
        <w:t>03/01/2021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39"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340" w:space="480"/>
            <w:col w:w="220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 SECTION 16 REPORTING OBLIGATIONS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makes, constitutes and appoints each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Yoon Ah Oh, Eric French, Jeanne Weinzierl, Margaret K. Seif, Rebecca Chang and Mark Devine signing singly and each acting individually, as the</w:t>
      </w:r>
    </w:p>
    <w:p>
      <w:pPr>
        <w:spacing w:after="0" w:line="154" w:lineRule="exact"/>
        <w:rPr>
          <w:sz w:val="20"/>
          <w:szCs w:val="20"/>
          <w:color w:val="auto"/>
        </w:rPr>
      </w:pPr>
    </w:p>
    <w:p>
      <w:pPr>
        <w:ind w:right="3900"/>
        <w:spacing w:after="0" w:line="243" w:lineRule="auto"/>
        <w:tabs>
          <w:tab w:leader="none" w:pos="312"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prepare, execute and file on behalf of the undersigned Form ID in order to obtain access codes for the undersigned to permit filing on EDGAR;</w:t>
      </w:r>
    </w:p>
    <w:p>
      <w:pPr>
        <w:spacing w:after="0" w:line="151" w:lineRule="exact"/>
        <w:rPr>
          <w:rFonts w:ascii="Courier New" w:cs="Courier New" w:eastAsia="Courier New" w:hAnsi="Courier New"/>
          <w:sz w:val="13"/>
          <w:szCs w:val="13"/>
          <w:color w:val="auto"/>
        </w:rPr>
      </w:pPr>
    </w:p>
    <w:p>
      <w:pPr>
        <w:ind w:left="320" w:hanging="320"/>
        <w:spacing w:after="0"/>
        <w:tabs>
          <w:tab w:leader="none" w:pos="32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prepare, execute and file on behalf of the undersigned all Forms 3, 4 and 5 (including any</w:t>
      </w:r>
    </w:p>
    <w:p>
      <w:pPr>
        <w:spacing w:after="0" w:line="4" w:lineRule="exact"/>
        <w:rPr>
          <w:sz w:val="20"/>
          <w:szCs w:val="20"/>
          <w:color w:val="auto"/>
        </w:rPr>
      </w:pPr>
    </w:p>
    <w:p>
      <w:pPr>
        <w:ind w:right="80"/>
        <w:spacing w:after="0" w:line="243" w:lineRule="auto"/>
        <w:rPr>
          <w:sz w:val="20"/>
          <w:szCs w:val="20"/>
          <w:color w:val="auto"/>
        </w:rPr>
      </w:pPr>
      <w:r>
        <w:rPr>
          <w:rFonts w:ascii="Courier New" w:cs="Courier New" w:eastAsia="Courier New" w:hAnsi="Courier New"/>
          <w:sz w:val="13"/>
          <w:szCs w:val="13"/>
          <w:color w:val="auto"/>
        </w:rPr>
        <w:t>amendments thereto) that the undersigned may be required to file with the United States Securities and Exchange Commission as a result of the of 1934 and the rules thereunder (the "Exchange Act");</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3) seek or obtain, as the undersigned's representative and on the undersigned's behalf,</w:t>
      </w:r>
    </w:p>
    <w:p>
      <w:pPr>
        <w:spacing w:after="0" w:line="4" w:lineRule="exact"/>
        <w:rPr>
          <w:sz w:val="20"/>
          <w:szCs w:val="20"/>
          <w:color w:val="auto"/>
        </w:rPr>
      </w:pPr>
    </w:p>
    <w:p>
      <w:pPr>
        <w:jc w:val="both"/>
        <w:spacing w:after="0" w:line="243" w:lineRule="auto"/>
        <w:rPr>
          <w:sz w:val="20"/>
          <w:szCs w:val="20"/>
          <w:color w:val="auto"/>
        </w:rPr>
      </w:pPr>
      <w:r>
        <w:rPr>
          <w:rFonts w:ascii="Courier New" w:cs="Courier New" w:eastAsia="Courier New" w:hAnsi="Courier New"/>
          <w:sz w:val="13"/>
          <w:szCs w:val="13"/>
          <w:color w:val="auto"/>
        </w:rPr>
        <w:t>information regarding transactions in the Company's securities from any third party, including brokers, employee benefit plan administrators a information; and</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4) take any other action of any type whatsoever in connection with the foregoing which, in</w:t>
      </w:r>
    </w:p>
    <w:p>
      <w:pPr>
        <w:spacing w:after="0" w:line="4" w:lineRule="exact"/>
        <w:rPr>
          <w:sz w:val="20"/>
          <w:szCs w:val="20"/>
          <w:color w:val="auto"/>
        </w:rPr>
      </w:pPr>
    </w:p>
    <w:p>
      <w:pPr>
        <w:jc w:val="both"/>
        <w:spacing w:after="0" w:line="243" w:lineRule="auto"/>
        <w:rPr>
          <w:sz w:val="20"/>
          <w:szCs w:val="20"/>
          <w:color w:val="auto"/>
        </w:rPr>
      </w:pPr>
      <w:r>
        <w:rPr>
          <w:rFonts w:ascii="Courier New" w:cs="Courier New" w:eastAsia="Courier New" w:hAnsi="Courier New"/>
          <w:sz w:val="13"/>
          <w:szCs w:val="13"/>
          <w:color w:val="auto"/>
        </w:rPr>
        <w:t>the opinion of such attorney-in-fact, may be of benefit to, in the best interest of, or legally required by, the undersigned, it being underst undersigned pursuant to this Power of Attorney shall be in such form and shall contain such terms and conditions as such attorney-in-fact may</w:t>
      </w:r>
    </w:p>
    <w:p>
      <w:pPr>
        <w:spacing w:after="0" w:line="152" w:lineRule="exact"/>
        <w:rPr>
          <w:sz w:val="20"/>
          <w:szCs w:val="20"/>
          <w:color w:val="auto"/>
        </w:rPr>
      </w:pPr>
    </w:p>
    <w:p>
      <w:pPr>
        <w:jc w:val="both"/>
        <w:spacing w:after="0" w:line="243" w:lineRule="auto"/>
        <w:rPr>
          <w:sz w:val="20"/>
          <w:szCs w:val="20"/>
          <w:color w:val="auto"/>
        </w:rPr>
      </w:pPr>
      <w:r>
        <w:rPr>
          <w:rFonts w:ascii="Courier New" w:cs="Courier New" w:eastAsia="Courier New" w:hAnsi="Courier New"/>
          <w:sz w:val="13"/>
          <w:szCs w:val="13"/>
          <w:color w:val="auto"/>
        </w:rPr>
        <w:t>The undersigned hereby grants to each such attorney-in-fact full power and authority to do and perform any and every act and thing whatsoever undersigned acknowledges that the foregoing attorneys-in-fact, in serving in such capacity at the request of the undersigned, are not assuming undersigned's responsibilities to comply with Section 16 of the Exchange Act. The undersigned</w:t>
      </w:r>
    </w:p>
    <w:p>
      <w:pPr>
        <w:spacing w:after="0" w:line="3" w:lineRule="exact"/>
        <w:rPr>
          <w:sz w:val="20"/>
          <w:szCs w:val="20"/>
          <w:color w:val="auto"/>
        </w:rPr>
      </w:pPr>
    </w:p>
    <w:p>
      <w:pPr>
        <w:jc w:val="both"/>
        <w:spacing w:after="0" w:line="243" w:lineRule="auto"/>
        <w:rPr>
          <w:sz w:val="20"/>
          <w:szCs w:val="20"/>
          <w:color w:val="auto"/>
        </w:rPr>
      </w:pPr>
      <w:r>
        <w:rPr>
          <w:rFonts w:ascii="Courier New" w:cs="Courier New" w:eastAsia="Courier New" w:hAnsi="Courier New"/>
          <w:sz w:val="13"/>
          <w:szCs w:val="13"/>
          <w:color w:val="auto"/>
        </w:rPr>
        <w:t>acknowledges that neither the Company nor the foregoing attorneys-in-fact assume (i) any liability for the undersigned's responsibility to com undersigned for profit disgorgement under Section 16(b) of the Exchange Act.</w:t>
      </w:r>
    </w:p>
    <w:p>
      <w:pPr>
        <w:spacing w:after="0" w:line="152" w:lineRule="exact"/>
        <w:rPr>
          <w:sz w:val="20"/>
          <w:szCs w:val="20"/>
          <w:color w:val="auto"/>
        </w:rPr>
      </w:pPr>
    </w:p>
    <w:p>
      <w:pPr>
        <w:jc w:val="both"/>
        <w:spacing w:after="0" w:line="243" w:lineRule="auto"/>
        <w:rPr>
          <w:sz w:val="20"/>
          <w:szCs w:val="20"/>
          <w:color w:val="auto"/>
        </w:rPr>
      </w:pPr>
      <w:r>
        <w:rPr>
          <w:rFonts w:ascii="Courier New" w:cs="Courier New" w:eastAsia="Courier New" w:hAnsi="Courier New"/>
          <w:sz w:val="13"/>
          <w:szCs w:val="13"/>
          <w:color w:val="auto"/>
        </w:rPr>
        <w:t>This Power of Attorney shall remain in full force and effect until the undersigned is no longer required to file Forms 3, 4 and 5 with respect to the foregoing attorneys-in-fact.</w:t>
      </w:r>
    </w:p>
    <w:p>
      <w:pPr>
        <w:spacing w:after="0" w:line="152" w:lineRule="exact"/>
        <w:rPr>
          <w:sz w:val="20"/>
          <w:szCs w:val="20"/>
          <w:color w:val="auto"/>
        </w:rPr>
      </w:pPr>
    </w:p>
    <w:p>
      <w:pPr>
        <w:ind w:right="4280"/>
        <w:spacing w:after="0" w:line="243" w:lineRule="auto"/>
        <w:rPr>
          <w:sz w:val="20"/>
          <w:szCs w:val="20"/>
          <w:color w:val="auto"/>
        </w:rPr>
      </w:pPr>
      <w:r>
        <w:rPr>
          <w:rFonts w:ascii="Courier New" w:cs="Courier New" w:eastAsia="Courier New" w:hAnsi="Courier New"/>
          <w:sz w:val="13"/>
          <w:szCs w:val="13"/>
          <w:color w:val="auto"/>
        </w:rPr>
        <w:t>IN WITNESS WHEREOF, the undersigned has caused this Power of Attorney to be executed as of this 22 day of February, 2021</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Anelise Angelino Sacks</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48096"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2021-03-01T16:39:29Z</dcterms:created>
  <dcterms:modified xsi:type="dcterms:W3CDTF">2021-03-01T16:39:29Z</dcterms:modified>
</cp:coreProperties>
</file>