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4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November 2,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1-7819 </w:t>
      </w:r>
    </w:p>
    <w:p>
      <w:pPr>
        <w:pStyle w:val="TextBody"/>
        <w:bidi w:val="0"/>
        <w:spacing w:before="60" w:after="283"/>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Analog Devices, Inc.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412" w:type="dxa"/>
        <w:jc w:val="center"/>
        <w:tblInd w:w="0" w:type="dxa"/>
        <w:tblLayout w:type="fixed"/>
        <w:tblCellMar>
          <w:top w:w="28" w:type="dxa"/>
          <w:left w:w="28" w:type="dxa"/>
          <w:bottom w:w="28" w:type="dxa"/>
          <w:right w:w="28" w:type="dxa"/>
        </w:tblCellMar>
      </w:tblPr>
      <w:tblGrid>
        <w:gridCol w:w="587"/>
        <w:gridCol w:w="516"/>
        <w:gridCol w:w="516"/>
        <w:gridCol w:w="471"/>
        <w:gridCol w:w="471"/>
        <w:gridCol w:w="471"/>
        <w:gridCol w:w="471"/>
        <w:gridCol w:w="471"/>
        <w:gridCol w:w="487"/>
        <w:gridCol w:w="109"/>
        <w:gridCol w:w="109"/>
        <w:gridCol w:w="109"/>
        <w:gridCol w:w="766"/>
        <w:gridCol w:w="766"/>
        <w:gridCol w:w="1092"/>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04-2348234</w:t>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One Analog Way,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Wilmington,</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01887</w:t>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(781) 935-5565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283" w:type="dxa"/>
        <w:jc w:val="left"/>
        <w:tblInd w:w="0" w:type="dxa"/>
        <w:tblLayout w:type="fixed"/>
        <w:tblCellMar>
          <w:top w:w="28" w:type="dxa"/>
          <w:left w:w="28" w:type="dxa"/>
          <w:bottom w:w="28" w:type="dxa"/>
          <w:right w:w="28" w:type="dxa"/>
        </w:tblCellMar>
      </w:tblPr>
      <w:tblGrid>
        <w:gridCol w:w="1360"/>
        <w:gridCol w:w="1195"/>
        <w:gridCol w:w="1209"/>
        <w:gridCol w:w="564"/>
        <w:gridCol w:w="564"/>
        <w:gridCol w:w="566"/>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$0.16 2/3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ADI</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60" w:after="283"/>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36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The aggregate market value of the voting and non-voting common equity held by non-affiliates of the registrant was approximately $76,694,000,000 based on the last reported sale of the Common Stock on The Nasdaq Global Select Market on May 4, 2024.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pStyle w:val="TextBody"/>
        <w:bidi w:val="0"/>
        <w:spacing w:lineRule="auto" w:line="288" w:before="100" w:after="283"/>
        <w:ind w:left="0" w:right="0" w:firstLine="360"/>
        <w:jc w:val="left"/>
        <w:rPr/>
      </w:pPr>
      <w:r>
        <w:rPr>
          <w:rFonts w:ascii="Times New Roman;sans-serif" w:hAnsi="Times New Roman;sans-serif"/>
          <w:b w:val="false"/>
          <w:color w:val="000000"/>
          <w:sz w:val="18"/>
        </w:rPr>
        <w:t>As of November 2, 2024, there were 496,296,854 shares of Common Stock, $0.16</w:t>
      </w:r>
      <w:r>
        <w:rPr>
          <w:color w:val="000000"/>
        </w:rPr>
        <w:t xml:space="preserve"> </w:t>
      </w:r>
      <w:r>
        <w:rPr>
          <w:rFonts w:ascii="Times New Roman;sans-serif" w:hAnsi="Times New Roman;sans-serif"/>
          <w:b w:val="false"/>
          <w:color w:val="000000"/>
          <w:sz w:val="18"/>
        </w:rPr>
        <w:t>2/3 par value per share, outstanding.</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tbl>
      <w:tblPr>
        <w:tblW w:w="9761" w:type="dxa"/>
        <w:jc w:val="center"/>
        <w:tblInd w:w="0" w:type="dxa"/>
        <w:tblLayout w:type="fixed"/>
        <w:tblCellMar>
          <w:top w:w="28" w:type="dxa"/>
          <w:left w:w="28" w:type="dxa"/>
          <w:bottom w:w="28" w:type="dxa"/>
          <w:right w:w="28" w:type="dxa"/>
        </w:tblCellMar>
      </w:tblPr>
      <w:tblGrid>
        <w:gridCol w:w="2922"/>
        <w:gridCol w:w="2574"/>
        <w:gridCol w:w="2589"/>
        <w:gridCol w:w="109"/>
        <w:gridCol w:w="109"/>
        <w:gridCol w:w="109"/>
        <w:gridCol w:w="393"/>
        <w:gridCol w:w="393"/>
        <w:gridCol w:w="563"/>
      </w:tblGrid>
      <w:tr>
        <w:trPr/>
        <w:tc>
          <w:tcPr>
            <w:tcW w:w="2922"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 10-K Part</w:t>
            </w:r>
          </w:p>
        </w:tc>
      </w:tr>
      <w:tr>
        <w:trPr/>
        <w:tc>
          <w:tcPr>
            <w:tcW w:w="8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for the Annual Meeting of Shareholders to be held March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r>
      <w:tr>
        <w:trPr/>
        <w:tc>
          <w:tcPr>
            <w:tcW w:w="808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22" w:type="dxa"/>
        <w:jc w:val="center"/>
        <w:tblInd w:w="0" w:type="dxa"/>
        <w:tblLayout w:type="fixed"/>
        <w:tblCellMar>
          <w:top w:w="28" w:type="dxa"/>
          <w:left w:w="28" w:type="dxa"/>
          <w:bottom w:w="28" w:type="dxa"/>
          <w:right w:w="28" w:type="dxa"/>
        </w:tblCellMar>
      </w:tblPr>
      <w:tblGrid>
        <w:gridCol w:w="3532"/>
        <w:gridCol w:w="3102"/>
        <w:gridCol w:w="3116"/>
        <w:gridCol w:w="109"/>
        <w:gridCol w:w="109"/>
        <w:gridCol w:w="154"/>
      </w:tblGrid>
      <w:tr>
        <w:trPr/>
        <w:tc>
          <w:tcPr>
            <w:tcW w:w="3532"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0">
              <w:r>
                <w:rPr>
                  <w:rStyle w:val="InternetLink"/>
                  <w:rFonts w:ascii="Times New Roman;sans-serif" w:hAnsi="Times New Roman;sans-serif"/>
                  <w:b w:val="false"/>
                  <w:strike w:val="false"/>
                  <w:dstrike w:val="false"/>
                  <w:color w:val="000000"/>
                  <w:sz w:val="20"/>
                  <w:u w:val="none"/>
                  <w:effect w:val="none"/>
                </w:rPr>
                <w:t>Note about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0">
              <w:r>
                <w:rPr>
                  <w:rStyle w:val="InternetLink"/>
                  <w:rFonts w:ascii="Times New Roman;sans-serif" w:hAnsi="Times New Roman;sans-serif"/>
                  <w:b w:val="false"/>
                  <w:strike w:val="false"/>
                  <w:dstrike w:val="false"/>
                  <w:color w:val="000000"/>
                  <w:sz w:val="20"/>
                  <w:u w:val="none"/>
                  <w:effect w:val="none"/>
                </w:rPr>
                <w:t>1</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3">
              <w:r>
                <w:rPr>
                  <w:rStyle w:val="InternetLink"/>
                  <w:rFonts w:ascii="Times New Roman;sans-serif" w:hAnsi="Times New Roman;sans-serif"/>
                  <w:b w:val="false"/>
                  <w:strike w:val="false"/>
                  <w:dstrike w:val="false"/>
                  <w:color w:val="000000"/>
                  <w:sz w:val="20"/>
                  <w:u w:val="none"/>
                  <w:effect w:val="none"/>
                </w:rPr>
                <w:t>PART 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3">
              <w:r>
                <w:rPr>
                  <w:rStyle w:val="InternetLink"/>
                  <w:rFonts w:ascii="Times New Roman;sans-serif" w:hAnsi="Times New Roman;sans-serif"/>
                  <w:b w:val="false"/>
                  <w:strike w:val="false"/>
                  <w:dstrike w:val="false"/>
                  <w:color w:val="000000"/>
                  <w:sz w:val="20"/>
                  <w:u w:val="none"/>
                  <w:effect w:val="none"/>
                </w:rPr>
                <w:t>2</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6">
              <w:r>
                <w:rPr>
                  <w:rStyle w:val="InternetLink"/>
                  <w:rFonts w:ascii="Times New Roman;sans-serif" w:hAnsi="Times New Roman;sans-serif"/>
                  <w:b w:val="false"/>
                  <w:strike w:val="false"/>
                  <w:dstrike w:val="false"/>
                  <w:color w:val="000000"/>
                  <w:sz w:val="20"/>
                  <w:u w:val="none"/>
                  <w:effect w:val="none"/>
                </w:rPr>
                <w:t>Item 1. 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6">
              <w:r>
                <w:rPr>
                  <w:rStyle w:val="InternetLink"/>
                  <w:rFonts w:ascii="Times New Roman;sans-serif" w:hAnsi="Times New Roman;sans-serif"/>
                  <w:b w:val="false"/>
                  <w:strike w:val="false"/>
                  <w:dstrike w:val="false"/>
                  <w:color w:val="000000"/>
                  <w:sz w:val="20"/>
                  <w:u w:val="none"/>
                  <w:effect w:val="none"/>
                </w:rPr>
                <w:t>2</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9">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9">
              <w:r>
                <w:rPr>
                  <w:rStyle w:val="InternetLink"/>
                  <w:rFonts w:ascii="Times New Roman;sans-serif" w:hAnsi="Times New Roman;sans-serif"/>
                  <w:b w:val="false"/>
                  <w:strike w:val="false"/>
                  <w:dstrike w:val="false"/>
                  <w:color w:val="000000"/>
                  <w:sz w:val="20"/>
                  <w:u w:val="none"/>
                  <w:effect w:val="none"/>
                </w:rPr>
                <w:t>10</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22">
              <w:r>
                <w:rPr>
                  <w:rStyle w:val="InternetLink"/>
                  <w:rFonts w:ascii="Times New Roman;sans-serif" w:hAnsi="Times New Roman;sans-serif"/>
                  <w:b w:val="false"/>
                  <w:strike w:val="false"/>
                  <w:dstrike w:val="false"/>
                  <w:color w:val="000000"/>
                  <w:sz w:val="20"/>
                  <w:u w:val="none"/>
                  <w:effect w:val="none"/>
                </w:rPr>
                <w:t>Item 1B. Unresolved Staff Comments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22">
              <w:r>
                <w:rPr>
                  <w:rStyle w:val="InternetLink"/>
                  <w:rFonts w:ascii="Times New Roman;sans-serif" w:hAnsi="Times New Roman;sans-serif"/>
                  <w:b w:val="false"/>
                  <w:strike w:val="false"/>
                  <w:dstrike w:val="false"/>
                  <w:color w:val="000000"/>
                  <w:sz w:val="20"/>
                  <w:u w:val="none"/>
                  <w:effect w:val="none"/>
                </w:rPr>
                <w:t>23</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25">
              <w:r>
                <w:rPr>
                  <w:rStyle w:val="InternetLink"/>
                  <w:rFonts w:ascii="Times New Roman;sans-serif" w:hAnsi="Times New Roman;sans-serif"/>
                  <w:b w:val="false"/>
                  <w:strike w:val="false"/>
                  <w:dstrike w:val="false"/>
                  <w:color w:val="000000"/>
                  <w:sz w:val="20"/>
                  <w:u w:val="none"/>
                  <w:effect w:val="none"/>
                </w:rPr>
                <w:t>Item 1C. Cybersecurity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25">
              <w:r>
                <w:rPr>
                  <w:rStyle w:val="InternetLink"/>
                  <w:rFonts w:ascii="Times New Roman;sans-serif" w:hAnsi="Times New Roman;sans-serif"/>
                  <w:b w:val="false"/>
                  <w:strike w:val="false"/>
                  <w:dstrike w:val="false"/>
                  <w:color w:val="000000"/>
                  <w:sz w:val="20"/>
                  <w:u w:val="none"/>
                  <w:effect w:val="none"/>
                </w:rPr>
                <w:t>23</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28">
              <w:r>
                <w:rPr>
                  <w:rStyle w:val="InternetLink"/>
                  <w:rFonts w:ascii="Times New Roman;sans-serif" w:hAnsi="Times New Roman;sans-serif"/>
                  <w:b w:val="false"/>
                  <w:strike w:val="false"/>
                  <w:dstrike w:val="false"/>
                  <w:color w:val="000000"/>
                  <w:sz w:val="20"/>
                  <w:u w:val="none"/>
                  <w:effect w:val="none"/>
                </w:rPr>
                <w:t>Item 2. Properties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28">
              <w:r>
                <w:rPr>
                  <w:rStyle w:val="InternetLink"/>
                  <w:rFonts w:ascii="Times New Roman;sans-serif" w:hAnsi="Times New Roman;sans-serif"/>
                  <w:b w:val="false"/>
                  <w:strike w:val="false"/>
                  <w:dstrike w:val="false"/>
                  <w:color w:val="000000"/>
                  <w:sz w:val="20"/>
                  <w:u w:val="none"/>
                  <w:effect w:val="none"/>
                </w:rPr>
                <w:t>25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31">
              <w:r>
                <w:rPr>
                  <w:rStyle w:val="InternetLink"/>
                  <w:rFonts w:ascii="Times New Roman;sans-serif" w:hAnsi="Times New Roman;sans-serif"/>
                  <w:b w:val="false"/>
                  <w:strike w:val="false"/>
                  <w:dstrike w:val="false"/>
                  <w:color w:val="000000"/>
                  <w:sz w:val="20"/>
                  <w:u w:val="none"/>
                  <w:effect w:val="none"/>
                </w:rPr>
                <w:t>Item 3.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31">
              <w:r>
                <w:rPr>
                  <w:rStyle w:val="InternetLink"/>
                  <w:rFonts w:ascii="Times New Roman;sans-serif" w:hAnsi="Times New Roman;sans-serif"/>
                  <w:b w:val="false"/>
                  <w:strike w:val="false"/>
                  <w:dstrike w:val="false"/>
                  <w:color w:val="000000"/>
                  <w:sz w:val="20"/>
                  <w:u w:val="none"/>
                  <w:effect w:val="none"/>
                </w:rPr>
                <w:t>26</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34">
              <w:r>
                <w:rPr>
                  <w:rStyle w:val="InternetLink"/>
                  <w:rFonts w:ascii="Times New Roman;sans-serif" w:hAnsi="Times New Roman;sans-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34">
              <w:r>
                <w:rPr>
                  <w:rStyle w:val="InternetLink"/>
                  <w:rFonts w:ascii="Times New Roman;sans-serif" w:hAnsi="Times New Roman;sans-serif"/>
                  <w:b w:val="false"/>
                  <w:strike w:val="false"/>
                  <w:dstrike w:val="false"/>
                  <w:color w:val="000000"/>
                  <w:sz w:val="20"/>
                  <w:u w:val="none"/>
                  <w:effect w:val="none"/>
                </w:rPr>
                <w:t>26</w:t>
              </w:r>
            </w:hyperlink>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40">
              <w:r>
                <w:rPr>
                  <w:rStyle w:val="InternetLink"/>
                  <w:rFonts w:ascii="Times New Roman;sans-serif" w:hAnsi="Times New Roman;sans-serif"/>
                  <w:b w:val="false"/>
                  <w:strike w:val="false"/>
                  <w:dstrike w:val="false"/>
                  <w:color w:val="000000"/>
                  <w:sz w:val="20"/>
                  <w:u w:val="none"/>
                  <w:effect w:val="none"/>
                </w:rPr>
                <w:t>PART II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40">
              <w:r>
                <w:rPr>
                  <w:rStyle w:val="InternetLink"/>
                  <w:rFonts w:ascii="Times New Roman;sans-serif" w:hAnsi="Times New Roman;sans-serif"/>
                  <w:b w:val="false"/>
                  <w:strike w:val="false"/>
                  <w:dstrike w:val="false"/>
                  <w:color w:val="000000"/>
                  <w:sz w:val="20"/>
                  <w:u w:val="none"/>
                  <w:effect w:val="none"/>
                </w:rPr>
                <w:t>27</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43">
              <w:r>
                <w:rPr>
                  <w:rStyle w:val="InternetLink"/>
                  <w:rFonts w:ascii="Times New Roman;sans-serif" w:hAnsi="Times New Roman;sans-serif"/>
                  <w:b w:val="false"/>
                  <w:strike w:val="false"/>
                  <w:dstrike w:val="false"/>
                  <w:color w:val="000000"/>
                  <w:sz w:val="20"/>
                  <w:u w:val="none"/>
                  <w:effect w:val="none"/>
                </w:rPr>
                <w:t>Item 5. Market for Registrant</w:t>
              </w:r>
            </w:hyperlink>
            <w:r>
              <w:rPr>
                <w:rFonts w:ascii="Times New Roman;sans-serif" w:hAnsi="Times New Roman;sans-serif"/>
                <w:b w:val="false"/>
                <w:color w:val="000000"/>
                <w:sz w:val="20"/>
              </w:rPr>
              <w:t>’</w:t>
            </w:r>
            <w:hyperlink w:anchor="i9cc5acd33c2747b097f29460e74199b6_43">
              <w:r>
                <w:rPr>
                  <w:rStyle w:val="InternetLink"/>
                  <w:rFonts w:ascii="Times New Roman;sans-serif" w:hAnsi="Times New Roman;sans-serif"/>
                  <w:b w:val="false"/>
                  <w:strike w:val="false"/>
                  <w:dstrike w:val="false"/>
                  <w:color w:val="000000"/>
                  <w:sz w:val="20"/>
                  <w:u w:val="none"/>
                  <w:effect w:val="none"/>
                </w:rPr>
                <w:t>s Common Equity, Related Stockholder Matters and Issuer Purchases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43">
              <w:r>
                <w:rPr>
                  <w:rStyle w:val="InternetLink"/>
                  <w:rFonts w:ascii="Times New Roman;sans-serif" w:hAnsi="Times New Roman;sans-serif"/>
                  <w:b w:val="false"/>
                  <w:strike w:val="false"/>
                  <w:dstrike w:val="false"/>
                  <w:color w:val="000000"/>
                  <w:sz w:val="20"/>
                  <w:u w:val="none"/>
                  <w:effect w:val="none"/>
                </w:rPr>
                <w:t>27</w:t>
              </w:r>
            </w:hyperlink>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46">
              <w:r>
                <w:rPr>
                  <w:rStyle w:val="InternetLink"/>
                  <w:rFonts w:ascii="Times New Roman;sans-serif" w:hAnsi="Times New Roman;sans-serif"/>
                  <w:b w:val="false"/>
                  <w:strike w:val="false"/>
                  <w:dstrike w:val="false"/>
                  <w:color w:val="000000"/>
                  <w:sz w:val="20"/>
                  <w:u w:val="none"/>
                  <w:effect w:val="none"/>
                </w:rPr>
                <w:t xml:space="preserve">Item 6. </w:t>
              </w:r>
            </w:hyperlink>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46">
              <w:r>
                <w:rPr>
                  <w:rStyle w:val="InternetLink"/>
                  <w:rFonts w:ascii="Times New Roman;sans-serif" w:hAnsi="Times New Roman;sans-serif"/>
                  <w:b w:val="false"/>
                  <w:strike w:val="false"/>
                  <w:dstrike w:val="false"/>
                  <w:color w:val="000000"/>
                  <w:sz w:val="20"/>
                  <w:u w:val="none"/>
                  <w:effect w:val="none"/>
                </w:rPr>
                <w:t>28</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52">
              <w:r>
                <w:rPr>
                  <w:rStyle w:val="InternetLink"/>
                  <w:rFonts w:ascii="Times New Roman;sans-serif" w:hAnsi="Times New Roman;sans-serif"/>
                  <w:b w:val="false"/>
                  <w:strike w:val="false"/>
                  <w:dstrike w:val="false"/>
                  <w:color w:val="000000"/>
                  <w:sz w:val="20"/>
                  <w:u w:val="none"/>
                  <w:effect w:val="none"/>
                </w:rPr>
                <w:t>Item 7. Management</w:t>
              </w:r>
            </w:hyperlink>
            <w:r>
              <w:rPr>
                <w:rFonts w:ascii="Times New Roman;sans-serif" w:hAnsi="Times New Roman;sans-serif"/>
                <w:b w:val="false"/>
                <w:color w:val="000000"/>
                <w:sz w:val="20"/>
              </w:rPr>
              <w:t>’</w:t>
            </w:r>
            <w:hyperlink w:anchor="i9cc5acd33c2747b097f29460e74199b6_52">
              <w:r>
                <w:rPr>
                  <w:rStyle w:val="InternetLink"/>
                  <w:rFonts w:ascii="Times New Roman;sans-serif" w:hAnsi="Times New Roman;sans-serif"/>
                  <w:b w:val="false"/>
                  <w:strike w:val="false"/>
                  <w:dstrike w:val="false"/>
                  <w:color w:val="000000"/>
                  <w:sz w:val="20"/>
                  <w:u w:val="none"/>
                  <w:effect w:val="none"/>
                </w:rPr>
                <w: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52">
              <w:r>
                <w:rPr>
                  <w:rStyle w:val="InternetLink"/>
                  <w:rFonts w:ascii="Times New Roman;sans-serif" w:hAnsi="Times New Roman;sans-serif"/>
                  <w:b w:val="false"/>
                  <w:strike w:val="false"/>
                  <w:dstrike w:val="false"/>
                  <w:color w:val="000000"/>
                  <w:sz w:val="20"/>
                  <w:u w:val="none"/>
                  <w:effect w:val="none"/>
                </w:rPr>
                <w:t>29</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58">
              <w:r>
                <w:rPr>
                  <w:rStyle w:val="InternetLink"/>
                  <w:rFonts w:ascii="Times New Roman;sans-serif" w:hAnsi="Times New Roman;sans-serif"/>
                  <w:b w:val="false"/>
                  <w:strike w:val="false"/>
                  <w:dstrike w:val="false"/>
                  <w:color w:val="000000"/>
                  <w:sz w:val="20"/>
                  <w:u w:val="none"/>
                  <w:effect w:val="none"/>
                </w:rPr>
                <w:t>Item 7A.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58">
              <w:r>
                <w:rPr>
                  <w:rStyle w:val="InternetLink"/>
                  <w:rFonts w:ascii="Times New Roman;sans-serif" w:hAnsi="Times New Roman;sans-serif"/>
                  <w:b w:val="false"/>
                  <w:strike w:val="false"/>
                  <w:dstrike w:val="false"/>
                  <w:color w:val="000000"/>
                  <w:sz w:val="20"/>
                  <w:u w:val="none"/>
                  <w:effect w:val="none"/>
                </w:rPr>
                <w:t>39</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61">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61">
              <w:r>
                <w:rPr>
                  <w:rStyle w:val="InternetLink"/>
                  <w:rFonts w:ascii="Times New Roman;sans-serif" w:hAnsi="Times New Roman;sans-serif"/>
                  <w:b w:val="false"/>
                  <w:strike w:val="false"/>
                  <w:dstrike w:val="false"/>
                  <w:color w:val="000000"/>
                  <w:sz w:val="20"/>
                  <w:u w:val="none"/>
                  <w:effect w:val="none"/>
                </w:rPr>
                <w:t>41</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64">
              <w:r>
                <w:rPr>
                  <w:rStyle w:val="InternetLink"/>
                  <w:rFonts w:ascii="Times New Roman;sans-serif" w:hAnsi="Times New Roman;sans-serif"/>
                  <w:b w:val="false"/>
                  <w:strike w:val="false"/>
                  <w:dstrike w:val="false"/>
                  <w:color w:val="000000"/>
                  <w:sz w:val="20"/>
                  <w:u w:val="none"/>
                  <w:effect w:val="none"/>
                </w:rPr>
                <w:t>Item 8. Financial Statements and Supplementary Data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64">
              <w:r>
                <w:rPr>
                  <w:rStyle w:val="InternetLink"/>
                  <w:rFonts w:ascii="Times New Roman;sans-serif" w:hAnsi="Times New Roman;sans-serif"/>
                  <w:b w:val="false"/>
                  <w:strike w:val="false"/>
                  <w:dstrike w:val="false"/>
                  <w:color w:val="000000"/>
                  <w:sz w:val="20"/>
                  <w:u w:val="none"/>
                  <w:effect w:val="none"/>
                </w:rPr>
                <w:t>43</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67">
              <w:r>
                <w:rPr>
                  <w:rStyle w:val="InternetLink"/>
                  <w:rFonts w:ascii="Times New Roman;sans-serif" w:hAnsi="Times New Roman;sans-serif"/>
                  <w:b w:val="false"/>
                  <w:strike w:val="false"/>
                  <w:dstrike w:val="false"/>
                  <w:color w:val="000000"/>
                  <w:sz w:val="20"/>
                  <w:u w:val="none"/>
                  <w:effect w:val="non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67">
              <w:r>
                <w:rPr>
                  <w:rStyle w:val="InternetLink"/>
                  <w:rFonts w:ascii="Times New Roman;sans-serif" w:hAnsi="Times New Roman;sans-serif"/>
                  <w:b w:val="false"/>
                  <w:strike w:val="false"/>
                  <w:dstrike w:val="false"/>
                  <w:color w:val="000000"/>
                  <w:sz w:val="20"/>
                  <w:u w:val="none"/>
                  <w:effect w:val="none"/>
                </w:rPr>
                <w:t>43</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70">
              <w:r>
                <w:rPr>
                  <w:rStyle w:val="InternetLink"/>
                  <w:rFonts w:ascii="Times New Roman;sans-serif" w:hAnsi="Times New Roman;sans-serif"/>
                  <w:b w:val="false"/>
                  <w:strike w:val="false"/>
                  <w:dstrike w:val="false"/>
                  <w:color w:val="000000"/>
                  <w:sz w:val="20"/>
                  <w:u w:val="none"/>
                  <w:effect w:val="non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70">
              <w:r>
                <w:rPr>
                  <w:rStyle w:val="InternetLink"/>
                  <w:rFonts w:ascii="Times New Roman;sans-serif" w:hAnsi="Times New Roman;sans-serif"/>
                  <w:b w:val="false"/>
                  <w:strike w:val="false"/>
                  <w:dstrike w:val="false"/>
                  <w:color w:val="000000"/>
                  <w:sz w:val="20"/>
                  <w:u w:val="none"/>
                  <w:effect w:val="none"/>
                </w:rPr>
                <w:t>44</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73">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73">
              <w:r>
                <w:rPr>
                  <w:rStyle w:val="InternetLink"/>
                  <w:rFonts w:ascii="Times New Roman;sans-serif" w:hAnsi="Times New Roman;sans-serif"/>
                  <w:b w:val="false"/>
                  <w:strike w:val="false"/>
                  <w:dstrike w:val="false"/>
                  <w:color w:val="000000"/>
                  <w:sz w:val="20"/>
                  <w:u w:val="none"/>
                  <w:effect w:val="none"/>
                </w:rPr>
                <w:t>45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76">
              <w:r>
                <w:rPr>
                  <w:rStyle w:val="InternetLink"/>
                  <w:rFonts w:ascii="Times New Roman;sans-serif" w:hAnsi="Times New Roman;sans-serif"/>
                  <w:b w:val="false"/>
                  <w:strike w:val="false"/>
                  <w:dstrike w:val="false"/>
                  <w:color w:val="000000"/>
                  <w:sz w:val="20"/>
                  <w:u w:val="none"/>
                  <w:effect w:val="none"/>
                </w:rPr>
                <w:t>Consolidated Statements of Shareholders</w:t>
              </w:r>
            </w:hyperlink>
            <w:r>
              <w:rPr>
                <w:rFonts w:ascii="Times New Roman;sans-serif" w:hAnsi="Times New Roman;sans-serif"/>
                <w:b w:val="false"/>
                <w:color w:val="000000"/>
                <w:sz w:val="20"/>
              </w:rPr>
              <w:t>’</w:t>
            </w:r>
            <w:hyperlink w:anchor="i9cc5acd33c2747b097f29460e74199b6_76">
              <w:r>
                <w:rPr>
                  <w:rStyle w:val="InternetLink"/>
                  <w:rFonts w:ascii="Times New Roman;sans-serif" w:hAnsi="Times New Roman;sans-serif"/>
                  <w:b w:val="false"/>
                  <w:strike w:val="false"/>
                  <w:dstrike w:val="false"/>
                  <w:color w:val="000000"/>
                  <w:sz w:val="20"/>
                  <w:u w:val="none"/>
                  <w:effect w:val="none"/>
                </w:rPr>
                <w:t xml:space="preserve">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76">
              <w:r>
                <w:rPr>
                  <w:rStyle w:val="InternetLink"/>
                  <w:rFonts w:ascii="Times New Roman;sans-serif" w:hAnsi="Times New Roman;sans-serif"/>
                  <w:b w:val="false"/>
                  <w:strike w:val="false"/>
                  <w:dstrike w:val="false"/>
                  <w:color w:val="000000"/>
                  <w:sz w:val="20"/>
                  <w:u w:val="none"/>
                  <w:effect w:val="none"/>
                </w:rPr>
                <w:t>46</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79">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79">
              <w:r>
                <w:rPr>
                  <w:rStyle w:val="InternetLink"/>
                  <w:rFonts w:ascii="Times New Roman;sans-serif" w:hAnsi="Times New Roman;sans-serif"/>
                  <w:b w:val="false"/>
                  <w:strike w:val="false"/>
                  <w:dstrike w:val="false"/>
                  <w:color w:val="000000"/>
                  <w:sz w:val="20"/>
                  <w:u w:val="none"/>
                  <w:effect w:val="none"/>
                </w:rPr>
                <w:t>47</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82">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82">
              <w:r>
                <w:rPr>
                  <w:rStyle w:val="InternetLink"/>
                  <w:rFonts w:ascii="Times New Roman;sans-serif" w:hAnsi="Times New Roman;sans-serif"/>
                  <w:b w:val="false"/>
                  <w:strike w:val="false"/>
                  <w:dstrike w:val="false"/>
                  <w:color w:val="000000"/>
                  <w:sz w:val="20"/>
                  <w:u w:val="none"/>
                  <w:effect w:val="none"/>
                </w:rPr>
                <w:t>48</w:t>
              </w:r>
            </w:hyperlink>
          </w:p>
        </w:tc>
      </w:tr>
      <w:tr>
        <w:trPr/>
        <w:tc>
          <w:tcPr>
            <w:tcW w:w="97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39">
              <w:r>
                <w:rPr>
                  <w:rStyle w:val="InternetLink"/>
                  <w:rFonts w:ascii="Times New Roman;sans-serif" w:hAnsi="Times New Roman;sans-serif"/>
                  <w:b w:val="false"/>
                  <w:strike w:val="false"/>
                  <w:dstrike w:val="false"/>
                  <w:color w:val="000000"/>
                  <w:sz w:val="20"/>
                  <w:u w:val="none"/>
                  <w:effect w:val="none"/>
                </w:rPr>
                <w:t>Item 9. Changes in and Disagreements with Accountants on Accounting and Financial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39">
              <w:r>
                <w:rPr>
                  <w:rStyle w:val="InternetLink"/>
                  <w:rFonts w:ascii="Times New Roman;sans-serif" w:hAnsi="Times New Roman;sans-serif"/>
                  <w:b w:val="false"/>
                  <w:strike w:val="false"/>
                  <w:dstrike w:val="false"/>
                  <w:color w:val="000000"/>
                  <w:sz w:val="20"/>
                  <w:u w:val="none"/>
                  <w:effect w:val="none"/>
                </w:rPr>
                <w:t>82</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42">
              <w:r>
                <w:rPr>
                  <w:rStyle w:val="InternetLink"/>
                  <w:rFonts w:ascii="Times New Roman;sans-serif" w:hAnsi="Times New Roman;sans-serif"/>
                  <w:b w:val="false"/>
                  <w:strike w:val="false"/>
                  <w:dstrike w:val="false"/>
                  <w:color w:val="000000"/>
                  <w:sz w:val="20"/>
                  <w:u w:val="none"/>
                  <w:effect w:val="none"/>
                </w:rPr>
                <w:t>Item 9A.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42">
              <w:r>
                <w:rPr>
                  <w:rStyle w:val="InternetLink"/>
                  <w:rFonts w:ascii="Times New Roman;sans-serif" w:hAnsi="Times New Roman;sans-serif"/>
                  <w:b w:val="false"/>
                  <w:strike w:val="false"/>
                  <w:dstrike w:val="false"/>
                  <w:color w:val="000000"/>
                  <w:sz w:val="20"/>
                  <w:u w:val="none"/>
                  <w:effect w:val="none"/>
                </w:rPr>
                <w:t>82</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45">
              <w:r>
                <w:rPr>
                  <w:rStyle w:val="InternetLink"/>
                  <w:rFonts w:ascii="Times New Roman;sans-serif" w:hAnsi="Times New Roman;sans-serif"/>
                  <w:b w:val="false"/>
                  <w:strike w:val="false"/>
                  <w:dstrike w:val="false"/>
                  <w:color w:val="000000"/>
                  <w:sz w:val="20"/>
                  <w:u w:val="none"/>
                  <w:effect w:val="none"/>
                </w:rPr>
                <w:t>Item 9B.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45">
              <w:r>
                <w:rPr>
                  <w:rStyle w:val="InternetLink"/>
                  <w:rFonts w:ascii="Times New Roman;sans-serif" w:hAnsi="Times New Roman;sans-serif"/>
                  <w:b w:val="false"/>
                  <w:strike w:val="false"/>
                  <w:dstrike w:val="false"/>
                  <w:color w:val="000000"/>
                  <w:sz w:val="20"/>
                  <w:u w:val="none"/>
                  <w:effect w:val="none"/>
                </w:rPr>
                <w:t>84</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48">
              <w:r>
                <w:rPr>
                  <w:rStyle w:val="InternetLink"/>
                  <w:rFonts w:ascii="Times New Roman;sans-serif" w:hAnsi="Times New Roman;sans-serif"/>
                  <w:b w:val="false"/>
                  <w:strike w:val="false"/>
                  <w:dstrike w:val="false"/>
                  <w:color w:val="000000"/>
                  <w:sz w:val="20"/>
                  <w:u w:val="none"/>
                  <w:effect w:val="none"/>
                </w:rPr>
                <w:t>Item 9C. Disclosure Regarding Foreign Jurisdictions That Prevent Inspections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48">
              <w:r>
                <w:rPr>
                  <w:rStyle w:val="InternetLink"/>
                  <w:rFonts w:ascii="Times New Roman;sans-serif" w:hAnsi="Times New Roman;sans-serif"/>
                  <w:b w:val="false"/>
                  <w:strike w:val="false"/>
                  <w:dstrike w:val="false"/>
                  <w:color w:val="000000"/>
                  <w:sz w:val="20"/>
                  <w:u w:val="none"/>
                  <w:effect w:val="none"/>
                </w:rPr>
                <w:t>84</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51">
              <w:r>
                <w:rPr>
                  <w:rStyle w:val="InternetLink"/>
                  <w:rFonts w:ascii="Times New Roman;sans-serif" w:hAnsi="Times New Roman;sans-serif"/>
                  <w:b w:val="false"/>
                  <w:strike w:val="false"/>
                  <w:dstrike w:val="false"/>
                  <w:color w:val="000000"/>
                  <w:sz w:val="20"/>
                  <w:u w:val="none"/>
                  <w:effect w:val="none"/>
                </w:rPr>
                <w:t>PART III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51">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54">
              <w:r>
                <w:rPr>
                  <w:rStyle w:val="InternetLink"/>
                  <w:rFonts w:ascii="Times New Roman;sans-serif" w:hAnsi="Times New Roman;sans-serif"/>
                  <w:b w:val="false"/>
                  <w:strike w:val="false"/>
                  <w:dstrike w:val="false"/>
                  <w:color w:val="000000"/>
                  <w:sz w:val="20"/>
                  <w:u w:val="none"/>
                  <w:effect w:val="none"/>
                </w:rPr>
                <w:t>Item 10. Directors, Executive Officers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54">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57">
              <w:r>
                <w:rPr>
                  <w:rStyle w:val="InternetLink"/>
                  <w:rFonts w:ascii="Times New Roman;sans-serif" w:hAnsi="Times New Roman;sans-serif"/>
                  <w:b w:val="false"/>
                  <w:strike w:val="false"/>
                  <w:dstrike w:val="false"/>
                  <w:color w:val="000000"/>
                  <w:sz w:val="20"/>
                  <w:u w:val="none"/>
                  <w:effect w:val="none"/>
                </w:rPr>
                <w:t>Item 11. 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57">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60">
              <w:r>
                <w:rPr>
                  <w:rStyle w:val="InternetLink"/>
                  <w:rFonts w:ascii="Times New Roman;sans-serif" w:hAnsi="Times New Roman;sans-serif"/>
                  <w:b w:val="false"/>
                  <w:strike w:val="false"/>
                  <w:dstrike w:val="false"/>
                  <w:color w:val="000000"/>
                  <w:sz w:val="20"/>
                  <w:u w:val="none"/>
                  <w:effect w:val="none"/>
                </w:rPr>
                <w:t>Item 12. Security Ownership of Certain Beneficial Owners and Management and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60">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63">
              <w:r>
                <w:rPr>
                  <w:rStyle w:val="InternetLink"/>
                  <w:rFonts w:ascii="Times New Roman;sans-serif" w:hAnsi="Times New Roman;sans-serif"/>
                  <w:b w:val="false"/>
                  <w:strike w:val="false"/>
                  <w:dstrike w:val="false"/>
                  <w:color w:val="000000"/>
                  <w:sz w:val="20"/>
                  <w:u w:val="none"/>
                  <w:effect w:val="none"/>
                </w:rPr>
                <w:t>Item 13. Certain Relationships and Related Transactions, and 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63">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66">
              <w:r>
                <w:rPr>
                  <w:rStyle w:val="InternetLink"/>
                  <w:rFonts w:ascii="Times New Roman;sans-serif" w:hAnsi="Times New Roman;sans-serif"/>
                  <w:b w:val="false"/>
                  <w:strike w:val="false"/>
                  <w:dstrike w:val="false"/>
                  <w:color w:val="000000"/>
                  <w:sz w:val="20"/>
                  <w:u w:val="none"/>
                  <w:effect w:val="none"/>
                </w:rPr>
                <w:t>Item 14. Principal Accountant Fees and Services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66">
              <w:r>
                <w:rPr>
                  <w:rStyle w:val="InternetLink"/>
                  <w:rFonts w:ascii="Times New Roman;sans-serif" w:hAnsi="Times New Roman;sans-serif"/>
                  <w:b w:val="false"/>
                  <w:strike w:val="false"/>
                  <w:dstrike w:val="false"/>
                  <w:color w:val="000000"/>
                  <w:sz w:val="20"/>
                  <w:u w:val="none"/>
                  <w:effect w:val="none"/>
                </w:rPr>
                <w:t>85</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69">
              <w:r>
                <w:rPr>
                  <w:rStyle w:val="InternetLink"/>
                  <w:rFonts w:ascii="Times New Roman;sans-serif" w:hAnsi="Times New Roman;sans-serif"/>
                  <w:b w:val="false"/>
                  <w:strike w:val="false"/>
                  <w:dstrike w:val="false"/>
                  <w:color w:val="000000"/>
                  <w:sz w:val="20"/>
                  <w:u w:val="none"/>
                  <w:effect w:val="none"/>
                </w:rPr>
                <w:t>PART IV</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69">
              <w:r>
                <w:rPr>
                  <w:rStyle w:val="InternetLink"/>
                  <w:rFonts w:ascii="Times New Roman;sans-serif" w:hAnsi="Times New Roman;sans-serif"/>
                  <w:b w:val="false"/>
                  <w:strike w:val="false"/>
                  <w:dstrike w:val="false"/>
                  <w:color w:val="000000"/>
                  <w:sz w:val="20"/>
                  <w:u w:val="none"/>
                  <w:effect w:val="none"/>
                </w:rPr>
                <w:t>86</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72">
              <w:r>
                <w:rPr>
                  <w:rStyle w:val="InternetLink"/>
                  <w:rFonts w:ascii="Times New Roman;sans-serif" w:hAnsi="Times New Roman;sans-serif"/>
                  <w:b w:val="false"/>
                  <w:strike w:val="false"/>
                  <w:dstrike w:val="false"/>
                  <w:color w:val="000000"/>
                  <w:sz w:val="20"/>
                  <w:u w:val="none"/>
                  <w:effect w:val="none"/>
                </w:rPr>
                <w:t>Item 15. Exhibits and Financial Statement Schedules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72">
              <w:r>
                <w:rPr>
                  <w:rStyle w:val="InternetLink"/>
                  <w:rFonts w:ascii="Times New Roman;sans-serif" w:hAnsi="Times New Roman;sans-serif"/>
                  <w:b w:val="false"/>
                  <w:strike w:val="false"/>
                  <w:dstrike w:val="false"/>
                  <w:color w:val="000000"/>
                  <w:sz w:val="20"/>
                  <w:u w:val="none"/>
                  <w:effect w:val="none"/>
                </w:rPr>
                <w:t>86</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81">
              <w:r>
                <w:rPr>
                  <w:rStyle w:val="InternetLink"/>
                  <w:rFonts w:ascii="Times New Roman;sans-serif" w:hAnsi="Times New Roman;sans-serif"/>
                  <w:b w:val="false"/>
                  <w:strike w:val="false"/>
                  <w:dstrike w:val="false"/>
                  <w:color w:val="000000"/>
                  <w:sz w:val="20"/>
                  <w:u w:val="none"/>
                  <w:effect w:val="none"/>
                </w:rPr>
                <w:t>Schedule II - Va</w:t>
              </w:r>
            </w:hyperlink>
            <w:r>
              <w:rPr>
                <w:rFonts w:ascii="Times New Roman;sans-serif" w:hAnsi="Times New Roman;sans-serif"/>
                <w:b w:val="false"/>
                <w:color w:val="000000"/>
                <w:sz w:val="20"/>
              </w:rPr>
              <w:t>luation and Qualifying Accounts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81">
              <w:r>
                <w:rPr>
                  <w:rStyle w:val="InternetLink"/>
                  <w:rFonts w:ascii="Times New Roman;sans-serif" w:hAnsi="Times New Roman;sans-serif"/>
                  <w:b w:val="false"/>
                  <w:strike w:val="false"/>
                  <w:dstrike w:val="false"/>
                  <w:color w:val="000000"/>
                  <w:sz w:val="20"/>
                  <w:u w:val="none"/>
                  <w:effect w:val="none"/>
                </w:rPr>
                <w:t>93</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84">
              <w:r>
                <w:rPr>
                  <w:rStyle w:val="InternetLink"/>
                  <w:rFonts w:ascii="Times New Roman;sans-serif" w:hAnsi="Times New Roman;sans-serif"/>
                  <w:b w:val="false"/>
                  <w:strike w:val="false"/>
                  <w:dstrike w:val="false"/>
                  <w:color w:val="000000"/>
                  <w:sz w:val="20"/>
                  <w:u w:val="none"/>
                  <w:effect w:val="none"/>
                </w:rPr>
                <w:t>Item 16. Form 10-K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84">
              <w:r>
                <w:rPr>
                  <w:rStyle w:val="InternetLink"/>
                  <w:rFonts w:ascii="Times New Roman;sans-serif" w:hAnsi="Times New Roman;sans-serif"/>
                  <w:b w:val="false"/>
                  <w:strike w:val="false"/>
                  <w:dstrike w:val="false"/>
                  <w:color w:val="000000"/>
                  <w:sz w:val="20"/>
                  <w:u w:val="none"/>
                  <w:effect w:val="none"/>
                </w:rPr>
                <w:t>94</w:t>
              </w:r>
            </w:hyperlink>
          </w:p>
        </w:tc>
      </w:tr>
      <w:tr>
        <w:trPr/>
        <w:tc>
          <w:tcPr>
            <w:tcW w:w="9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c5acd33c2747b097f29460e74199b6_187">
              <w:r>
                <w:rPr>
                  <w:rStyle w:val="InternetLink"/>
                  <w:rFonts w:ascii="Times New Roman;sans-serif" w:hAnsi="Times New Roman;sans-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5acd33c2747b097f29460e74199b6_187">
              <w:r>
                <w:rPr>
                  <w:rStyle w:val="InternetLink"/>
                  <w:rFonts w:ascii="Times New Roman;sans-serif" w:hAnsi="Times New Roman;sans-serif"/>
                  <w:b w:val="false"/>
                  <w:strike w:val="false"/>
                  <w:dstrike w:val="false"/>
                  <w:color w:val="000000"/>
                  <w:sz w:val="20"/>
                  <w:u w:val="none"/>
                  <w:effect w:val="none"/>
                </w:rPr>
                <w:t>95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 About Forward-Looking Statements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including the effects of customer inventory adjustments;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the effect of tax examinations and audits and changes in or the application of new or revised tax laws; expected cost savings; the effect of new accounting pronouncements; our plans to integrate or realize the benefits or synergies expected of acquired businesses and technologies; and other characterizations of future events or circumstances are forward-looking statements. Our actual results could differ materially from those anticipated in these forward-looking statements as a result of various factors. Readers are cautioned that these forward-looking statements are only predictions and are subject to risks, uncertainties, and assumptions that are difficult to predict, including those identified in Part I, Item 1A. “Risk Factors” and elsewhere in this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Company Overview, Strategy and Mission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Analog Devices, Inc. (we, Analog Devices or the Company)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Intelligent Edge is characterized by ubiquitous sensing, hyper-scale and edge computing, artificial intelligence (AI) and pervasive connectivity. These technological trends are driving a continuous evolution of new generations of applications that are increasing the demand for Analog Devices’ high-performance analog, mixed-signal, power and RF ICs. We have positioned our business to capitalize on the secular growth opportunities across our markets and to deliver innovative solutions. Central to our strategy is our focus on challenges that our customers have across the most impactful application areas. That is built around the following key priorities, which we believe will continue to drive our long-term success: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rPr>
        <w:t>Efficient use of capital.</w:t>
      </w:r>
      <w:r>
        <w:rPr>
          <w:color w:val="000000"/>
        </w:rPr>
        <w:t xml:space="preserve"> </w:t>
      </w:r>
      <w:r>
        <w:rPr>
          <w:rFonts w:ascii="Times New Roman;sans-serif" w:hAnsi="Times New Roman;sans-serif"/>
          <w:b w:val="false"/>
          <w:color w:val="000000"/>
          <w:sz w:val="20"/>
        </w:rPr>
        <w:t>Research and development (R&amp;D) is critical to continue our cycle of innovation, driven by a diverse array of engineering talent who “engineer good” for our planet and society. We are also deeply committed to realizing targeted shareholder value creation from our acquisitions to complement our R&amp;D and drive long-term value creation. Through the development of cutting-edge innovations and our ability to solve difficult problems across a broad array of applications, we generate significant cash flow and are deeply committed to delivering strong shareholder returns.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rPr>
        <w:t>Deepening customer-centricity.</w:t>
      </w:r>
      <w:r>
        <w:rPr>
          <w:color w:val="000000"/>
        </w:rPr>
        <w:t xml:space="preserve"> </w:t>
      </w:r>
      <w:r>
        <w:rPr>
          <w:rFonts w:ascii="Times New Roman;sans-serif" w:hAnsi="Times New Roman;sans-serif"/>
          <w:b w:val="false"/>
          <w:color w:val="000000"/>
          <w:sz w:val="20"/>
        </w:rPr>
        <w:t>Close customer relationships influence all aspects of our business: from our broad range of product portfolios and applications expertise to manufacturing capabilities in high-performance power management and precision and high-speed signal processing technologies. We believe that our engineering talent continues to be an important competitive differentiator in the semiconductor space that will enable us to continue to deepen our relationships with customers. We strive to be the destination for the world’s best engineering talent with a team of more than 13,000 engineers. Together, our products and our engineering talent enable us to partner with our customers, leveraging our analog domain expertise and receive the full benefit of our technology capabilities to develop complete and innovative solutions.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rPr>
        <w:t xml:space="preserve">Capitalizing on secular trends. </w:t>
      </w:r>
      <w:r>
        <w:rPr>
          <w:rFonts w:ascii="Times New Roman;sans-serif" w:hAnsi="Times New Roman;sans-serif"/>
          <w:b w:val="false"/>
          <w:color w:val="000000"/>
          <w:sz w:val="20"/>
        </w:rPr>
        <w:t>We are positioned to capitalize on important secular growth trends to drive advancements in digitized factories, mobility and digital healthcare, combat climate change and reliably connect humans and the world. We are well-aligned with the key B2B markets driving the increase in data at the Intelligent Edge and we will continue to be a critical partner in the collection, creation and communication of our customers’ edge data. In addition, we are increasingly incorporating AI capabilities into the development of technologies and our business operations, and into our products and services.</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We were incorporated in Massachusetts in 1965</w:t>
      </w:r>
      <w:r>
        <w:rPr>
          <w:color w:val="000000"/>
        </w:rPr>
        <w:t xml:space="preserve"> </w:t>
      </w:r>
      <w:r>
        <w:rPr>
          <w:rFonts w:ascii="Times New Roman;sans-serif" w:hAnsi="Times New Roman;sans-serif"/>
          <w:b w:val="false"/>
          <w:color w:val="000000"/>
          <w:sz w:val="20"/>
        </w:rPr>
        <w:t>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 Our fiscal year is the 52-week or 53-week period ending on the Saturday closest to the last day in October; November 2, 2024 (fiscal 2024) was a 53-week fiscal period, while the fiscal year ended October 28, 2023 (fiscal 2023) and the fiscal year ended October 29, 2022 (fiscal 2022) were 52-week fiscal periods. The additional week in fiscal 2024 is included in the first quarter ended February 3, 2024. Therefore, fiscal 2024 includes an additional week of operations as compared to fiscal 2023 and fiscal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website with the address www.analog.com.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the committees of our Board of Directors and our code of business conduct and ethics which applies to our directors, officers and employees and other governance documents.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included our website address in this Annual Report on Form 10-K as an inactive textual reference. We are not including the information contained on our website as a part of, or incorporating it by reference into, this Annual Report on Form 10-K.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Semiconductor components are the building blocks used in electronic systems and equipment. These components are classified as either discrete devices, such as individual transistors, or as ICs, in which a number of transistors and other elements are combined to form a more complicated electronic circuit.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ICs are designed to address a wide range of real-world signal processing applications. We sell our ICs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Our analog ICs monitor, condition, amplify or transform continuous analog signals associated with physical properties, such as temperature, pressure, weight, light, sound or motion, and play an important role in bridging real world phenomena to a variety of electronic systems. Our analog ICs also provide voltage regulation and power control to electronic systems.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work with customers to design application-specific solutions. We begin with our existing core technologies, which leverage our analog and mixed signal, power management, RF and microwave, edge processors and other sensors, and devise solutions that more closely meet the needs of a specific customer or group of customers. In certain cases, because we have already developed the core technology platform for our general-purpose products, we can create application-specific solutions quickly and efficiently.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analog and mixed-signal IC technology have been the foundation of our business for nearly six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many of which can have several hundred end customers. Our analog ICs typically have long product life cycles. Our customers include original equipment manufacturers (OEMs) and customers who build electronic subsystems for integration into larger systems.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offerings include more than 75,000 stock keeping units (SKUs) that can be aggregated into the following general categories: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Analog and Mixed Signal</w:t>
      </w:r>
      <w:r>
        <w:rPr>
          <w:color w:val="000000"/>
        </w:rPr>
        <w:t>—</w:t>
      </w:r>
      <w:r>
        <w:rPr>
          <w:rFonts w:ascii="Times New Roman;sans-serif" w:hAnsi="Times New Roman;sans-serif"/>
          <w:b w:val="false"/>
          <w:color w:val="000000"/>
          <w:sz w:val="20"/>
        </w:rPr>
        <w:t>We are a leading supplier of data converter products. Data converters translate real-world analog signals into digital data and also 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Power Management &amp; Reference</w:t>
      </w:r>
      <w:r>
        <w:rPr>
          <w:color w:val="000000"/>
        </w:rPr>
        <w:t>—</w:t>
      </w:r>
      <w:r>
        <w:rPr>
          <w:rFonts w:ascii="Times New Roman;sans-serif" w:hAnsi="Times New Roman;sans-serif"/>
          <w:b w:val="false"/>
          <w:color w:val="000000"/>
          <w:sz w:val="20"/>
        </w:rPr>
        <w:t>Power management and reference products, which include functions such as power conversion, driver monitoring, sequencing and energy management, provide efficient solutions for power management and conversion applications in the automotive, communications, industrial and high-end consumer markets. Our high-performance power ICs include powerful performance, integration and software design simulation tools to provide fast and accurate power supply designs.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Amplifiers/RF and Microwave</w:t>
      </w:r>
      <w:r>
        <w:rPr>
          <w:color w:val="000000"/>
        </w:rPr>
        <w:t>—</w:t>
      </w:r>
      <w:r>
        <w:rPr>
          <w:rFonts w:ascii="Times New Roman;sans-serif" w:hAnsi="Times New Roman;sans-serif"/>
          <w:b w:val="false"/>
          <w:color w:val="000000"/>
          <w:sz w:val="20"/>
        </w:rPr>
        <w:t>We are also a leading supplier of high-performance amplifiers which are used to condition analog signals. High performance amplifiers emphasize the performance dimensions of speed and precision. Within this product portfolio we provide precision, instrumentation, high speed, intermediate frequency/RF/microwave, broadband, and other amplifiers. Our analog product line also includes a broad portfolio of high-performance RF and microwave ICs covering the entire RF signal chain. Our high-performance RF and microwave ICs support the high-performance requirements of cellular infrastructure and a broad range of applications in our target markets, including instrumentation, aerospace and automotive.</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Sensors &amp; Actuators</w:t>
      </w:r>
      <w:r>
        <w:rPr>
          <w:color w:val="000000"/>
        </w:rPr>
        <w:t>—</w:t>
      </w:r>
      <w:r>
        <w:rPr>
          <w:rFonts w:ascii="Times New Roman;sans-serif" w:hAnsi="Times New Roman;sans-serif"/>
          <w:b w:val="false"/>
          <w:color w:val="000000"/>
          <w:sz w:val="20"/>
        </w:rPr>
        <w:t>Our analog technology portfolio is comprised of sensor and actuator products, including products based on micro-electro-mechanical systems (MEMS) technology. MEMS technology 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Digital Signal Processing and System Products</w:t>
      </w:r>
      <w:r>
        <w:rPr>
          <w:color w:val="000000"/>
        </w:rPr>
        <w:t xml:space="preserve"> </w:t>
      </w:r>
      <w:r>
        <w:rPr>
          <w:rFonts w:ascii="Times New Roman;sans-serif" w:hAnsi="Times New Roman;sans-serif"/>
          <w:b w:val="false"/>
          <w:i/>
          <w:color w:val="000000"/>
          <w:sz w:val="20"/>
        </w:rPr>
        <w:t>(DSPs)</w:t>
      </w:r>
      <w:r>
        <w:rPr>
          <w:color w:val="000000"/>
        </w:rPr>
        <w:t>—</w:t>
      </w:r>
      <w:r>
        <w:rPr>
          <w:rFonts w:ascii="Times New Roman;sans-serif" w:hAnsi="Times New Roman;sans-serif"/>
          <w:b w:val="false"/>
          <w:color w:val="000000"/>
          <w:sz w:val="20"/>
        </w:rPr>
        <w:t>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Interface</w:t>
      </w:r>
      <w:r>
        <w:rPr>
          <w:color w:val="000000"/>
        </w:rPr>
        <w:t>—</w:t>
      </w:r>
      <w:r>
        <w:rPr>
          <w:rFonts w:ascii="Times New Roman;sans-serif" w:hAnsi="Times New Roman;sans-serif"/>
          <w:b w:val="false"/>
          <w:color w:val="000000"/>
          <w:sz w:val="20"/>
        </w:rPr>
        <w:t xml:space="preserve">Includes general purpose analog ICs whose primary function is to modify or shape the signal in order to ensure signal integrity for transmission over a distance through a physical medium such as a wire, cable, waveguide, or tracks within a printed circuit board. These include devices that shape the signal for transmission over the medium or reconstruct the received signal after transmission to recover the intended signal integrity.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Sales Channel</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globally through a direct sales force, third-party distributors, independent sales representatives and via our website. We have direct sales offices, sales representatives and/or distributors in approximately 50 countries. 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distributors provide a cost-effective means of reaching a broad range of customers while providing efficient logistics services. From time to time, we may add or terminate distributors in specific geographies, or move customers to a direct support or fulfillment model as we deem appropriate given our strategies, the level of distributor business activity and distributor performance and financial condition.</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These distributors typically maintain an inventory of our products. Some of them also sell products that compete with our products, including those for which we are an alternate source. We make sales to distributors under agreements that allow certain distributors to receive price adjustment credits and to return qualifying products for credit, typically as 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revenue and customer concentration is set forth in Note 2l, </w:t>
      </w:r>
      <w:r>
        <w:rPr>
          <w:rFonts w:ascii="Times New Roman;sans-serif" w:hAnsi="Times New Roman;sans-serif"/>
          <w:b w:val="false"/>
          <w:i/>
          <w:color w:val="000000"/>
          <w:sz w:val="20"/>
        </w:rPr>
        <w:t>Concentrations of Risk</w:t>
      </w:r>
      <w:r>
        <w:rPr>
          <w:rFonts w:ascii="Times New Roman;sans-serif" w:hAnsi="Times New Roman;sans-serif"/>
          <w:b w:val="false"/>
          <w:color w:val="000000"/>
          <w:sz w:val="20"/>
        </w:rPr>
        <w:t xml:space="preserve">; Note 2n, </w:t>
      </w:r>
      <w:r>
        <w:rPr>
          <w:rFonts w:ascii="Times New Roman;sans-serif" w:hAnsi="Times New Roman;sans-serif"/>
          <w:b w:val="false"/>
          <w:i/>
          <w:color w:val="000000"/>
          <w:sz w:val="20"/>
        </w:rPr>
        <w:t>Revenue Recognition</w:t>
      </w:r>
      <w:r>
        <w:rPr>
          <w:rFonts w:ascii="Times New Roman;sans-serif" w:hAnsi="Times New Roman;sans-serif"/>
          <w:b w:val="false"/>
          <w:color w:val="000000"/>
          <w:sz w:val="20"/>
        </w:rPr>
        <w:t xml:space="preserve">; and Note 4, </w:t>
      </w:r>
      <w:r>
        <w:rPr>
          <w:rFonts w:ascii="Times New Roman;sans-serif" w:hAnsi="Times New Roman;sans-serif"/>
          <w:b w:val="false"/>
          <w:i/>
          <w:color w:val="000000"/>
          <w:sz w:val="20"/>
        </w:rPr>
        <w:t>Industry, Segment and Geographic Information</w:t>
      </w:r>
      <w:r>
        <w:rPr>
          <w:rFonts w:ascii="Times New Roman;sans-serif" w:hAnsi="Times New Roman;sans-serif"/>
          <w:b w:val="false"/>
          <w:color w:val="000000"/>
          <w:sz w:val="20"/>
        </w:rPr>
        <w:t xml:space="preserve">, of the Notes to Consolidated Financial Statements contained in Part II, Item 8 of this Annual Report on Form 10-K.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such that those canceled orders would result in an inventory of unsaleable products, causing potential inventory write-offs.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breakdown of our annual revenue by end market is set out in the table below:</w:t>
      </w:r>
    </w:p>
    <w:tbl>
      <w:tblPr>
        <w:tblW w:w="9696" w:type="dxa"/>
        <w:jc w:val="left"/>
        <w:tblInd w:w="0" w:type="dxa"/>
        <w:tblLayout w:type="fixed"/>
        <w:tblCellMar>
          <w:top w:w="28" w:type="dxa"/>
          <w:left w:w="28" w:type="dxa"/>
          <w:bottom w:w="28" w:type="dxa"/>
          <w:right w:w="28" w:type="dxa"/>
        </w:tblCellMar>
      </w:tblPr>
      <w:tblGrid>
        <w:gridCol w:w="655"/>
        <w:gridCol w:w="502"/>
        <w:gridCol w:w="359"/>
        <w:gridCol w:w="109"/>
        <w:gridCol w:w="109"/>
        <w:gridCol w:w="109"/>
        <w:gridCol w:w="794"/>
        <w:gridCol w:w="794"/>
        <w:gridCol w:w="797"/>
        <w:gridCol w:w="109"/>
        <w:gridCol w:w="109"/>
        <w:gridCol w:w="109"/>
        <w:gridCol w:w="794"/>
        <w:gridCol w:w="794"/>
        <w:gridCol w:w="797"/>
        <w:gridCol w:w="109"/>
        <w:gridCol w:w="109"/>
        <w:gridCol w:w="109"/>
        <w:gridCol w:w="710"/>
        <w:gridCol w:w="710"/>
        <w:gridCol w:w="1009"/>
      </w:tblGrid>
      <w:tr>
        <w:trPr/>
        <w:tc>
          <w:tcPr>
            <w:tcW w:w="6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 of Fiscal 2024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 of Fiscal 2023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 of Fiscal 2022 Revenue</w:t>
            </w:r>
          </w:p>
        </w:tc>
      </w:tr>
      <w:tr>
        <w:trPr/>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lineRule="auto" w:line="288" w:before="14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*The sum of the individual percentages may not equal 100% due to rounding.</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describes some of the characteristics of, and customer products within, our major end markets of Industrial, Automotive, Communications and Consumer:</w:t>
      </w:r>
    </w:p>
    <w:p>
      <w:pPr>
        <w:pStyle w:val="TextBody"/>
        <w:bidi w:val="0"/>
        <w:spacing w:lineRule="auto" w:line="288" w:before="140" w:after="283"/>
        <w:ind w:left="0" w:right="0" w:firstLine="495"/>
        <w:jc w:val="left"/>
        <w:rPr/>
      </w:pPr>
      <w:r>
        <w:rPr>
          <w:rFonts w:ascii="Times New Roman;sans-serif" w:hAnsi="Times New Roman;sans-serif"/>
          <w:b/>
          <w:i/>
          <w:color w:val="000000"/>
          <w:sz w:val="20"/>
        </w:rPr>
        <w:t>Industrial</w:t>
      </w:r>
      <w:r>
        <w:rPr>
          <w:color w:val="000000"/>
        </w:rPr>
        <w:t xml:space="preserve"> — </w:t>
      </w:r>
      <w:r>
        <w:rPr>
          <w:rFonts w:ascii="Times New Roman;sans-serif" w:hAnsi="Times New Roman;sans-serif"/>
          <w:b w:val="false"/>
          <w:color w:val="000000"/>
          <w:sz w:val="20"/>
        </w:rPr>
        <w:t>Our industrial market includes the following sectors:</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 xml:space="preserve">Industrial Automation </w:t>
      </w:r>
      <w:r>
        <w:rPr>
          <w:color w:val="000000"/>
        </w:rPr>
        <w:t xml:space="preserve">— </w:t>
      </w:r>
      <w:r>
        <w:rPr>
          <w:rFonts w:ascii="Times New Roman;sans-serif" w:hAnsi="Times New Roman;sans-serif"/>
          <w:b w:val="false"/>
          <w:color w:val="000000"/>
          <w:sz w:val="20"/>
        </w:rPr>
        <w:t>We are a leader in industrial automation because we deliver robust, high performance solutions from our deep motion and process control expertise and precision sensing measurement and interpretation to expansive connectivity and power capabilities. We take real-world phenomena in the most complex environments on the factory floor and translate them into valuable insights and outcomes. We co-create with customers to architect robotics systems and solutions that improve dynamic behavior and precision while enhancing worker safety, machine health, and manufacturing flexibility. Our industrial automation market includes applications such as:</w:t>
      </w:r>
    </w:p>
    <w:tbl>
      <w:tblPr>
        <w:tblW w:w="5847" w:type="dxa"/>
        <w:jc w:val="left"/>
        <w:tblInd w:w="0" w:type="dxa"/>
        <w:tblLayout w:type="fixed"/>
        <w:tblCellMar>
          <w:top w:w="28" w:type="dxa"/>
          <w:left w:w="28" w:type="dxa"/>
          <w:bottom w:w="28" w:type="dxa"/>
          <w:right w:w="28" w:type="dxa"/>
        </w:tblCellMar>
      </w:tblPr>
      <w:tblGrid>
        <w:gridCol w:w="1153"/>
        <w:gridCol w:w="1013"/>
        <w:gridCol w:w="1014"/>
        <w:gridCol w:w="109"/>
        <w:gridCol w:w="109"/>
        <w:gridCol w:w="109"/>
        <w:gridCol w:w="684"/>
        <w:gridCol w:w="684"/>
        <w:gridCol w:w="972"/>
      </w:tblGrid>
      <w:tr>
        <w:trPr/>
        <w:tc>
          <w:tcPr>
            <w:tcW w:w="11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Condition-based monitoring (CbM)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Industrial power supplies</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Industrial robotics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Industrial motion control</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Factory and process control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Instrumentation &amp; Measurement</w:t>
      </w:r>
      <w:r>
        <w:rPr>
          <w:color w:val="000000"/>
        </w:rPr>
        <w:t xml:space="preserve"> — </w:t>
      </w:r>
      <w:r>
        <w:rPr>
          <w:rFonts w:ascii="Times New Roman;sans-serif" w:hAnsi="Times New Roman;sans-serif"/>
          <w:b w:val="false"/>
          <w:color w:val="000000"/>
          <w:sz w:val="20"/>
        </w:rPr>
        <w:t>Trusted measurement is at the forefront of innovation. With the rapid pace of global transformation, from ubiquitous connectivity, to electrification, to AI, to human health and environmental sustainability — all of these trends require reliable and efficient test solutions from R&amp;D to manufacturing to field deployment. We enable high performance measurement through our components and system solutions. Our RF, high-speed and power management products are designed to enable solutions for complying with evolving communications standards. Our high-voltage, isolation and precision products are a key part of the systems that are designed for safety, longevity and efficiency in electric vehicles and renewable energy. Beyond electrical testing, our precision and power technology enable analytical instruments for drug or vaccine R&amp;D and manufacturing, food safety and quality and environmental monitoring. Our instrumentation and measurement market includes applications such as:</w:t>
      </w:r>
    </w:p>
    <w:tbl>
      <w:tblPr>
        <w:tblW w:w="6460" w:type="dxa"/>
        <w:jc w:val="left"/>
        <w:tblInd w:w="0" w:type="dxa"/>
        <w:tblLayout w:type="fixed"/>
        <w:tblCellMar>
          <w:top w:w="28" w:type="dxa"/>
          <w:left w:w="28" w:type="dxa"/>
          <w:bottom w:w="28" w:type="dxa"/>
          <w:right w:w="28" w:type="dxa"/>
        </w:tblCellMar>
      </w:tblPr>
      <w:tblGrid>
        <w:gridCol w:w="1151"/>
        <w:gridCol w:w="1013"/>
        <w:gridCol w:w="1015"/>
        <w:gridCol w:w="109"/>
        <w:gridCol w:w="109"/>
        <w:gridCol w:w="109"/>
        <w:gridCol w:w="863"/>
        <w:gridCol w:w="863"/>
        <w:gridCol w:w="1228"/>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Automated test equipment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Automotive and energy test</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Electronic test and measurement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Life sciences and drug discovery</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Environmental and process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Aerospace/Defense</w:t>
      </w:r>
      <w:r>
        <w:rPr>
          <w:color w:val="000000"/>
        </w:rPr>
        <w:t xml:space="preserve"> — </w:t>
      </w:r>
      <w:r>
        <w:rPr>
          <w:rFonts w:ascii="Times New Roman;sans-serif" w:hAnsi="Times New Roman;sans-serif"/>
          <w:b w:val="false"/>
          <w:color w:val="000000"/>
          <w:sz w:val="20"/>
        </w:rPr>
        <w:t>The defense, commercial avionics and space markets all require high-performance ICs that meet rigorous environmental and reliability specifications. Many of our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system in package (SiPs), printed circuit board assemblies, modules, and subsystems. Customer products include applications such as:</w:t>
      </w:r>
    </w:p>
    <w:tbl>
      <w:tblPr>
        <w:tblW w:w="7422" w:type="dxa"/>
        <w:jc w:val="left"/>
        <w:tblInd w:w="0" w:type="dxa"/>
        <w:tblLayout w:type="fixed"/>
        <w:tblCellMar>
          <w:top w:w="28" w:type="dxa"/>
          <w:left w:w="28" w:type="dxa"/>
          <w:bottom w:w="28" w:type="dxa"/>
          <w:right w:w="28" w:type="dxa"/>
        </w:tblCellMar>
      </w:tblPr>
      <w:tblGrid>
        <w:gridCol w:w="1153"/>
        <w:gridCol w:w="1011"/>
        <w:gridCol w:w="1016"/>
        <w:gridCol w:w="109"/>
        <w:gridCol w:w="109"/>
        <w:gridCol w:w="109"/>
        <w:gridCol w:w="1143"/>
        <w:gridCol w:w="1143"/>
        <w:gridCol w:w="1629"/>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Navigation systems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Radar systems</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Space and satellite communications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Security devices</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Communication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Electronic surveillance and countermeasures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Healthcare</w:t>
      </w:r>
      <w:r>
        <w:rPr>
          <w:color w:val="000000"/>
        </w:rPr>
        <w:t xml:space="preserve"> — </w:t>
      </w:r>
      <w:r>
        <w:rPr>
          <w:rFonts w:ascii="Times New Roman;sans-serif" w:hAnsi="Times New Roman;sans-serif"/>
          <w:b w:val="false"/>
          <w:color w:val="000000"/>
          <w:sz w:val="20"/>
        </w:rPr>
        <w:t>The healthcare market is evolving in response to the need for increased access to better and more affordable care, as well as a growing focus on preventative healthcare and the need to better and more cost effectively manage chronic conditions. To help achieve this, we are collaborating with customers and partners on innovative solutions that are designed to achieve better outcomes for patients and more efficient workflows for physicians at reduced costs. Our offerings include both standard and application-specific hardware, software and service-based products and are used in applications such as:</w:t>
      </w:r>
    </w:p>
    <w:tbl>
      <w:tblPr>
        <w:tblW w:w="8006" w:type="dxa"/>
        <w:jc w:val="left"/>
        <w:tblInd w:w="0" w:type="dxa"/>
        <w:tblLayout w:type="fixed"/>
        <w:tblCellMar>
          <w:top w:w="28" w:type="dxa"/>
          <w:left w:w="28" w:type="dxa"/>
          <w:bottom w:w="28" w:type="dxa"/>
          <w:right w:w="28" w:type="dxa"/>
        </w:tblCellMar>
      </w:tblPr>
      <w:tblGrid>
        <w:gridCol w:w="1287"/>
        <w:gridCol w:w="1131"/>
        <w:gridCol w:w="1137"/>
        <w:gridCol w:w="109"/>
        <w:gridCol w:w="109"/>
        <w:gridCol w:w="109"/>
        <w:gridCol w:w="1206"/>
        <w:gridCol w:w="1206"/>
        <w:gridCol w:w="1712"/>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Ultrasound, PET and MRI systems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Anesthesia equipment</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X-Ray equipment (CT and DX-Ray)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Lab and point of care diagnostic equipment</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Image guided therapy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Robotic surgery, surgical tools and instruments</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Multi-parameter vital signs monitors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Blood analyzers and infusion pumps</w:t>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ans-serif" w:hAnsi="Times New Roman;sans-serif"/>
                <w:b w:val="false"/>
                <w:color w:val="000000"/>
                <w:sz w:val="20"/>
              </w:rPr>
              <w:t>Remote patient monitoring and wellness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Renal therapy and organ transplant systems</w:t>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ans-serif" w:hAnsi="Times New Roman;sans-serif"/>
                <w:b w:val="false"/>
                <w:color w:val="000000"/>
                <w:sz w:val="20"/>
              </w:rPr>
              <w:t>Continuous glucose monitoring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Insulin pumps</w:t>
            </w:r>
          </w:p>
        </w:tc>
      </w:tr>
    </w:tbl>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Energy Management</w:t>
      </w:r>
      <w:r>
        <w:rPr>
          <w:color w:val="000000"/>
        </w:rPr>
        <w:t xml:space="preserve"> — </w:t>
      </w:r>
      <w:r>
        <w:rPr>
          <w:rFonts w:ascii="Times New Roman;sans-serif" w:hAnsi="Times New Roman;sans-serif"/>
          <w:b w:val="false"/>
          <w:color w:val="000000"/>
          <w:sz w:val="20"/>
        </w:rPr>
        <w:t>The global drive towards improved energy efficiency, conservation, reliability and clean energy is driving investments in electrification across many different application areas, including electric vehicle charging infrastructure, renewable energy, 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tbl>
      <w:tblPr>
        <w:tblW w:w="7480" w:type="dxa"/>
        <w:jc w:val="left"/>
        <w:tblInd w:w="0" w:type="dxa"/>
        <w:tblLayout w:type="fixed"/>
        <w:tblCellMar>
          <w:top w:w="28" w:type="dxa"/>
          <w:left w:w="28" w:type="dxa"/>
          <w:bottom w:w="28" w:type="dxa"/>
          <w:right w:w="28" w:type="dxa"/>
        </w:tblCellMar>
      </w:tblPr>
      <w:tblGrid>
        <w:gridCol w:w="1412"/>
        <w:gridCol w:w="1241"/>
        <w:gridCol w:w="1246"/>
        <w:gridCol w:w="109"/>
        <w:gridCol w:w="109"/>
        <w:gridCol w:w="109"/>
        <w:gridCol w:w="950"/>
        <w:gridCol w:w="950"/>
        <w:gridCol w:w="1354"/>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Utility meters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Wind turbines</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Electric vehicle charging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Solar inverters</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Substation relays and automation equipment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Building energy automation/control</w:t>
            </w:r>
          </w:p>
        </w:tc>
      </w:tr>
    </w:tbl>
    <w:p>
      <w:pPr>
        <w:pStyle w:val="TextBody"/>
        <w:bidi w:val="0"/>
        <w:spacing w:lineRule="auto" w:line="288" w:before="140" w:after="283"/>
        <w:ind w:left="0" w:right="0" w:firstLine="495"/>
        <w:jc w:val="left"/>
        <w:rPr/>
      </w:pPr>
      <w:r>
        <w:rPr>
          <w:rFonts w:ascii="Times New Roman;sans-serif" w:hAnsi="Times New Roman;sans-serif"/>
          <w:b/>
          <w:i/>
          <w:color w:val="000000"/>
          <w:sz w:val="20"/>
        </w:rPr>
        <w:t xml:space="preserve">Automotive </w:t>
      </w:r>
      <w:r>
        <w:rPr>
          <w:color w:val="000000"/>
        </w:rPr>
        <w:t>— </w:t>
      </w:r>
      <w:r>
        <w:rPr>
          <w:rFonts w:ascii="Times New Roman;sans-serif" w:hAnsi="Times New Roman;sans-serif"/>
          <w:b w:val="false"/>
          <w:color w:val="000000"/>
          <w:sz w:val="20"/>
        </w:rPr>
        <w:t>We develop differentiated high-performance signal processing solutions, which enable sophisticated transportation systems that span infotainment, electrification and autonomous applications. Through collaboration with manufacturers worldwide, we have developed a broad portfolio of analog, digital, power and sensor ICs that address the emerging needs of this evolving industry. Our focus is on audio/video applications that lead to an enriched in-cabin experience, electrification applications that improve vehicle range and reduce emissions, and mission-critical perception and navigation applications that enable vehicles to more clearly sense the external environment. Specifically, we have developed products used in applications such as:</w:t>
      </w:r>
    </w:p>
    <w:tbl>
      <w:tblPr>
        <w:tblW w:w="8586" w:type="dxa"/>
        <w:jc w:val="left"/>
        <w:tblInd w:w="0" w:type="dxa"/>
        <w:tblLayout w:type="fixed"/>
        <w:tblCellMar>
          <w:top w:w="28" w:type="dxa"/>
          <w:left w:w="28" w:type="dxa"/>
          <w:bottom w:w="28" w:type="dxa"/>
          <w:right w:w="28" w:type="dxa"/>
        </w:tblCellMar>
      </w:tblPr>
      <w:tblGrid>
        <w:gridCol w:w="124"/>
        <w:gridCol w:w="109"/>
        <w:gridCol w:w="109"/>
        <w:gridCol w:w="1259"/>
        <w:gridCol w:w="1259"/>
        <w:gridCol w:w="1262"/>
        <w:gridCol w:w="109"/>
        <w:gridCol w:w="109"/>
        <w:gridCol w:w="109"/>
        <w:gridCol w:w="109"/>
        <w:gridCol w:w="109"/>
        <w:gridCol w:w="109"/>
        <w:gridCol w:w="1115"/>
        <w:gridCol w:w="1115"/>
        <w:gridCol w:w="1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 audio, voice processing and connectivity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Battery monitoring and management systems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processing and connectivity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pPr>
      <w:r>
        <w:rPr>
          <w:rFonts w:ascii="Times New Roman;sans-serif" w:hAnsi="Times New Roman;sans-serif"/>
          <w:b/>
          <w:i/>
          <w:color w:val="000000"/>
          <w:sz w:val="20"/>
        </w:rPr>
        <w:t>Communications</w:t>
      </w:r>
      <w:r>
        <w:rPr>
          <w:color w:val="000000"/>
        </w:rPr>
        <w:t xml:space="preserve"> — </w:t>
      </w:r>
      <w:r>
        <w:rPr>
          <w:rFonts w:ascii="Times New Roman;sans-serif" w:hAnsi="Times New Roman;sans-serif"/>
          <w:b w:val="false"/>
          <w:color w:val="000000"/>
          <w:sz w:val="20"/>
        </w:rPr>
        <w:t>The development of broadband, wireless and internet infrastructures around the world has created an important market for our 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data, video, voice and machine-to-machine communications. In wireless and wireline communication applications, our products are incorporated into:</w:t>
      </w:r>
    </w:p>
    <w:tbl>
      <w:tblPr>
        <w:tblW w:w="9701" w:type="dxa"/>
        <w:jc w:val="left"/>
        <w:tblInd w:w="0" w:type="dxa"/>
        <w:tblLayout w:type="fixed"/>
        <w:tblCellMar>
          <w:top w:w="28" w:type="dxa"/>
          <w:left w:w="28" w:type="dxa"/>
          <w:bottom w:w="28" w:type="dxa"/>
          <w:right w:w="28" w:type="dxa"/>
        </w:tblCellMar>
      </w:tblPr>
      <w:tblGrid>
        <w:gridCol w:w="1032"/>
        <w:gridCol w:w="906"/>
        <w:gridCol w:w="911"/>
        <w:gridCol w:w="109"/>
        <w:gridCol w:w="109"/>
        <w:gridCol w:w="109"/>
        <w:gridCol w:w="1911"/>
        <w:gridCol w:w="1911"/>
        <w:gridCol w:w="270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Cellular base station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Satellite and terrestrial broadband access equipment</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Microwave backhaul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Optical and cable networking equipment for data center and carrier providers</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Data centers and data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40" w:after="283"/>
        <w:ind w:left="0" w:right="0" w:firstLine="495"/>
        <w:jc w:val="left"/>
        <w:rPr/>
      </w:pPr>
      <w:r>
        <w:rPr>
          <w:rFonts w:ascii="Times New Roman;sans-serif" w:hAnsi="Times New Roman;sans-serif"/>
          <w:b/>
          <w:i/>
          <w:color w:val="000000"/>
          <w:sz w:val="20"/>
        </w:rPr>
        <w:t>Consumer</w:t>
      </w:r>
      <w:r>
        <w:rPr>
          <w:color w:val="000000"/>
        </w:rPr>
        <w:t xml:space="preserve"> — </w:t>
      </w:r>
      <w:r>
        <w:rPr>
          <w:rFonts w:ascii="Times New Roman;sans-serif" w:hAnsi="Times New Roman;sans-serif"/>
          <w:b w:val="false"/>
          <w:color w:val="000000"/>
          <w:sz w:val="20"/>
        </w:rPr>
        <w:t>To address the market demand for state of the art personal and professional entertainment systems and the consumer demand for high quality user interfaces, music, movies and photographs, we have developed analog, digital and mixed-signal and power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and battery management. These products include:</w:t>
      </w:r>
    </w:p>
    <w:tbl>
      <w:tblPr>
        <w:tblW w:w="10205" w:type="dxa"/>
        <w:jc w:val="left"/>
        <w:tblInd w:w="0" w:type="dxa"/>
        <w:tblLayout w:type="fixed"/>
        <w:tblCellMar>
          <w:top w:w="28" w:type="dxa"/>
          <w:left w:w="28" w:type="dxa"/>
          <w:bottom w:w="28" w:type="dxa"/>
          <w:right w:w="28" w:type="dxa"/>
        </w:tblCellMar>
      </w:tblPr>
      <w:tblGrid>
        <w:gridCol w:w="2660"/>
        <w:gridCol w:w="2334"/>
        <w:gridCol w:w="2347"/>
        <w:gridCol w:w="109"/>
        <w:gridCol w:w="109"/>
        <w:gridCol w:w="109"/>
        <w:gridCol w:w="740"/>
        <w:gridCol w:w="740"/>
        <w:gridCol w:w="1057"/>
      </w:tblGrid>
      <w:tr>
        <w:trPr/>
        <w:tc>
          <w:tcPr>
            <w:tcW w:w="266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Portable devices (smart phones, tablets and wearable devices) for media and vital signs monitoring applications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Prosumer audio/video equipment</w:t>
            </w:r>
          </w:p>
        </w:tc>
      </w:tr>
    </w:tbl>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See Note 4, </w:t>
      </w:r>
      <w:r>
        <w:rPr>
          <w:rFonts w:ascii="Times New Roman;sans-serif" w:hAnsi="Times New Roman;sans-serif"/>
          <w:b w:val="false"/>
          <w:i/>
          <w:color w:val="000000"/>
          <w:sz w:val="20"/>
        </w:rPr>
        <w:t>Industry, Segment and Geographic Information</w:t>
      </w:r>
      <w:r>
        <w:rPr>
          <w:rFonts w:ascii="Times New Roman;sans-serif" w:hAnsi="Times New Roman;sans-serif"/>
          <w:b w:val="false"/>
          <w:color w:val="000000"/>
          <w:sz w:val="20"/>
        </w:rPr>
        <w:t>, of the Notes to Consolidated Financial Statements contained in Part II, Item 8 of this Annual Report on Form 10-K for further information about our products by end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competitive performance in the marketplace for integrated circuits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 We compete with a number of semiconductor companies in markets that are highly competitive.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sales are subject to a varying degree of seasonality. Historically, sales to customers during our first fiscal quarter have been lower than other quarters due to plant shutdowns at some of our customers.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number of factors should be used to assess future customer demand, including backlog, macroeconomic trends, customer insights and current customer bookings as compared to billings (book-to-bill) ratio. We define backlog to mean firm orders from a customer or distributor with a requested delivery date within thirteen weeks. However, backlog may be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within a reasonable notification period or deliveries to be delayed by customers without significant penalty, while also allowing certain distributors to receive price adjustment credits and to return qualifying products for credit, typically as determined by us, in order to reduce the amounts of slow-moving, discontinued or obsolete product from their inventory.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Production Resources</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 We utilize, develop and employ a wide variety of manufacturing processes, primarily based on bipolar and complementary metal-oxide semiconductor (CMOS) transistors, which are specifically tailored for use in fabricating high-performance analog, DSP and mixed-signal ICs. Devices such as MEMS, </w:t>
      </w:r>
      <w:r>
        <w:rPr>
          <w:rFonts w:ascii="Times New Roman;sans-serif" w:hAnsi="Times New Roman;sans-serif"/>
          <w:b w:val="false"/>
          <w:i/>
          <w:color w:val="000000"/>
          <w:sz w:val="20"/>
        </w:rPr>
        <w:t>i</w:t>
      </w:r>
      <w:r>
        <w:rPr>
          <w:rFonts w:ascii="Times New Roman;sans-serif" w:hAnsi="Times New Roman;sans-serif"/>
          <w:b w:val="false"/>
          <w:color w:val="000000"/>
          <w:sz w:val="20"/>
        </w:rPr>
        <w:t>Coupler® isolators and various sensors are fabricated using specialized processes, which typically use substantially similar equipment as bipolar and CMOS processes.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IC products are fabricated on proprietary processes at our internal production facilities in Wilmington, Massachusetts; Camas, Washington; Beaverton, Oregon; and Limerick, Ireland and also on a mix of proprietary and non-proprietary processes at third-party wafer fabricators. We currently source more than half of our wafer requirements annually from third-party wafer fabrication foundries, such as Taiwan Semiconductor Manufacturing Company (TSMC) and others, and the remainder is sourced internally. In addition, we operate an assembly, wafer sort and testing facility in Penang, Malaysia and wafer sort and test facilities in the Philippines and Thailand. We also make extensive use of third-party subcontractors for the assembly and testing of our products.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we work to balance these constraints by shifting global resources and capacity where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Patents and Intellectual Property Rights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November 2, 2024, we held approximately 4,660 U.S. patents and approximately 470 published pending U.S. patent applications.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Although it is generally our policy to seek patent protection for significant inventions that may be patented,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activities are subject to various federal, state, local and foreign laws and regulations, including those related to financial and other disclosures, accounting standards, corporate governance, intellectual property, tax, trade, including import, export and customs, antitrust, environment, health and safety, employment, immigration and travel, cybersecurity, privacy, data protection and localization and anti-corruption. These laws and regulations may differ among jurisdictions, and compliance with them may have a materially adverse impact on our business and results of operations. For more information about these potential impacts, see the section titled “Risk Factors—Risks Related to Cyber, Artificial Intelligence, Intellectual Property, Legal and Regulatory” of this Annual Report on Form 10-K.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Environment, Social and Governance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signatory to the United Nations Global Compact and the Business Ambition for 1.5°C campaign, as well as a member of the Responsible Business Alliance. Our Environment, Social and Governance (ESG) aspirations and programs, including our climate targets and our approach to ethical business conduct and ethics and applying fair labor standards, are communicated in our 2023 ESG Report. The ESG Report is available on our website at www.analog.com/corporate-responsibility. The contents of our website and the information contained in our ESG Report are not incorporated by reference into this Annual Report on Form 10-K.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commitment to ESG, we have implemented an oversight structure which includes a quarterly reporting cadence both to senior management and the Nominating and Corporate Governance Committee of the Board of Directors. These quarterly reports include updates on programs, as well as updates on topics such as stakeholder value, risks and opportunities, regulatory preparedness and key ESG focus areas.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programs and management systems in place to protect the environment and the health and safety of our employees, customers and the public. We endeavor to adhere to applicable environment, health and safety (EHS) regulatory and industry standards across all of our facilities, and to encourage pollution prevention, reduce our water and energy consumption, manage waste streams to divert from landfills and strive towards continual improvement. We strive to achieve excellence in EHS management practices as an integral part of our total quality management system.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EHS management systems in all of our manufacturing facilities are certified to ISO 14001:2015 for environmental management and ISO 45001:2018 for occupation health and safety. Our industrial hygiene surveillance program is designed to minimize and prevent exposures in the workplace. We use two industry standard metrics to assess injury performance and trends worldwide. In fiscal 2024 and fiscal 2023, our global injury rates were lower than the U.S. semiconductor industry benchmark.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substance content in jurisdictions where we do business. Contracts with many of our customers reflect these and additional EHS compliance standards. Substance content of our products includes materials that are subject to reporting requirements, including conflict minerals. Compliance with these laws and regulations has not had a material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our capital expenditures, earnings, financial condition or competitive position. There can be no assurance, however, that current or future environmental laws and regulations will not impose costly requirements upon us. Any failure by us to comply with applicable EHS laws, regulations and contractual obligations could result in fines, suspension of production, the need to alter manufacturing processes and legal liability.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Human Capital and Empowerment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was founded on the principle that people are our greatest asset. Our future success depends in large part on the continued service of our key technical and senior management personnel, and on our ability to continue to attract, retain and motivate qualified employees, particularly highly-skilled engineers involved in the design, development, support and manufacture of new and existing products and processes. In order for us to attract the best talent, we aim to offer challenging work in an environment that enables our employees to learn, grow and reach their full potential.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Core to our empowerment strategy is embracing diversity and building a culture of inclusion across the organization. We are working to achieve this by expanding the diversity of our workforce, creating growth and development opportunities for our employees, embracing different perspectives and fostering an inclusive work environment for all. In addition, we encourage employees to develop different networks, which contribute to our broader diversity and inclusion initiatives. Our current employee networks include the Analog Veterans Network, Neurodiversity Network, People of Color and Allies Network, Pride Network, Women’s Leadership Network, Young Professionals Network, the Green Team and the Communities Activities Board. As noted in “Environment, Social and Governance” above, we published our 2023 ESG Report which details our sustainability efforts, operations efficiency, employee engagement and governance, and also provides a look at the state of our organization and an overview of some of the initiatives we have launched to drive continuous improvements across diversity and inclusion.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November 2, 2024, we had approximately 24,000 employees, of whom approximately 13,000 are in engineering roles. Approximately 62% of our workforce is male and 38% female. Our senior leadership team is 64% male and 36% female, while manager roles are approximately 75% male and 25% female. 36% of the members of our Board of Directors are female. For fiscal 2024, our voluntary employee turnover rate was approximately 8%. </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and striving to achieve equal pay for equal work regardless of gender, race or ethnicity. We use a combination of fixed and variable pay including base salary, bonuses, performance awards and equity compensation. The principal purposes of our equity incentive plans are to attract, retain and motivate selected employees and directors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education assistance; paid counseling assistance; backup child and adult care; adoption support; and family college planning. For further information concerning our equity incentive plans, see Note 3, </w:t>
      </w:r>
      <w:r>
        <w:rPr>
          <w:rFonts w:ascii="Times New Roman;sans-serif" w:hAnsi="Times New Roman;sans-serif"/>
          <w:b w:val="false"/>
          <w:i/>
          <w:color w:val="000000"/>
          <w:sz w:val="20"/>
        </w:rPr>
        <w:t>Stock-based Compensation and Shareholders’ Equity,</w:t>
      </w:r>
      <w:r>
        <w:rPr>
          <w:color w:val="000000"/>
        </w:rPr>
        <w:t xml:space="preserve"> </w:t>
      </w:r>
      <w:r>
        <w:rPr>
          <w:rFonts w:ascii="Times New Roman;sans-serif" w:hAnsi="Times New Roman;sans-serif"/>
          <w:b w:val="false"/>
          <w:color w:val="000000"/>
          <w:sz w:val="20"/>
        </w:rPr>
        <w:t>of the Notes to Consolidated Financial Statements contained in Part II, Item 8 of this Annual Report on Form 10-K.</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In order to ensure that we are meeting our human capital objectives we frequently utilize employee surveys to understand the effectiveness of our employee and compensation programs and where we can improve across the company. Our latest survey completed in fiscal 2024 had a 92% participation rate among all employees and the survey results indicated employee satisfaction in areas such as purpose, demonstrating culture, fostering belonging, aligning with our strategy and leadership commitment, while also supporting decision speed and reducing barriers to execution. Our dual focus of being a great place to work and providing industry-leading benefits and work culture has led to strong employee satisfaction and pride that has been recognized across the globe, as evidenced with the following awards: </w:t>
      </w:r>
      <w:r>
        <w:rPr>
          <w:rFonts w:ascii="Times New Roman;sans-serif" w:hAnsi="Times New Roman;sans-serif"/>
          <w:b w:val="false"/>
          <w:i/>
          <w:color w:val="000000"/>
          <w:sz w:val="20"/>
        </w:rPr>
        <w:t xml:space="preserve">TIME </w:t>
      </w:r>
      <w:r>
        <w:rPr>
          <w:rFonts w:ascii="Times New Roman;sans-serif" w:hAnsi="Times New Roman;sans-serif"/>
          <w:b w:val="false"/>
          <w:color w:val="000000"/>
          <w:sz w:val="20"/>
        </w:rPr>
        <w:t xml:space="preserve">World’s Best Companies (2024, 2023), </w:t>
      </w:r>
      <w:r>
        <w:rPr>
          <w:rFonts w:ascii="Times New Roman;sans-serif" w:hAnsi="Times New Roman;sans-serif"/>
          <w:b w:val="false"/>
          <w:i/>
          <w:color w:val="000000"/>
          <w:sz w:val="20"/>
        </w:rPr>
        <w:t>Forbes</w:t>
      </w:r>
      <w:r>
        <w:rPr>
          <w:color w:val="000000"/>
        </w:rPr>
        <w:t xml:space="preserve"> </w:t>
      </w:r>
      <w:r>
        <w:rPr>
          <w:rFonts w:ascii="Times New Roman;sans-serif" w:hAnsi="Times New Roman;sans-serif"/>
          <w:b w:val="false"/>
          <w:color w:val="000000"/>
          <w:sz w:val="20"/>
        </w:rPr>
        <w:t xml:space="preserve">America’s Best Large Employers (2024), </w:t>
      </w:r>
      <w:r>
        <w:rPr>
          <w:rFonts w:ascii="Times New Roman;sans-serif" w:hAnsi="Times New Roman;sans-serif"/>
          <w:b w:val="false"/>
          <w:i/>
          <w:color w:val="000000"/>
          <w:sz w:val="20"/>
        </w:rPr>
        <w:t>Forbes</w:t>
      </w:r>
      <w:r>
        <w:rPr>
          <w:color w:val="000000"/>
        </w:rPr>
        <w:t xml:space="preserve"> </w:t>
      </w:r>
      <w:r>
        <w:rPr>
          <w:rFonts w:ascii="Times New Roman;sans-serif" w:hAnsi="Times New Roman;sans-serif"/>
          <w:b w:val="false"/>
          <w:color w:val="000000"/>
          <w:sz w:val="20"/>
        </w:rPr>
        <w:t xml:space="preserve">America’s Best Employers for Diversity (2024), </w:t>
      </w:r>
      <w:r>
        <w:rPr>
          <w:rFonts w:ascii="Times New Roman;sans-serif" w:hAnsi="Times New Roman;sans-serif"/>
          <w:b w:val="false"/>
          <w:i/>
          <w:color w:val="000000"/>
          <w:sz w:val="20"/>
        </w:rPr>
        <w:t>Forbes</w:t>
      </w:r>
      <w:r>
        <w:rPr>
          <w:color w:val="000000"/>
        </w:rPr>
        <w:t xml:space="preserve"> </w:t>
      </w:r>
      <w:r>
        <w:rPr>
          <w:rFonts w:ascii="Times New Roman;sans-serif" w:hAnsi="Times New Roman;sans-serif"/>
          <w:b w:val="false"/>
          <w:color w:val="000000"/>
          <w:sz w:val="20"/>
        </w:rPr>
        <w:t xml:space="preserve">America’s Best Employers by State (2023), </w:t>
      </w:r>
      <w:r>
        <w:rPr>
          <w:rFonts w:ascii="Times New Roman;sans-serif" w:hAnsi="Times New Roman;sans-serif"/>
          <w:b w:val="false"/>
          <w:i/>
          <w:color w:val="000000"/>
          <w:sz w:val="20"/>
        </w:rPr>
        <w:t xml:space="preserve">The Boston Globe’s </w:t>
      </w:r>
      <w:r>
        <w:rPr>
          <w:rFonts w:ascii="Times New Roman;sans-serif" w:hAnsi="Times New Roman;sans-serif"/>
          <w:b w:val="false"/>
          <w:color w:val="000000"/>
          <w:sz w:val="20"/>
        </w:rPr>
        <w:t xml:space="preserve">Top Places to Work (2023), and </w:t>
      </w:r>
      <w:r>
        <w:rPr>
          <w:rFonts w:ascii="Times New Roman;sans-serif" w:hAnsi="Times New Roman;sans-serif"/>
          <w:b w:val="false"/>
          <w:i/>
          <w:color w:val="000000"/>
          <w:sz w:val="20"/>
        </w:rPr>
        <w:t>Forbes</w:t>
      </w:r>
      <w:r>
        <w:rPr>
          <w:color w:val="000000"/>
        </w:rPr>
        <w:t xml:space="preserve"> </w:t>
      </w:r>
      <w:r>
        <w:rPr>
          <w:rFonts w:ascii="Times New Roman;sans-serif" w:hAnsi="Times New Roman;sans-serif"/>
          <w:b w:val="false"/>
          <w:color w:val="000000"/>
          <w:sz w:val="20"/>
        </w:rPr>
        <w:t>World’s Top Female Friendly Companies (2022).</w:t>
      </w:r>
    </w:p>
    <w:p>
      <w:pPr>
        <w:pStyle w:val="TextBody"/>
        <w:bidi w:val="0"/>
        <w:spacing w:before="1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35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and elsewhere in this report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For more information, see the section titled “Note About Forward-Looking Statements” of this Annual Report on Form 10-K. </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Business, Operations, Industry and Partners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Global political and economic uncertainty and adverse conditions related to our international operations could materially and adversely affect our business, financial condition and results of operations.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As a result of our international operations, our business, financial condition and results of operations could be negatively impacted by, among others, the following factors: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political, legal and economic changes, crises or instability and civil unrest that may impact markets in which we do business, such as macroeconomic weakness related to trade and political disputes between the United States and Europe or China, tensions across the Taiwan Strait that may adversely affect our operations in Taiwan, our customers and the technology industry supply chain, and the ongoing conflicts between Russia and Ukraine and in Israel and the Middle East;</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compliance requirements of customs and export regulations, including the Export Administration Regulations and the International Traffic and Arms Regulations;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currency conversion risks and exchange rate and interest rate fluctuations, including the potential impact of elevated interest rates;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instability of global credit and financial markets due to adverse macroeconomic conditions such as elevated inflation, high interest rates, bank failures and slower economic growth or recession that could, among other impacts, affect our ability to timely access external financing sources on acceptable terms or lead to financial difficulties or uncertainty of our customers, suppliers and distributors exposing us to late payments, cancelled orders and inventory challenges;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trade policy, commercial, travel, export or taxation disputes or restrictions, import or export tariffs, changes to export classifications or other restrictions imposed by the U.S. government or by the governments of the countries in which we do business, particularly with respect to China;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sanctions imposed by governments in countries in which we do business;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complex, varying and changing government regulations and legal standards and requirements, particularly with respect to tax, price protection, competition practices, export control, customs, immigration, anti-boycott, AI, data privacy, cyber and product security, sustainability, climate and other ESG matters, intellectual property, anti-corruption, including the Foreign Corrupt Practices Act, and environmental compliance;</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economic disruption from terrorism and threats of terrorism and the response to them by the United States and its allies;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increased managerial complexities, including different employment practices and labor issues;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in immigration laws, regulations and procedures and enforcement practices of various government agencies;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greater difficulty enforcing intellectual property rights and weaker laws protecting such rights;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natural disasters, public health emergencies, such as the COVID-19 pandemic, or other catastrophic events;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transportation disruptions and delays and increases in labor and transportation costs;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fluctuations in raw material costs and energy costs due to general market factors and conditions such as inflationary pressures and supply chain constraints;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greater difficulty in accounts receivable collections and longer collection periods; and</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increased costs associated with our foreign defined benefit pension plans.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factors and risks are present and may be exacerbated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The incoming administration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indicated that it intends to impose or significantly increase tariffs on imports to the United States, which could exacerbate many of these issues. In addition, expanded export restrictions limit our ability to sell to certain Chinese companies and to third parties that do business with those companies.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 In addition, our success may be adversely affected by China’s continuously evolving policies, laws and regulations, including those relating to imports and exports, antitrust, AI, cybersecurity, data protection and data privacy, the environment, indigenous innovation, the promotion of a domestic semiconductor industry, intellectual property rights and enforcement and protection of those rights.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markets for semiconductor products are cyclical, and increased production may lead to overcapacity and lower prices, and conversely, we may not be able to satisfy unexpected demand for our products.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cyclical nature of the semiconductor industry has resulted in periods when demand for our products has increased or decreased rapidly. The demand for our products may vary based on market conditions in our major end markets. Demand in these end markets can fluctuate significantly based upon, for example, consumer spending, consumer preferences, the development of new technologies and macroeconomic conditions. If we overbuild inventory in a period of decreased demand, or we expand our operations and workforce too rapidly or procure excessive resources in anticipation of increased demand for our products, and that demand does not materialize at the pace at which we expect, or declines, our operating results may be adversely affected as a result of underutilization of capacity, charges related to obsolete inventory, asset impairment or inventory write-downs, increased operating expenses or reduced margins. For example, we have experienced, and may in the future experience, periods of customer inventory adjustments and other customer behaviors that may adversely affect our operating results. Further, any capacity expansions by us or other semiconductor manufacturers could also lead to overcapacity in our target markets which could lead to price erosion that could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rely on third parties for supply of raw materials and parts, semiconductor wafer foundry services, assembly and test services and transportation, among other things, and we generally cannot control their availability or conditions of supply or services.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and plan to continue to rely, on third-party suppliers and service providers, including raw material and components suppliers, semiconductor wafer foundries, assembly and test contractors and freight carriers (collectively, vendors), in manufacturing and shipping our products. This reliance involves several risks, including reduced control over availability, capacity utilization, delivery schedules, manufacturing yields, costs and supply chain allocations. We currently source more than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tensions across the Taiwan Strait or other geopolitical events could disrupt TSMC’s operations, which would adversely affect our ability to manufacture certain products and as a result, could adversely affect our business and results of operations.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processes require availability of certain raw materials and supplies. Limited or delayed access to these items, including as a result of, global trade issues, supply chain constraints, difficulties obtaining import or export licenses, natural disasters, public health emergencies or changes in or new laws or regulations,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reputational harm or the temporary or permanent loss of customers, and as a result could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industry faces challenges associated with products diverted from authorized distribution channels, which could result in reputational harm and have a material adverse effect on our business and results of operations.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products directly and through third-party distributors. In the past, certain of our products have been, and there is a risk that our products may continue to be, diverted from our authorized distribution channels and sold on the “gray market” in ways that are not in accordance with our established agreements, controls, policies and procedures. Purchasers that acquire our products via the gray market or through other unauthorized channels may resell or otherwise use our products for purposes for which they were not intended or that may be contrary to our ethical, legal and regulatory obligations. Organizations may also purchase counterfeit or substandard products, including products that have been altered, mishandled or damaged, or purchase used products presented as new, each of which could result in damage to property or persons and adversely affect our reputation and customer satisfaction. In addition, governments and regulatory bodies may inquire into our processes to mitigate risks related to product diversion. For example, during 2024, we participated in an inquiry from the U.S. Senate Permanent Subcommittee on Investigations related to the unauthorized misuse of U.S. chips in Russian weapon systems. As new challenges and information arise, our processes and policies will evolve, and we may be required to incur additional costs to continue to enhance our compliance efforts, which may include costs associated with distributor audits or responding to inquiries from governments and regulatory bodies. These situations could have a material adverse effect on our reputation and business and operating results.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prolonged disruption of our or our third parties’ manufacturing operations could have a material adverse effect on our business, financial condition and results of operations.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leveraging an outsourcing model for certain manufacturing operations, we also rely on our internal manufacturing operations located in the United States, Ireland, the Philippines, Thailand and Malaysia. A prolonged disruption at, or inability to utilize, one or more of our or our third parties’ manufacturing facilities, loss of raw materials or damage to our or our third parties’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operating results are dependent on the performance of independent distributors.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to third-party distributors accounted for approximately 58% of our revenue in the year ended November 2, 2024. These independent distributors generally represent product lines offered by several companies and thus could reduce their sales efforts for our products. Further, our distributors could terminate their representation of us with little advance notice. In addition,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business, and if we are unable to find suitable replacements with the appropriate scale and resources, our operating results could be adversely affected.</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future success depends upon our ability to execute our business strategy, continue to innovate, improve our existing products, design, develop, produce and market new products and identify and enter new markets.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significantly depends on our ability to execute our business strategy, continue to innovate, improve our existing products and design, develop, produce and market innovative new products and system-level solutions, including those that may incorporate, or are based upon, software or AI technology.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and regulatory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and regulatory standards and technical requirements may adversely affect demand for our products and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Further, there can be no assurance that the markets we serve and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future revenue, gross margins, operating results, net income and earnings per share are difficult to predict and may materially fluctuate.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revenue, gross margins, operating results, net income and earnings per share are difficult to predict and may be materially affected by a number of factors, including:</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effects of adverse economic or geopolitical conditions in the markets in which we sell our products, including inflationary pressures, which has resulted, and may continue to result, in increased interest rates, fuel prices, wages and other costs;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in customer demand or order patterns for our products or for end products that incorporate our products;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timing, delay, reduction or cancellation of significant customer orders and our ability to manage inventory;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our ability to accurately forecast distributor demand for our products;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future distributor pricing credits or stock rotation rights;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our ability to effectively manage our cost structure in both the short term and over a longer duration;</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in geographic, product or customer mix;</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changes in our effective tax rates, adverse tax decisions or new or revised tax legislation in the United States, Ireland or worldwide;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including with respect to China;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timing of new product announcements or introductions, including products that may incorporate, or are based upon, software or AI technology, by us, our customers or our competitors and the market acceptance of such products;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pricing decisions and competitive pricing pressures;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fluctuations in manufacturing yields, adequate availability of wafers and other raw materials, and manufacturing, assembly and test capacity;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ability of our third-party suppliers, subcontractors and manufacturers to supply us with sufficient quantities of raw materials, products and components;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 decline in infrastructure spending by foreign governments, including China;</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political changes in the United States, including those related to the incoming administration and executive offices of the U.S. government, a decline in the U.S. government defense budget, changes in spending or budgetary priorities, a prolonged U.S. government shutdown or delays in contract awards;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 decline in our backlog;</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our ability to recruit, hire, retain and motivate adequate numbers of engineers and other qualified employees to meet the demands of our customers;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our ability to generate new design opportunities and win competitive bid selection processes;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the increasing costs of providing employee benefits worldwide, including health insurance, retirement and pension plan contributions and other retirement benefits;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our ability to utilize our manufacturing facilities at efficient levels;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litigation-related costs or product liability, warranty and indemnity claims, including those not covered by our suppliers or insurers;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difficulties inherent in forecasting future operating expense levels, including with respect to costs associated with labor, utilities, transportation and raw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the costs related to compliance with increasing worldwide complex government regulations and legal standards and requirements, including those related to ESG matters;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new accounting pronouncements or changes in existing accounting standards and practices; and</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effects of public health emergencies, civil unrest, natural disasters or other severe weather events, widespread travel disruptions, security risks, terrorist activities, international conflicts and other events beyond our control.</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that products stocked in our inventory will not be rendered obsolete before we ship them or that we will be able to design, develop and produce products in a timely fashion to accommodate changing customer demand.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may not be able to compete successfully in markets within the semiconductor industry in the future.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United States, including entities associated with well-funded efforts by foreign governments to create indigenous semiconductor industries. 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to the extent that the incoming administration modifies or repeals the CHIPS Act, the availability of any such incentives may be even less certain. Further, such programs typically require companies to adhere to various performance obligations, which we may not achieve. If our competitors can benefit from such government incentives and we cannot, it could strengthen our competitors’ relative position and have a material adverse effect on our reputation and business. Existing or new competitors may develop products or technologies that more effectively address the demands of our customers and markets with enhanced performance, features and functionality, lower power requirements, greater levels of integration or lower cost, which may increase our obsolete or excess inventory and result in inventory write-offs. In addition, as we seek to expand our business, including the design and production of products and services for developing and emerging markets, we may encounter increased competition from our current and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If we are unable to recruit or retain our key personnel, our ability to execute our business strategy will be adversely affected.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and the labor market is tight. The loss of key personnel or the inability to attract, timely hire and retain key employees with critical technical skills to achieve our strategy, including as a result of changes to immigration policies, and the increased uncertainty surrounding such policies in light of the incoming administration’s expected immigration agenda, could cause business disruptions, increased expenses to address any disruptions and could have a material adverse effect on our business.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contributor to our success to date has been our corporate culture, which we have built to foster innovation, teamwork and employee satisfaction. As we grow, including from the integration of employees and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 connection with previous or future acquisitions, we may find it difficult to maintain important aspects of our corporate culture, which could negatively affect our ability to retain and recruit personnel who are essential to our future success.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any key person life insurance policy on any of our officers or other employees. The loss of one or more of our key employees, and any failure to have in place and execute an effective succession plan for key executives, could seriously harm our business and results of operations.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customers typically do not make long-term product purchase commitments, and incorrect forecasts or reductions, cancellations or delays in orders for our products could adversely affect our operating results.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lower-than-expected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The foregoing risks may be exacerbated in times of macroeconomic uncertainty, including as a result of elevated inflation, high interest rates, bank failures and slower economic growth or recession. Incorrect forecasts, or reductions, cancellations or delays in orders for our products, could adversely affect our operating results.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semiconductor products are complex and we may be subject to warranty, indemnity or product liability claims, which could result in significant costs and damage to our reputation and adversely affect customer relationships, the market acceptance of our products and our operating results.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Semiconductor products are highly complex and may contain defects that affect their quality or performance. Failures in our products and services or in the products of our customers could result in damage to our reputation for reliability and increase our legal or financial exposure to third parties. Certain of our products and services, including those that may incorporate, or are based upon, software or AI technology, could also contain security vulnerabilities, defects, bugs and errors, which could also result in significant data losses, security 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security vulnerabilities, defects, bugs or errors,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reputation and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Acquisitions and Strategic Transactions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To remain competitive, we may need to invest in or acquire other companies, purchase or license technology from third parties, or enter into other strategic transactions in order to introduce new products or enhance our existing products.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identify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United States and abroad, governmental regulation of acquisitions, including antitrust and other regulatory reviews and approvals, has become more complex, increasing the costs and risks of undertaking, and may prevent us from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also involve a number of challenges and risks, including:</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diversion of management’s attention in connection with both negotiating the transaction and integrating the acquired assets and businesses;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difficulty or delay integrating acquired technologies, operations, processes, policies, procedures, systems, technologies, infrastructure and personnel with our existing businesses;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strain on managerial and operational resources as management oversees larger or more complex operations;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future funding requirements for acquired companies, including research and development costs, employee compensation and benefits, and operating expenses, which may be significant;</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servicing significant debt that may be incurred in connection with acquisitions;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potential loss of key employees;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exposure to unforeseen liabilities or regulatory compliance issues of acquired companies;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higher than expected or unexpected acquisition or integration costs;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difficulty realizing expected cost savings, operating synergies and growth prospects of an acquisition in a timely manner or at all; and</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increased risk of costly and time-consuming legal proceedings.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address these risks, we may not realize some or all of the expected benefits of our acquisitions, which may have an adverse effect on our business strategy, plans and operating results.</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Risks Related to Cyber, Artificial Intelligence, Intellectual Property, Legal and Regulatory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computer systems and networks are subject to attempted security breaches and other cyber incidents and a significant disruption in, or breach in security of, our information technology systems or certain products could materially and adversely affect our business or reputation.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In addition, we provide our confidential and proprietary information to our strategic partners in certain cases, who may maintain such information on their information technology systems. While in the past we have experienced cybersecurity attacks and incidents, we believe that they have not had a material impact on our business. Our security measures or those of our third-party service providers or strategic partners may not detect or prevent security breaches, cyberattacks, defects, bugs or errors. Further, geopolitical tensions and conflicts have escalated the volume and sophistication of cyberattacks. Because the tactics and techniques used by threat actors to obtain unauthorized access to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Our use of AI may also increase vulnerability to cybersecurity risks, including through unauthorized use or misuse of AI tools and bad inputs or logic or the introduction of malicious code incorporated into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generated code. AI and machine learning also may be used for certain cybersecurity attacks, improving or expanding the existing capabilities of threat actors in manners we cannot predict at this time, resulting in greater risks of security incidents and breaches. We and our third-party service providers or strategic partners are susceptible to security breaches of information technology systems or certain products and other incidents such as unauthorized access, supply-chain attacks, exfiltration or destruction of data, disruption of service, viruses or other malicious code, illegal break-ins or hacking, sabotage, phishing attempts and other forms of social engineering, malware, ransomware and other forms of cyber extortion and similar events. These threats may come from cybercriminals, cyberterrorists and hacktivists, nation-state and nation-state-supported actors (including advanced persistent threat intrusions) and computer hackers. They also may result from the malicious or accidental acts of our employees, contractors or third-party providers. In the event of unauthorized access to, or a security breach of, our systems or those of our third-party service providers or strategic partners, our operations may be disrupted and our proprietary information or that of our employees, contractors, partners, customers, suppliers or other third parties may be misappropriated. In the event of a cybersecurity attack or incident, we could be exposed to potential liability, litigation, and regulatory action, as well as the loss of existing or potential customers, damage to our reputation and other financial loss. In addition, the cost and operational consequences of responding to breaches and implementing remediation measures could be significant. Furthermore, the continuing and evolving threat of cyberattacks has resulted in increased regulatory focus and we may be required to invest significant additional resources to comply with evolving cybersecurity regulations. For example, the SEC adopted rules requiring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and those of our third-party service providers and strategic partners may also be susceptible to damage, disruptions or shutdowns due to power outages, hardware failures, telecommunication failures, user errors, catastrophes or other unforeseen events. A prolonged disruption in the information technology systems that involve our internal communications or our interactions with customers or suppliers, could result in the loss of sales and customers and significant incremental costs, which could adversely affect our business.</w:t>
      </w:r>
    </w:p>
    <w:p>
      <w:pPr>
        <w:pStyle w:val="TextBody"/>
        <w:bidi w:val="0"/>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face risks related to the use of AI in our business operations, products and services.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incorporating AI capabilities into the development of technologies and our business operations and into our products and services. The development and deployment of AI involves significant competitive, legal, regulatory and other risks. The implementation of AI is costly, requires a significant amount of data and there can be no assurance that AI will enhance our products or services or be beneficial to our business, including our efficiency or profitability. In addition, we face significant competition from other companies that are incorporating AI into their products and technologies. These other companies may incorporate AI in products or technologies that are similar to, or that customers perceive as superior to, our technologies or are more cost-effective to develop and deploy. AI technology is complex and rapidly evolving, and if we are unable to innovate quickly enough to keep pace with these rapid technological developments, our business could be harmed.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AI technology may also give rise to significant legal and regulatory liability. Governments around the world have adopted, and may continue to adopt, laws and regulations related to AI, including the European Union’s AI Act, and several U.S. government agencies have increased investigations and enforcement efforts related to the use of AI technology, which could increase our compliance costs and limit our ability to use AI in the development of our products and services. While the incoming administration has signaled that AI policy will be a priority, the scope and impact of any such policies cannot yet be determined. In addition, the use of AI in the development of our products and services, or by our customers in end products that incorporate our products, could cause loss of intellectual property, or subject us to risks related to intellectual property infringement or misappropriation, data privacy or cybersecurity. AI algorithms or training methodologies may also be flawed, and datasets may contain irrelevant, insufficient or biased information. Further, AI technology has many applications, and our products could be used in applications that are not in accordance with our controls, policies and procedures. Any failure or perceived failure by us to comply with any legal or regulatory requirement could subject us to legal liabilities, damage our reputation or otherwise adversely affect our business.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may be unable to adequately protect our proprietary intellectual property rights, which may limit our ability to compete effectively.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parties may obtain or disclose our confidential information, reverse engineer or copy our technologies, products or processes, make unlicensed copies or engage in unapproved distributions of our technology for unauthorized uses, or otherwise misappropriate our intellectual property. Moreover, the laws of foreign countries in which we design, manufacture, market and sell our products may afford little or no effective protection of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may improperly use our proprietary information at their employer.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If we fail to comply with U.S. and foreign laws related to privacy, data security and data protection, it could adversely affect our operating results and financial condition.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or may become subject to a variety of laws and regulations such as the European Union’s General Data Protection Regulation (GDPR), China’s Personal Information Protection Law (PIPL), or California’s Consumer Privacy Act (CCPA) regarding privacy, data protection and data security. These laws and regulations are continuously evolving and developing. The scope and interpretation of the laws that are or may be applicable to us are often uncertain and may be conflicting, particularly with respect to foreign laws.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For example, the GDPR and PIPL include operational requirements for companies that receive or process personal data of residents of the European Union or China, as applicable, that are broader and more stringent than those in many other jurisdictions around the world. The GDPR includes significant penalties for non-compliance, and China’s PIPL imposes additional operational requirements relating to processing personal information and provides comprehensive penalty and enforcement mechanisms. In the United States, California enacted the CCPA that requires covered companies to provide additional disclosures and data rights to data subjects, including employees. The California Privacy Rights Act expands the CCPA and establishes the California Privacy Protection Agency to enforce Californians’ privacy rights under the CCPA. Since the CCPA was enacted, other states, including Virginia and Colorado, have enacted or are in the process of enacting comprehensive privacy schemes.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compliance with, and other burdens imposed by, the GDPR, CCPA and similar laws may limit the use and adoption of our products and services and require us to incur substantial compliance costs, which could have an adverse impact on our business. Further, our product offerings in the digital healthcare solutions space, which include the collection and processing of sensitive personal information, subject us to heightened requirements under data privacy laws, such as the Health Insurance Portability and Accountability Act.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scope, interpretation and application of these laws and regulations are often uncertain and may be in conflict across jurisdictions, it is possible that these obligations may be interpreted and applied in a manner that is inconsistent from one jurisdiction to another and may conflict with other rules or our practices. Any failure or perceived failure by us or third-party service providers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are occasionally involved in litigation, administrative proceedings, and regulatory proceedings, which could be costly to resolve and could require us to redesign products, pay significant royalties or fines or refrain from engaging in specific conduct. </w:t>
      </w:r>
    </w:p>
    <w:p>
      <w:pPr>
        <w:pStyle w:val="TextBody"/>
        <w:bidi w:val="0"/>
        <w:spacing w:lineRule="auto" w:line="288" w:before="140" w:after="283"/>
        <w:ind w:left="0" w:right="0" w:firstLine="540"/>
        <w:jc w:val="left"/>
        <w:rPr/>
      </w:pPr>
      <w:r>
        <w:rPr>
          <w:rFonts w:ascii="Times New Roman;sans-serif" w:hAnsi="Times New Roman;sans-serif"/>
          <w:b w:val="false"/>
          <w:color w:val="000000"/>
          <w:sz w:val="20"/>
          <w:shd w:fill="FFFFFF" w:val="clear"/>
        </w:rPr>
        <w:t xml:space="preserve">From time to time, we are involved in various legal, administrative and regulatory proceedings, claims, demands and investigations relating to our business, including inquiries from and discussions with government entities regarding the compliance of our contracting and sales practices with laws and regulations, which may result in claims, fines or penalties with respect to commercial, product liability, intellectual property, AI, cybersecurity, privacy, data protection, antitrust, breach of contract, employment, class action, whistleblower, mergers and acquisitions and other matters. </w:t>
      </w:r>
      <w:r>
        <w:rPr>
          <w:rFonts w:ascii="Times New Roman;sans-serif" w:hAnsi="Times New Roman;sans-serif"/>
          <w:b w:val="false"/>
          <w:color w:val="000000"/>
          <w:sz w:val="20"/>
        </w:rPr>
        <w:t xml:space="preserve">We could also be subject to litigation or arbitration disputes arising under our contractual obligations, customer indemnity, warranty or product liability claims, or other matters that could lead to significant costs and expenses as we defend those claims or pay damage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w:t>
      </w:r>
    </w:p>
    <w:p>
      <w:pPr>
        <w:pStyle w:val="TextBody"/>
        <w:bidi w:val="0"/>
        <w:spacing w:lineRule="auto" w:line="288" w:before="140" w:after="283"/>
        <w:ind w:left="0" w:right="0" w:firstLine="540"/>
        <w:jc w:val="left"/>
        <w:rPr/>
      </w:pPr>
      <w:r>
        <w:rPr>
          <w:rFonts w:ascii="Times New Roman;sans-serif" w:hAnsi="Times New Roman;sans-serif"/>
          <w:b w:val="false"/>
          <w:color w:val="000000"/>
          <w:sz w:val="20"/>
          <w:shd w:fill="FFFFFF" w:val="clear"/>
        </w:rPr>
        <w:t>These matters can be time-consuming, divert management’s attention and resources and cause us to incur significant expenses. Allegations made in the course of regulatory or legal proceedings may also harm our reputation, regardless of whether there is merit to such claims. Because litigation and the outcome of regulatory proceedings are inherently unpredictable, our business, financial condition or operating results could be materially affected by one or more of these proceedings, claims, demands or investigations.</w:t>
      </w:r>
      <w:r>
        <w:rPr>
          <w:color w:val="000000"/>
        </w:rPr>
        <w:t xml:space="preserve"> </w:t>
      </w:r>
      <w:r>
        <w:rPr>
          <w:rFonts w:ascii="Times New Roman;sans-serif" w:hAnsi="Times New Roman;sans-serif"/>
          <w:b w:val="false"/>
          <w:color w:val="000000"/>
          <w:sz w:val="20"/>
        </w:rPr>
        <w:t>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Environmental, social and governance matters may have an adverse effect on our business, financial condition and results of operations, and damage our brand and reputation.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investors, customers, employees and potential talent, as well as other stakeholders, concerning ESG matters, including climate change and sustainability, human rights, support for local communities, Board of Directors’ and employee diversity, human capital management, employee health and safety practices, product quality, worker rights, supply chain management and corporate governance and transparency. If our ESG practices fail to meet our or the evolving expectations of investors, customers, employees or other stakeholders, our reputation, brand and employee retention may be negatively impacted, and our customers and suppliers may be unwilling to continue to do business with us. Current and prospective investors are increasingly utilizing ESG data to inform their decisions, including investment and voting decisions, using a multitude of evolving score and rating frameworks. Further, customers utilize ESG data to inform their purchasing decisions. Additionally, public interest and legislative and regulatory pressure related to companies’ ESG practices, including those related to sourcing practices, carbon emissions and human rights protections, continue to grow. This will require us to align our programs to such expectations and disclose an increasing amount of information and data to illustrate our position and progress and to support our customers to comply with regulations and other requirements. If we do not adapt our strategy or execution quickly enough to meet evolving regulatory requirements or the expectations of our investors, customers, employees, regulators or other stakeholders, or if our ESG disclosures, including data input, processing and reporting, are incomplete or inaccurate, our business, financial condition, results of operations, brand and reputation could be adversely affected.</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are subject to environment, health and safety standards and hazards which have the potential to adversely affect our business, increase our expenses and adversely affect our reputation.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subject to EHS requirements and laws, particularly those that control and restrict the sourcing, use, transportation, emission, discharge, storage and disposal of certain substances and materials and those that help promote the health and safety of our employees and the communities in which we operate. For certain facilities, we are required to obtain environmental permits from governmental authorities for our operations, which may limit or restrict our operations. In addition, our operations may be interrupted or restricted by the phase-out or ban of certain substances, materials or processes, which may impact the sourcing, supply and pricing of materials used in manufacturing our products. For example, several jurisdictions have sought or may seek to restrict the use of per- and polyfluoroalkyl substances (PFAS), which may be found in process chemicals, parts, components and other materials used in semiconductor manufacturing and have limited technically and commercially feasible alternatives. Any such restriction in our ability to access supplies may adversely affect our results of operations. Further, public attention to environmental and social responsibility remains high, and our customers routinely include stringent environmental and other standards in their contracts with us. It is expected that there will be changes to EHS laws or regulations by the incoming administration, but the impacts of any such changes on us are not currently known. Changes in EHS laws or regulations, uncertainties about those laws or regulations, or customer requirements may require us to invest in equipment, make manufacturing process or material changes or re-assess current and planned expenditures and initiatives, any of which could adversely affect our business, financial condition and results of operations.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use hazardous and other regulated materials that subject us to risks of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liability for damages and remediation;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the imposition of regulatory penalties and civil and criminal fines;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the suspension or termination of the development, manufacture, sale or use of certain of our products;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to our manufacturing processes or a need to substitute materials that may cost more or be less available;</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damage to our reputation; or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increased expenses associated with compliance.</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If we fail to comply with government contracting regulations, we could suffer a loss of revenue or incur price adjustments or other penalties.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 Further, United States government contracts contain provisions and are subject to laws and regulations that may give the United States government rights and remedies not typically found in commercial contracts, including certain intellectual property rights and restrictions on future business.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United States government business, we are subject to evolving procurement rules and regulations, as well as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 and reputation.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some of our government subcontracts, we are required to maintain secure facilities and to obtain security clearances for personnel involved in performance of the contract, which can be time consuming and costly. If we are unable to comply with these requirements, or if personnel critical to our performance of these contracts are unable to obtain or maintain their security clearances, we may be unable to perform these contracts or compete for other projects of this nature, which could adversely affect our revenue.</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Damage to our reputation can damage our business. </w:t>
      </w:r>
    </w:p>
    <w:p>
      <w:pPr>
        <w:pStyle w:val="TextBody"/>
        <w:bidi w:val="0"/>
        <w:spacing w:lineRule="auto" w:line="288" w:before="140" w:after="283"/>
        <w:ind w:left="0" w:right="0" w:firstLine="540"/>
        <w:jc w:val="left"/>
        <w:rPr/>
      </w:pPr>
      <w:r>
        <w:rPr>
          <w:rFonts w:ascii="Times New Roman;sans-serif" w:hAnsi="Times New Roman;sans-serif"/>
          <w:b w:val="false"/>
          <w:color w:val="262626"/>
          <w:sz w:val="20"/>
        </w:rPr>
        <w:t>Our reputation is a critical factor in our relationships with customers, employees, governments, suppliers and other stakeholders. Our failure to address, or the appearance of our failure to address, issues that give rise to reputational risk, including those described in this Risk Factors section, could significantly harm our reputation and our brands.</w:t>
      </w:r>
      <w:r>
        <w:rPr>
          <w:color w:val="000000"/>
        </w:rPr>
        <w:t xml:space="preserve"> </w:t>
      </w:r>
      <w:r>
        <w:rPr>
          <w:rFonts w:ascii="Times New Roman;sans-serif" w:hAnsi="Times New Roman;sans-serif"/>
          <w:b w:val="false"/>
          <w:color w:val="262626"/>
          <w:sz w:val="20"/>
        </w:rPr>
        <w:t xml:space="preserve">We may be subject to reputational risks and our brand loyalty may decline if others adopt the same or confusingly similar marks in an effort to misappropriate and profit on our brand name and do not provide the same level of quality as is delivered by our solutions and services. It may also limit our ability to be seen as an employer of choice when competing for highly skilled employees and repairing our reputation and brands may be difficult, time-consuming, and expensive. To the extent we fail to respond quickly and effectively to address corporate and brand crises, the ensuing negative public reaction could significantly harm our reputation and our brands, which could lead to increases in litigation claims and asserted damages or subject us to regulatory actions or restrictions. If we fail to maintain, enhance and protect our brands, if we incur excessive expenses in this effort or if customers or potential customers are confused by others’ trademarks, our business, operating results and financial condition may be materially and adversely affected.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Increases in our effective tax rate, exposure to additional tax liabilities, or substantial changes in domestic or international corporate tax policies, regulations or guidance may adversely impact our results of operations.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reflects the applicable tax rate in effect in the various tax jurisdictions around the world where our income is earned. Our effective tax rate for the fiscal year ended November 2, 2024 was below the U.S. federal statutory rate of 21%. This is primarily due to lower statutory tax rates applicable to our operations in the foreign jurisdictions in which we earn income.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 could adversely impact our net income during future periods.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Tax legislation and regulation may require the collection of information not regularly produced by us, and therefore necessitate the use of estimates in our Consolidated Financial Statements and the exercise of significant judgment in accounting for its provisions, which may subject us to additional tax liability, tax examination and other risks. As regulations and guidance evolve with respect to tax legislation and regulation, and as more information is gathered and analyzed, our results may differ from previous estimates and may materially affect our Consolidated Financial Statements. Further, we are subject to, and are under tax examination and audit in various jurisdictions, including an IRS income tax audit for the fiscal years ended October 30, 2021, November 2, 2019 (fiscal 2019) and November 3, 2018; a pre-Acquisition IRS income tax audit for Maxim Integrated Products, Inc.’s (Maxim) fiscal years ended June 27, 2015 through August 26, 2021; and various U.S. state and local tax audits and international audits, including an Irish corporate tax audit for fiscal 2019. Such jurisdictions may assess additional income tax against us. The final determination of tax audits or any administrative appeals relating thereto could be materially different from our income tax provisions and accruals. The ultimate result of any current or future audit could have a material adverse effect on our results of operations and cash flows in the period or periods for which that determination is made.</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laws and regulations in various jurisdictions that determine how much profit has been earned and when it is subject to taxation in that jurisdiction. In the United States, for example, the Inflation Reduction Act (IRA) imposes a 15% book minimum tax on corporations with three-year average annual adjusted financial statement income exceeding $1 billion. We do not believe that the IRA will materially impact our effective tax rate. Corporate tax reform, anti-base-erosion rules and tax transparency continue to be high legislative or regulatory priorities in many jurisdictions. Changes in laws and regulations regarding these matters could impact the jurisdictions where we are deemed to earn income, which could in turn adversely affect our tax liability and results of operations. For example, the Organization for Economic Cooperation and Development’s (OECD) Base Erosion and Profit Sharing Plans, which implement a minimum global effective tax rate of 15%, will apply to us beginning in fiscal year 2025. We continue to monitor potential impacts related to this legislation as countries implement it and the OECD provides additional guidance. As additional jurisdictions enact such legislation, our effective tax rate and cash tax payments could increase. </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Financial Markets, Indebtedness and Capital Return</w:t>
      </w:r>
    </w:p>
    <w:p>
      <w:pPr>
        <w:pStyle w:val="TextBody"/>
        <w:bidi w:val="0"/>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have substantial existing indebtedness and the ability to incur significant additional indebtedness, which could limit our operations and our use of our cash flow and negatively impact our credit ratings.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we had approximately $7.6 billion in outstanding indebtedness, including $0.5 billion of short-term commercial paper. In addition, we had the ability to incur approximately $2.0 billion of additional indebtedness in direct borrowings under our outstanding commercial paper facility based on amounts available under our unsecured revolving credit facility that were not being used to backstop our outstanding commercial paper balance. Our leverage could have negative consequences, including increasing our vulnerability to adverse economic and industry conditions, limiting our ability to obtain additional financing and limiting our ability to acquire new products and technologies through strategic acquisitions. Further, our net interest expense is exposed to changes in market interest rates. We may also incur additional debt, including debt with variable interest rates, in the future, which would exacerbate these risks.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payments of principal and interest on our indebtedness when due depends upon our future operating performance, which may be impacted by general economic conditions, industry cycles and other factors beyond our control. If we are unable to service or refinance our debt, we may be required to divert funds that would otherwise be invested in growing our business operations or returned to shareholders, repatriate earnings as dividends from foreign locations with potential negative tax consequences, or sell selected assets. 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In addition, if our credit ratings are downgraded or put on watch for a potential downgrade, the applicable interest rate on borrowings under our current revolving credit facility and commercial paper issuances may rise and our ability to obtain additional financing or refinance our existing debt may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Restrictions in our revolving credit facility and outstanding debt instruments may limit our activities.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revolving credit facility and outstanding debt instruments impose, and future debt instruments to which we may become subject may impose, restrictions that limit our ability to engage in activities that could otherwise benefit us,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requires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 we may be restricted from further borrowing under our revolving credit facility.</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may not meet expectations or targets in connection with our “green” financing arrangements, which could harm our reputation and business.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“green” financing arrangements that require us to use proceeds for environmental sustainability purposes or have targets related to environmental sustainability. For example, we entered into a revolving credit agreement on June 23, 2021, which, as amended, contains a sustainability-linked pricing component, which provides for interest rate and facility fee reductions or increases based on meeting or missing targets related to environmental sustainability, specifically greenhouse gas emissions and renewable energy usage. For calendar year 2023, we exceeded the target thresholds for greenhouse gas emissions and renewable energy usage related to this sustainability-linked pricing component, which resulted in immaterial adjustments to administrative and interest fees due under the facility. On October 5, 2021, we issued $750 million sustainability-linked senior notes (Sustainability-Linked Senior Notes). Our Sustainability-Linked Senior Notes initially bear interest at a rate of 1.7% per annum and are subject to an increase of an additional 30 basis points per annum from April 1, 2026 to their maturity on October 1, 2028 unless the Sustainability Performance Target (as defined in the Sustainability-Linked Senior Notes) has been satisfied. Failing to use the net proceeds under green financing arrangements that satisfies investor criteria and expectations regarding environmental impact or achieve targets related to environmental sustainability under such financing arrangements could result in reputational harm and our business and operating results could be negatively impacted.</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not able to meet our U.S. cash requirements, it may be necessary for us to consider repatriation of foreign earnings, which could have a material adverse effect on our results of operations and financial condition.</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However, we require a substantial amount of cash in the United States for operating requirements, stock repurchases, cash dividends and acquisitions. If we are not able to meet our U.S. cash requirements through operations, borrowings under our current revolving credit facility, issuances under our commercial paper program,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results of operations could be affected by natural disasters or other catastrophic events in the locations in which we or our key partners operate.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extreme precipitation and flooding, public health emergencies or other catastrophic events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or to access key raw materials, utilities and equipment as a result of fire, flood, natural disaster, unavailability of utilities or otherwise, could result in a temporary or permanent loss of customers for affected products, which could have a material adverse effect on our results of operations and financial condition. In addition, global climate change may result in certain natural disasters or other severe weather events occurring more frequently or with greater intensity, such as drought, wildfires, storms, sea-level rise, extreme temperatures and flooding, and could disrupt the availability of water necessary for the operation of our fabrication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The long-term effects of climate change on the global economy and the semiconductor industry in particular are unclear, but could be severe.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stock price may be volatile. </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as it may be significantly affected by factors including:</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global economic conditions generally;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crises in global credit, debt and financial markets;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actual or anticipated fluctuations in our revenue and operating results;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in financial estimates or other statements made by securities analysts or others in analyst reports or other publications, or our failure to perform in line with those estimates or statements or our published guidance;</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financial results and prospects of our customers;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U.S. and foreign government actions, including with respect to trade, travel, export and taxation; </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changes in market valuations of other semiconductor companies;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rumors and speculation in the press, investment community or on social media about us, our customers or other companies in our industry;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alleged noncompliance with laws, regulations or ethics standards by us or any of our employees, officers or directors; and</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negative media publicity targeting us or our suppliers, customers or competitors.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stock market has historically experienced volatility, especially within the semiconductor industry, that often has been unrelated to the performance of particular companies, such as the response to elevated inflation and high interest rates. These market fluctuations may cause our stock price to fall regardless of our operating results.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135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enterprise security program, we perform risk assessments relating to cybersecurity and technology risks. Our enterprise security program has been developed based on industry standards, including those published by the International Organization for Standardization (ISO) and the National Institute of Standards and Technology. The program includes a comprehensive set of enterprise security policies and procedures that guide our protection strategy. Our policies, procedures and practices include, but are not limited to:</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identifying critical assets and high-risk threats and analyzing identified risks to determine the potential impact on the organization and the likelihood of occurrence;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cybersecurity detection, controls and remediation practices, including vulnerability assessments, penetration testing and tabletop exercises;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incident response and recovery plan that includes escalation protocols, procedures for containment of incidents and investigation and remediation procedures;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installation of and regular updates to antivirus software on all company managed systems and workstations to detect and prevent malicious code from impacting our systems;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conducting regular workforce trainings for employees to identify cybersecurity concerns and educate employees on potential risks and best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evaluating the effectiveness of our program by performing internal assessments;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periodic external audits by an independent third party to test for the adequacy of, and compliance with, controls and standards;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regular collaboration with leading global security providers, intelligence and law enforcement communities and industry peers to exchange information on trends and best practices in order to address new and evolving cybersecurity risks.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place a third-party risk management program to evaluate the cyber postures of our critical partners’ who handle the Company’s sensitive data in order to identify, monitor and address material cybersecurity risks that may arise from such third-party relationships.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experienced cybersecurity incidents in the past, in the last three years we have not experienced any cybersecurity incidents that have materially affected or are currently viewed as reasonably likely to materially affect us, including our business strategy, results of operations or financial condition. However, the scope and impact of any future incidents cannot be predicted and there can be no assurance that our enterprise security program will be effective in preventing material cybersecurity incidents in the future.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risk factor titled “Our computer systems and networks are subject to attempted security breaches and other cyber incidents and a significant disruption in, or breach in security of, our information technology systems or certain products could materially and adversely affect our business or reputation.” in Risk Factors in Part I, Item 1A of this Annual Report on Form 10-K for further information.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assessing and managing our day-to-day risks and control systems, and our Board is responsible for overseeing our enterprise risk management programs as a whole. The Board has delegated the oversight of cybersecurity risk assessment and management to the audit committee. As reflected in its charter, the audit committee is responsible for overseeing and reviewing the Company’s cybersecurity and information security programs, practices and risk mitigation efforts. The audit committee receives quarterly reports on cybersecurity risks, or more frequent reports if circumstances dictate.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 cross-functional Cybersecurity Steering Committee, comprised of our Chief Information Officer (CIO), our Chief Information Security Officer (CISO) and other senior management. The Cybersecurity Steering Committee is charged with overseeing the management of our enterprise security program, including reviewing and prioritizing cybersecurity risks, monitoring potential incidents, establishing key mitigation initiatives, overseeing cybersecurity governance and promoting and supporting cybersecurity best practices. The Cybersecurity Steering Committee is chaired by our CISO, who reports to our CIO. Both our CISO and our CIO have extensive experience in assessing and managing cybersecurity programs and risk management through serving in various senior roles in information technology and cybersecurity, serving on external Boards of Directors and holding multiple industry-recognized certifications.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prevention, detection, mitigation and remediation of cybersecurity incidents is accomplished pursuant to various policies, procedures and processes, including our incident response and recovery plan and the other elements of our enterprise security program described above under “Risk Management and Strategy.” These measures include escalation protocols through which the Cybersecurity Steering Committee is informed about cybersecurity and incidents by our CISO. As part of our enterprise security program, we have communication processes enabled for employees to identify and report threats or potential vulnerabilities.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CIO and CISO provide regular updates to the full Board on the performance of, and enhancements to, key information technology projects, our enterprise security program and risk mitigation efforts, including relevant findings of the Cybersecurity Steering Committee. The full Board also receives updates from the audit committee. In addition, there are protocols in place for immediate escalation in the event of any cybersecurity issues or developments that may require consideration between regularly scheduled audit committee or Board meetings. Our internal audit team also provides regular updates to the audit committee on the performance of our enterprise security program from an internal audit perspective. In addition, our Chief Compliance and Risk Officer, who oversees our overall enterprise risk management and compliance programs and chairs our Enterprise Risk Management Committee, provides regular reports to the full Board, including periodic updates on 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other operations are conducted in several locations worldwide. The following tables provide certain information about our significant general offices and manufacturing facilities:</w:t>
      </w:r>
    </w:p>
    <w:tbl>
      <w:tblPr>
        <w:tblW w:w="10205" w:type="dxa"/>
        <w:jc w:val="left"/>
        <w:tblInd w:w="0" w:type="dxa"/>
        <w:tblLayout w:type="fixed"/>
        <w:tblCellMar>
          <w:top w:w="28" w:type="dxa"/>
          <w:left w:w="28" w:type="dxa"/>
          <w:bottom w:w="28" w:type="dxa"/>
          <w:right w:w="28" w:type="dxa"/>
        </w:tblCellMar>
      </w:tblPr>
      <w:tblGrid>
        <w:gridCol w:w="784"/>
        <w:gridCol w:w="592"/>
        <w:gridCol w:w="596"/>
        <w:gridCol w:w="109"/>
        <w:gridCol w:w="109"/>
        <w:gridCol w:w="109"/>
        <w:gridCol w:w="2068"/>
        <w:gridCol w:w="2016"/>
        <w:gridCol w:w="2036"/>
        <w:gridCol w:w="109"/>
        <w:gridCol w:w="109"/>
        <w:gridCol w:w="109"/>
        <w:gridCol w:w="425"/>
        <w:gridCol w:w="425"/>
        <w:gridCol w:w="609"/>
      </w:tblGrid>
      <w:tr>
        <w:trPr/>
        <w:tc>
          <w:tcPr>
            <w:tcW w:w="78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Sq. Ft.</w:t>
            </w:r>
          </w:p>
        </w:tc>
      </w:tr>
      <w:tr>
        <w:trPr/>
        <w:tc>
          <w:tcPr>
            <w:tcW w:w="1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Cavite, Philippines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probe and testing, warehouse, engineering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1,486,000 sq. ft.</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Wilmington,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headquarters, wafer fabrication, testing, engineering, sales, marketing and administrative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826,000 sq. ft.</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Limerick, 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 wafer probe and testing, warehouse and distribution, engineering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708,500 sq. ft.</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Penang, Malaysia </w:t>
            </w: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Wafer probe and testing, assembly and engineering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697,000 sq. ft.</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Beaverton, 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 engineering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458,000 sq. ft.</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sales, marketing and administrative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441,000 sq. ft.</w:t>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Chonburi Province, 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probe and testing, warehouse, engineering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194,000 sq. ft.</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Chelmsford,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assembly of certain module and subsystem-level products, testing, engineering and administrative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174,000 sq. ft.</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Camas,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97,000 sq. ft.</w:t>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8"/>
        <w:gridCol w:w="438"/>
        <w:gridCol w:w="445"/>
        <w:gridCol w:w="109"/>
        <w:gridCol w:w="109"/>
        <w:gridCol w:w="109"/>
        <w:gridCol w:w="1278"/>
        <w:gridCol w:w="1261"/>
        <w:gridCol w:w="1274"/>
        <w:gridCol w:w="109"/>
        <w:gridCol w:w="109"/>
        <w:gridCol w:w="109"/>
        <w:gridCol w:w="419"/>
        <w:gridCol w:w="419"/>
        <w:gridCol w:w="423"/>
        <w:gridCol w:w="109"/>
        <w:gridCol w:w="109"/>
        <w:gridCol w:w="109"/>
        <w:gridCol w:w="334"/>
        <w:gridCol w:w="334"/>
        <w:gridCol w:w="338"/>
        <w:gridCol w:w="109"/>
        <w:gridCol w:w="109"/>
        <w:gridCol w:w="109"/>
        <w:gridCol w:w="419"/>
        <w:gridCol w:w="419"/>
        <w:gridCol w:w="598"/>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Renewals</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Bangalore,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175,000 sq. 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five-yr.</w:t>
              <w:br/>
              <w:t>period</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Durham, 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Testing, engineering, and administrative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156,000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five-yr. periods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marketing and administrative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102,000 sq. 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five-yr.</w:t>
              <w:br/>
              <w:t>period</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(1)Leases on the land used for this owned facility expire in 2054 through 2057.</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In addition to the properties listed in the above tables,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2039. We do not anticipate experiencing significant difficulty in retaining occupancy of any of our facilities through lease renewals prior to expiration or through month-to-month occupancy, or in replacing them with equivalent facilities. For information concerning our obligations under all operating leases, see Note 9, </w:t>
      </w:r>
      <w:r>
        <w:rPr>
          <w:rFonts w:ascii="Times New Roman;sans-serif" w:hAnsi="Times New Roman;sans-serif"/>
          <w:b w:val="false"/>
          <w:i/>
          <w:color w:val="000000"/>
          <w:sz w:val="20"/>
        </w:rPr>
        <w:t>Leases</w:t>
      </w:r>
      <w:r>
        <w:rPr>
          <w:rFonts w:ascii="Times New Roman;sans-serif" w:hAnsi="Times New Roman;sans-serif"/>
          <w:b w:val="false"/>
          <w:color w:val="000000"/>
          <w:sz w:val="20"/>
        </w:rPr>
        <w:t>, of the Notes to Consolidated Financial Statements contained in Part II, Item 8 of this Annual Report on Form 10-K.</w:t>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From time to time in the ordinary course of our business, we are involved in various claims, charges and litigation arising from, or related to, among other things, contractual matters, patents, trademarks, personal injury, environmental matters, product liability, insurance coverage, employment or employee benefits. As to such claims and litigation, we can give no assurance that we will prevail. We do not believe that any current legal matters will have a material adverse effect on our financial position, results of operations or cash flows. For information regarding material pending legal proceedings in which we are involved, see Note 10,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of the Notes to Consolidated Financial Statements contained in Part II, Item 8 of this Annual Report on Form 10-K.</w:t>
      </w:r>
    </w:p>
    <w:p>
      <w:pPr>
        <w:pStyle w:val="TextBody"/>
        <w:bidi w:val="0"/>
        <w:spacing w:before="1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ADI. The number of holders of record of our common stock at November 22, 2024 was 2,230. This number does not include shareholders for whom shares are held in a “nominee” or “street” name. On November 1, 2024, the last reported sales price of our common stock on The Nasdaq Global Select Market was $225.48 per share.</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25, 2024, our Board of Directors declared a cash dividend of $0.92 per outstanding share of common stock. The dividend will be paid on December 20, 2024 to all shareholders of record at the close of business on December 9, 2024 and is expected to total approximately $456.6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equity compensation plans and the securities authorized for issuance thereunder is set forth in Item 12 of this Annual Report on Form 10-K.</w:t>
      </w:r>
    </w:p>
    <w:p>
      <w:pPr>
        <w:pStyle w:val="TextBody"/>
        <w:bidi w:val="0"/>
        <w:spacing w:lineRule="auto" w:line="288" w:before="26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activity related to stock repurchases for the three months ended November 2, 2024. We have an ongoing authorization, originally approved by our Board of Directors in 2004, and subsequently amended, to repurchase shares of our common stock in open market or negotiated transactions. As of November 2, 2024, the Company had repurchased a total of approximately 207.7 million shares of its common stock for approximately $15.0 billion under our share repurchase program. An additional $1.7 billion remains available for repurchase of shares under the current authorized program. Future repurchases of common stock will be dependent upon our financial position, results of operations, outlook, liquidity and other factors we deem relevant. </w:t>
      </w:r>
    </w:p>
    <w:tbl>
      <w:tblPr>
        <w:tblW w:w="10205" w:type="dxa"/>
        <w:jc w:val="left"/>
        <w:tblInd w:w="0" w:type="dxa"/>
        <w:tblLayout w:type="fixed"/>
        <w:tblCellMar>
          <w:top w:w="28" w:type="dxa"/>
          <w:left w:w="28" w:type="dxa"/>
          <w:bottom w:w="28" w:type="dxa"/>
          <w:right w:w="28" w:type="dxa"/>
        </w:tblCellMar>
      </w:tblPr>
      <w:tblGrid>
        <w:gridCol w:w="1126"/>
        <w:gridCol w:w="777"/>
        <w:gridCol w:w="789"/>
        <w:gridCol w:w="109"/>
        <w:gridCol w:w="109"/>
        <w:gridCol w:w="109"/>
        <w:gridCol w:w="542"/>
        <w:gridCol w:w="420"/>
        <w:gridCol w:w="421"/>
        <w:gridCol w:w="109"/>
        <w:gridCol w:w="109"/>
        <w:gridCol w:w="109"/>
        <w:gridCol w:w="261"/>
        <w:gridCol w:w="892"/>
        <w:gridCol w:w="134"/>
        <w:gridCol w:w="109"/>
        <w:gridCol w:w="109"/>
        <w:gridCol w:w="109"/>
        <w:gridCol w:w="569"/>
        <w:gridCol w:w="466"/>
        <w:gridCol w:w="467"/>
        <w:gridCol w:w="109"/>
        <w:gridCol w:w="109"/>
        <w:gridCol w:w="109"/>
        <w:gridCol w:w="251"/>
        <w:gridCol w:w="1592"/>
        <w:gridCol w:w="190"/>
      </w:tblGrid>
      <w:tr>
        <w:trPr/>
        <w:tc>
          <w:tcPr>
            <w:tcW w:w="112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w:t>
              <w:br/>
              <w:t>Per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as Part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Publicly Announced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Shares that</w:t>
              <w:br/>
              <w:t>May Yet Be Purchased</w:t>
              <w:br/>
              <w:t xml:space="preserve">Under the Plans or Programs </w:t>
            </w:r>
          </w:p>
        </w:tc>
      </w:tr>
      <w:tr>
        <w:trPr/>
        <w:tc>
          <w:tcPr>
            <w:tcW w:w="2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2024 through August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143,269 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95,944 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1,712,491,367 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through September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102,240 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1,689,594,092 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29, 2024 through November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1,652,367,857 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422,253 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361,752 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1,652,367,857 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w:t>
      </w:r>
    </w:p>
    <w:p>
      <w:pPr>
        <w:pStyle w:val="TextBody"/>
        <w:bidi w:val="0"/>
        <w:spacing w:lineRule="auto" w:line="288" w:before="60" w:after="283"/>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60,501 shares withheld by us from employees to satisfy employee tax obligations upon vesting of restricted stock units/awards granted to our employees under our equity compensation plans. </w:t>
      </w:r>
    </w:p>
    <w:p>
      <w:pPr>
        <w:pStyle w:val="TextBody"/>
        <w:bidi w:val="0"/>
        <w:spacing w:lineRule="auto" w:line="288" w:before="60" w:after="283"/>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(2)The average price paid for shares in connection with vesting of restricted stock units/awards are averages of the closing stock prices at the vesting dates which are used to calculate the number of shares to be withheld.</w:t>
      </w:r>
    </w:p>
    <w:p>
      <w:pPr>
        <w:pStyle w:val="TextBody"/>
        <w:bidi w:val="0"/>
        <w:spacing w:before="60" w:after="283"/>
        <w:ind w:left="0" w:right="0" w:hanging="90"/>
        <w:jc w:val="left"/>
        <w:rPr/>
      </w:pPr>
      <w:r>
        <w:rPr/>
      </w:r>
    </w:p>
    <w:p>
      <w:pPr>
        <w:pStyle w:val="TextBody"/>
        <w:bidi w:val="0"/>
        <w:spacing w:before="1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60" w:after="283"/>
        <w:jc w:val="left"/>
        <w:rPr>
          <w:rFonts w:ascii="Times New Roman;sans-serif" w:hAnsi="Times New Roman;sans-serif"/>
          <w:b/>
          <w:color w:val="000000"/>
          <w:sz w:val="20"/>
        </w:rPr>
      </w:pPr>
      <w:r>
        <w:rPr>
          <w:rFonts w:ascii="Times New Roman;sans-serif" w:hAnsi="Times New Roman;sans-serif"/>
          <w:b/>
          <w:color w:val="000000"/>
          <w:sz w:val="20"/>
        </w:rPr>
        <w:t>Comparative Stock Performance Graph</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cumulative total shareholder return on our common stock since November 2, 2019 with the cumulative total return of the Standard &amp; Poor’s (S&amp;P) 500 Index and the S&amp;P Semiconductors Index. This graph assumes the investment of $100 on November 2, 2019 in our common stock, the S&amp;P 500 Index and the S&amp;P Semiconductors Index and assumes all dividends are reinvested. Measurement points are the last trading day for each respective fiscal year.</w:t>
      </w:r>
    </w:p>
    <w:p>
      <w:pPr>
        <w:pStyle w:val="TextBody"/>
        <w:bidi w:val="0"/>
        <w:spacing w:before="140" w:after="283"/>
        <w:jc w:val="center"/>
        <w:rPr/>
      </w:pPr>
      <w:r>
        <w:rPr/>
        <w:drawing>
          <wp:inline distT="0" distB="0" distL="0" distR="0">
            <wp:extent cx="6515100" cy="5438775"/>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515100" cy="5438775"/>
                    </a:xfrm>
                    <a:prstGeom prst="rect">
                      <a:avLst/>
                    </a:prstGeom>
                  </pic:spPr>
                </pic:pic>
              </a:graphicData>
            </a:graphic>
          </wp:inline>
        </w:drawing>
      </w:r>
    </w:p>
    <w:p>
      <w:pPr>
        <w:pStyle w:val="TextBody"/>
        <w:bidi w:val="0"/>
        <w:spacing w:before="140" w:after="283"/>
        <w:jc w:val="center"/>
        <w:rPr/>
      </w:pPr>
      <w:r>
        <w:rPr/>
      </w:r>
    </w:p>
    <w:p>
      <w:pPr>
        <w:pStyle w:val="TextBody"/>
        <w:bidi w:val="0"/>
        <w:spacing w:before="140" w:after="283"/>
        <w:ind w:left="0" w:right="0" w:firstLine="495"/>
        <w:jc w:val="left"/>
        <w:rPr/>
      </w:pPr>
      <w:r>
        <w:rPr/>
      </w:r>
    </w:p>
    <w:p>
      <w:pPr>
        <w:pStyle w:val="TextBody"/>
        <w:bidi w:val="0"/>
        <w:spacing w:before="14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 (all tabular amounts in thousands except per share amounts)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includes results of operations and financial condition for the fiscal year ended November 2, 2024 (fiscal 2024) and the fiscal year ended October 28, 2023 (fiscal 2023) and year-over-year comparisons between fiscal 2024 and fiscal 2023. For discussion on results of operations and financial condition for fiscal 2023 and the fiscal year ended October 29, 2022 (fiscal 2022) and year-over-year comparisons between fiscal 2023 and fiscal 2022, please refer to Management’s Discussion and Analysis of Financial Condition and Results of Operations in Part II, Item 7 of our Annual Report on Form 10-K for fiscal 2023 filed with the Securities and Exchange Commission on November 21, 2023. Our fiscal year is the 52-week or 53-week period ending on the Saturday closest to the last day in October. Fiscal 2024 was a 53-week fiscal period, while fiscal 2023 was a 52-week fiscal period. The additional week in fiscal 2024 is included in the first quarter ended February 3, 2024. Therefore, fiscal 2024 includes an additional week of operations as compared to fiscal 2023.</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tbl>
      <w:tblPr>
        <w:tblW w:w="9496" w:type="dxa"/>
        <w:jc w:val="left"/>
        <w:tblInd w:w="0" w:type="dxa"/>
        <w:tblLayout w:type="fixed"/>
        <w:tblCellMar>
          <w:top w:w="28" w:type="dxa"/>
          <w:left w:w="28" w:type="dxa"/>
          <w:bottom w:w="28" w:type="dxa"/>
          <w:right w:w="28" w:type="dxa"/>
        </w:tblCellMar>
      </w:tblPr>
      <w:tblGrid>
        <w:gridCol w:w="906"/>
        <w:gridCol w:w="798"/>
        <w:gridCol w:w="801"/>
        <w:gridCol w:w="211"/>
        <w:gridCol w:w="976"/>
        <w:gridCol w:w="271"/>
        <w:gridCol w:w="109"/>
        <w:gridCol w:w="109"/>
        <w:gridCol w:w="109"/>
        <w:gridCol w:w="211"/>
        <w:gridCol w:w="1081"/>
        <w:gridCol w:w="271"/>
        <w:gridCol w:w="109"/>
        <w:gridCol w:w="109"/>
        <w:gridCol w:w="109"/>
        <w:gridCol w:w="109"/>
        <w:gridCol w:w="109"/>
        <w:gridCol w:w="211"/>
        <w:gridCol w:w="1051"/>
        <w:gridCol w:w="109"/>
        <w:gridCol w:w="109"/>
        <w:gridCol w:w="109"/>
        <w:gridCol w:w="109"/>
        <w:gridCol w:w="218"/>
        <w:gridCol w:w="218"/>
        <w:gridCol w:w="483"/>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Trends by End Market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tbl>
      <w:tblPr>
        <w:tblW w:w="8998" w:type="dxa"/>
        <w:jc w:val="left"/>
        <w:tblInd w:w="0" w:type="dxa"/>
        <w:tblLayout w:type="fixed"/>
        <w:tblCellMar>
          <w:top w:w="28" w:type="dxa"/>
          <w:left w:w="28" w:type="dxa"/>
          <w:bottom w:w="28" w:type="dxa"/>
          <w:right w:w="28" w:type="dxa"/>
        </w:tblCellMar>
      </w:tblPr>
      <w:tblGrid>
        <w:gridCol w:w="547"/>
        <w:gridCol w:w="482"/>
        <w:gridCol w:w="487"/>
        <w:gridCol w:w="211"/>
        <w:gridCol w:w="976"/>
        <w:gridCol w:w="109"/>
        <w:gridCol w:w="109"/>
        <w:gridCol w:w="109"/>
        <w:gridCol w:w="109"/>
        <w:gridCol w:w="259"/>
        <w:gridCol w:w="216"/>
        <w:gridCol w:w="542"/>
        <w:gridCol w:w="109"/>
        <w:gridCol w:w="109"/>
        <w:gridCol w:w="109"/>
        <w:gridCol w:w="218"/>
        <w:gridCol w:w="218"/>
        <w:gridCol w:w="308"/>
        <w:gridCol w:w="109"/>
        <w:gridCol w:w="109"/>
        <w:gridCol w:w="109"/>
        <w:gridCol w:w="211"/>
        <w:gridCol w:w="1081"/>
        <w:gridCol w:w="109"/>
        <w:gridCol w:w="109"/>
        <w:gridCol w:w="109"/>
        <w:gridCol w:w="109"/>
        <w:gridCol w:w="259"/>
        <w:gridCol w:w="216"/>
        <w:gridCol w:w="542"/>
        <w:gridCol w:w="109"/>
        <w:gridCol w:w="109"/>
        <w:gridCol w:w="109"/>
        <w:gridCol w:w="109"/>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1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(1)The su</w:t>
      </w:r>
      <w:r>
        <w:rPr>
          <w:rFonts w:ascii="Times New Roman;sans-serif" w:hAnsi="Times New Roman;sans-serif"/>
          <w:b w:val="false"/>
          <w:color w:val="000000"/>
          <w:sz w:val="20"/>
        </w:rPr>
        <w:t>m of the individual percentages may not equal the total due to rounding.</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Revenue decreased 23% in fiscal 2024 as compared to fiscal 2023 primarily as a result of weaker macroeconomic trends. This was pronounced in our Industrial end market as customers decreased their inventory balances</w:t>
      </w:r>
      <w:r>
        <w:rPr>
          <w:color w:val="EE2724"/>
        </w:rPr>
        <w:t xml:space="preserve"> </w:t>
      </w:r>
      <w:r>
        <w:rPr>
          <w:rFonts w:ascii="Times New Roman;sans-serif" w:hAnsi="Times New Roman;sans-serif"/>
          <w:b w:val="false"/>
          <w:color w:val="000000"/>
          <w:sz w:val="20"/>
        </w:rPr>
        <w:t>and in the Communications end market primarily due to the timing of infrastructure deployment cycles. The Automotive and Consumer end markets declined to a lesser extent as demand weakened driven by reduced consumer spending.</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Sales Channel</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7663" w:type="dxa"/>
        <w:jc w:val="left"/>
        <w:tblInd w:w="0" w:type="dxa"/>
        <w:tblLayout w:type="fixed"/>
        <w:tblCellMar>
          <w:top w:w="28" w:type="dxa"/>
          <w:left w:w="28" w:type="dxa"/>
          <w:bottom w:w="28" w:type="dxa"/>
          <w:right w:w="28" w:type="dxa"/>
        </w:tblCellMar>
      </w:tblPr>
      <w:tblGrid>
        <w:gridCol w:w="532"/>
        <w:gridCol w:w="468"/>
        <w:gridCol w:w="470"/>
        <w:gridCol w:w="211"/>
        <w:gridCol w:w="976"/>
        <w:gridCol w:w="109"/>
        <w:gridCol w:w="109"/>
        <w:gridCol w:w="109"/>
        <w:gridCol w:w="109"/>
        <w:gridCol w:w="259"/>
        <w:gridCol w:w="216"/>
        <w:gridCol w:w="542"/>
        <w:gridCol w:w="109"/>
        <w:gridCol w:w="109"/>
        <w:gridCol w:w="109"/>
        <w:gridCol w:w="211"/>
        <w:gridCol w:w="1081"/>
        <w:gridCol w:w="109"/>
        <w:gridCol w:w="109"/>
        <w:gridCol w:w="109"/>
        <w:gridCol w:w="109"/>
        <w:gridCol w:w="259"/>
        <w:gridCol w:w="216"/>
        <w:gridCol w:w="542"/>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5,505,779 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3,772,945 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9,427,157 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sum of the individual percentages may not equal the total due to rounding.</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in the table above, the percentage of total revenue sold via each channel has remained relatively consistent in the periods presented, but can fluctuate from time to time based on end market revenue trends. As a percentage of total revenue, the decrease in the distributor channel is primarily due to the decrease in revenue in our Industrial end market.</w:t>
      </w:r>
    </w:p>
    <w:p>
      <w:pPr>
        <w:pStyle w:val="TextBody"/>
        <w:bidi w:val="0"/>
        <w:spacing w:lineRule="auto" w:line="288" w:before="2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Trends by Geographic Region</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Geographic revenue information for fiscal 2024 and fiscal 2023 reflects the geographic location of the distributors or OEMs who purchased the Company’s products. This may differ from the geographic location of the end customers particularly in cases where a third-party contract manufacturer purchases the Company’s products through distributors.</w:t>
      </w:r>
    </w:p>
    <w:tbl>
      <w:tblPr>
        <w:tblW w:w="9661" w:type="dxa"/>
        <w:jc w:val="left"/>
        <w:tblInd w:w="0" w:type="dxa"/>
        <w:tblLayout w:type="fixed"/>
        <w:tblCellMar>
          <w:top w:w="28" w:type="dxa"/>
          <w:left w:w="28" w:type="dxa"/>
          <w:bottom w:w="28" w:type="dxa"/>
          <w:right w:w="28" w:type="dxa"/>
        </w:tblCellMar>
      </w:tblPr>
      <w:tblGrid>
        <w:gridCol w:w="1012"/>
        <w:gridCol w:w="886"/>
        <w:gridCol w:w="891"/>
        <w:gridCol w:w="211"/>
        <w:gridCol w:w="976"/>
        <w:gridCol w:w="109"/>
        <w:gridCol w:w="109"/>
        <w:gridCol w:w="109"/>
        <w:gridCol w:w="109"/>
        <w:gridCol w:w="211"/>
        <w:gridCol w:w="1081"/>
        <w:gridCol w:w="109"/>
        <w:gridCol w:w="109"/>
        <w:gridCol w:w="109"/>
        <w:gridCol w:w="109"/>
        <w:gridCol w:w="109"/>
        <w:gridCol w:w="109"/>
        <w:gridCol w:w="211"/>
        <w:gridCol w:w="1051"/>
        <w:gridCol w:w="109"/>
        <w:gridCol w:w="109"/>
        <w:gridCol w:w="109"/>
        <w:gridCol w:w="109"/>
        <w:gridCol w:w="250"/>
        <w:gridCol w:w="250"/>
        <w:gridCol w:w="624"/>
        <w:gridCol w:w="109"/>
        <w:gridCol w:w="109"/>
        <w:gridCol w:w="109"/>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North and South America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(2,878,382)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sum of the individual percentages may not equal the total due to rounding.</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all periods presented, the predominant regions comprising “Rest of North and South America” are Canada and Mexico; the predominant regions comprising “Europe” are Germany, Sweden, Israel and the Netherlands; and the predominant regions comprising “Rest of Asia” are Taiwan, Malaysia, South Korea and Singapore.</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Total revenue decreased in fiscal 2024 as compared to fiscal 2023 in all regions due to weaker macroeconomic conditions as discussed above under the heading </w:t>
      </w:r>
      <w:r>
        <w:rPr>
          <w:rFonts w:ascii="Times New Roman;sans-serif" w:hAnsi="Times New Roman;sans-serif"/>
          <w:b w:val="false"/>
          <w:i/>
          <w:color w:val="000000"/>
          <w:sz w:val="20"/>
        </w:rPr>
        <w:t>Revenue Trends by End Market.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bl>
      <w:tblPr>
        <w:tblW w:w="8281" w:type="dxa"/>
        <w:jc w:val="left"/>
        <w:tblInd w:w="0" w:type="dxa"/>
        <w:tblLayout w:type="fixed"/>
        <w:tblCellMar>
          <w:top w:w="28" w:type="dxa"/>
          <w:left w:w="28" w:type="dxa"/>
          <w:bottom w:w="28" w:type="dxa"/>
          <w:right w:w="28" w:type="dxa"/>
        </w:tblCellMar>
      </w:tblPr>
      <w:tblGrid>
        <w:gridCol w:w="505"/>
        <w:gridCol w:w="444"/>
        <w:gridCol w:w="446"/>
        <w:gridCol w:w="211"/>
        <w:gridCol w:w="976"/>
        <w:gridCol w:w="271"/>
        <w:gridCol w:w="109"/>
        <w:gridCol w:w="109"/>
        <w:gridCol w:w="109"/>
        <w:gridCol w:w="211"/>
        <w:gridCol w:w="976"/>
        <w:gridCol w:w="271"/>
        <w:gridCol w:w="109"/>
        <w:gridCol w:w="109"/>
        <w:gridCol w:w="109"/>
        <w:gridCol w:w="109"/>
        <w:gridCol w:w="109"/>
        <w:gridCol w:w="211"/>
        <w:gridCol w:w="1051"/>
        <w:gridCol w:w="109"/>
        <w:gridCol w:w="109"/>
        <w:gridCol w:w="109"/>
        <w:gridCol w:w="109"/>
        <w:gridCol w:w="218"/>
        <w:gridCol w:w="218"/>
        <w:gridCol w:w="483"/>
        <w:gridCol w:w="109"/>
        <w:gridCol w:w="109"/>
        <w:gridCol w:w="109"/>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5,381,343 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percentage in fiscal 2024 decreased by 690 basis points compared to fiscal 2023, primarily due to lower utilization of our factories due to decreased customer demand and unfavorable product mix.</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(R&amp;D)</w:t>
      </w:r>
    </w:p>
    <w:tbl>
      <w:tblPr>
        <w:tblW w:w="9511" w:type="dxa"/>
        <w:jc w:val="left"/>
        <w:tblInd w:w="0" w:type="dxa"/>
        <w:tblLayout w:type="fixed"/>
        <w:tblCellMar>
          <w:top w:w="28" w:type="dxa"/>
          <w:left w:w="28" w:type="dxa"/>
          <w:bottom w:w="28" w:type="dxa"/>
          <w:right w:w="28" w:type="dxa"/>
        </w:tblCellMar>
      </w:tblPr>
      <w:tblGrid>
        <w:gridCol w:w="1006"/>
        <w:gridCol w:w="881"/>
        <w:gridCol w:w="888"/>
        <w:gridCol w:w="211"/>
        <w:gridCol w:w="976"/>
        <w:gridCol w:w="271"/>
        <w:gridCol w:w="109"/>
        <w:gridCol w:w="109"/>
        <w:gridCol w:w="109"/>
        <w:gridCol w:w="211"/>
        <w:gridCol w:w="976"/>
        <w:gridCol w:w="271"/>
        <w:gridCol w:w="109"/>
        <w:gridCol w:w="109"/>
        <w:gridCol w:w="109"/>
        <w:gridCol w:w="109"/>
        <w:gridCol w:w="109"/>
        <w:gridCol w:w="211"/>
        <w:gridCol w:w="901"/>
        <w:gridCol w:w="109"/>
        <w:gridCol w:w="109"/>
        <w:gridCol w:w="109"/>
        <w:gridCol w:w="109"/>
        <w:gridCol w:w="218"/>
        <w:gridCol w:w="218"/>
        <w:gridCol w:w="483"/>
        <w:gridCol w:w="109"/>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in fiscal 2024 as compared to fiscal 2023 primarily as a result of lower R&amp;D employee related variable compensation expenses, partially offset by the impact of an additional week of operations in fiscal 2024 as compared to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Marketing, General and Administrative (SMG&amp;A)</w:t>
      </w:r>
    </w:p>
    <w:tbl>
      <w:tblPr>
        <w:tblW w:w="9796" w:type="dxa"/>
        <w:jc w:val="left"/>
        <w:tblInd w:w="0" w:type="dxa"/>
        <w:tblLayout w:type="fixed"/>
        <w:tblCellMar>
          <w:top w:w="28" w:type="dxa"/>
          <w:left w:w="28" w:type="dxa"/>
          <w:bottom w:w="28" w:type="dxa"/>
          <w:right w:w="28" w:type="dxa"/>
        </w:tblCellMar>
      </w:tblPr>
      <w:tblGrid>
        <w:gridCol w:w="1108"/>
        <w:gridCol w:w="972"/>
        <w:gridCol w:w="980"/>
        <w:gridCol w:w="211"/>
        <w:gridCol w:w="976"/>
        <w:gridCol w:w="271"/>
        <w:gridCol w:w="109"/>
        <w:gridCol w:w="109"/>
        <w:gridCol w:w="109"/>
        <w:gridCol w:w="211"/>
        <w:gridCol w:w="976"/>
        <w:gridCol w:w="271"/>
        <w:gridCol w:w="109"/>
        <w:gridCol w:w="109"/>
        <w:gridCol w:w="109"/>
        <w:gridCol w:w="109"/>
        <w:gridCol w:w="109"/>
        <w:gridCol w:w="211"/>
        <w:gridCol w:w="901"/>
        <w:gridCol w:w="109"/>
        <w:gridCol w:w="109"/>
        <w:gridCol w:w="109"/>
        <w:gridCol w:w="109"/>
        <w:gridCol w:w="218"/>
        <w:gridCol w:w="218"/>
        <w:gridCol w:w="483"/>
        <w:gridCol w:w="10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SMG&amp;A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SMG&amp;A expenses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SMG&amp;A expenses decreased in fiscal 2024 as compared to fiscal 2023, primarily as a result of lower variable compensation expenses, SMG&amp;A employee related salary and benefit expenses and discretionary spending. The decrease was partially offset by an additional week of operations in fiscal 2024 as compared to fiscal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Intangibles</w:t>
      </w:r>
    </w:p>
    <w:tbl>
      <w:tblPr>
        <w:tblW w:w="9871" w:type="dxa"/>
        <w:jc w:val="left"/>
        <w:tblInd w:w="0" w:type="dxa"/>
        <w:tblLayout w:type="fixed"/>
        <w:tblCellMar>
          <w:top w:w="28" w:type="dxa"/>
          <w:left w:w="28" w:type="dxa"/>
          <w:bottom w:w="28" w:type="dxa"/>
          <w:right w:w="28" w:type="dxa"/>
        </w:tblCellMar>
      </w:tblPr>
      <w:tblGrid>
        <w:gridCol w:w="1244"/>
        <w:gridCol w:w="1093"/>
        <w:gridCol w:w="1098"/>
        <w:gridCol w:w="211"/>
        <w:gridCol w:w="826"/>
        <w:gridCol w:w="271"/>
        <w:gridCol w:w="109"/>
        <w:gridCol w:w="109"/>
        <w:gridCol w:w="109"/>
        <w:gridCol w:w="211"/>
        <w:gridCol w:w="826"/>
        <w:gridCol w:w="271"/>
        <w:gridCol w:w="109"/>
        <w:gridCol w:w="109"/>
        <w:gridCol w:w="109"/>
        <w:gridCol w:w="109"/>
        <w:gridCol w:w="109"/>
        <w:gridCol w:w="211"/>
        <w:gridCol w:w="901"/>
        <w:gridCol w:w="109"/>
        <w:gridCol w:w="109"/>
        <w:gridCol w:w="109"/>
        <w:gridCol w:w="109"/>
        <w:gridCol w:w="218"/>
        <w:gridCol w:w="218"/>
        <w:gridCol w:w="483"/>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expenses as a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expenses decreased in fiscal 2024 as compared to fiscal 2023, primarily as a result of a portion of our acquired intangible assets becoming fully amortized during fiscal 2023.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 Charges, Net</w:t>
      </w:r>
    </w:p>
    <w:tbl>
      <w:tblPr>
        <w:tblW w:w="9510" w:type="dxa"/>
        <w:jc w:val="left"/>
        <w:tblInd w:w="0" w:type="dxa"/>
        <w:tblLayout w:type="fixed"/>
        <w:tblCellMar>
          <w:top w:w="28" w:type="dxa"/>
          <w:left w:w="28" w:type="dxa"/>
          <w:bottom w:w="28" w:type="dxa"/>
          <w:right w:w="28" w:type="dxa"/>
        </w:tblCellMar>
      </w:tblPr>
      <w:tblGrid>
        <w:gridCol w:w="1152"/>
        <w:gridCol w:w="1010"/>
        <w:gridCol w:w="1017"/>
        <w:gridCol w:w="211"/>
        <w:gridCol w:w="721"/>
        <w:gridCol w:w="271"/>
        <w:gridCol w:w="109"/>
        <w:gridCol w:w="109"/>
        <w:gridCol w:w="109"/>
        <w:gridCol w:w="211"/>
        <w:gridCol w:w="826"/>
        <w:gridCol w:w="271"/>
        <w:gridCol w:w="109"/>
        <w:gridCol w:w="109"/>
        <w:gridCol w:w="109"/>
        <w:gridCol w:w="109"/>
        <w:gridCol w:w="109"/>
        <w:gridCol w:w="211"/>
        <w:gridCol w:w="901"/>
        <w:gridCol w:w="109"/>
        <w:gridCol w:w="109"/>
        <w:gridCol w:w="109"/>
        <w:gridCol w:w="109"/>
        <w:gridCol w:w="218"/>
        <w:gridCol w:w="218"/>
        <w:gridCol w:w="483"/>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net as a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rFonts w:ascii="Times New Roman;sans-serif" w:hAnsi="Times New Roman;sans-serif"/>
          <w:b w:val="false"/>
          <w:color w:val="000000"/>
          <w:sz w:val="20"/>
        </w:rPr>
        <w:t xml:space="preserve">Special charges, net decreased in fiscal 2024 as compared to fiscal 2023, primarily due to decreased charges related to our Q4 2023 Plan. See Note 5, </w:t>
      </w:r>
      <w:r>
        <w:rPr>
          <w:rFonts w:ascii="Times New Roman;sans-serif" w:hAnsi="Times New Roman;sans-serif"/>
          <w:b w:val="false"/>
          <w:i/>
          <w:color w:val="000000"/>
          <w:sz w:val="20"/>
        </w:rPr>
        <w:t>Special Charges, Net</w:t>
      </w:r>
      <w:r>
        <w:rPr>
          <w:rFonts w:ascii="Times New Roman;sans-serif" w:hAnsi="Times New Roman;sans-serif"/>
          <w:b w:val="false"/>
          <w:color w:val="000000"/>
          <w:sz w:val="20"/>
        </w:rPr>
        <w:t xml:space="preserve">, of the Notes to Consolidated Financial Statements included in Item 8 of this Annual Report on Form 10-K for more information. </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bl>
      <w:tblPr>
        <w:tblW w:w="9915" w:type="dxa"/>
        <w:jc w:val="left"/>
        <w:tblInd w:w="0" w:type="dxa"/>
        <w:tblLayout w:type="fixed"/>
        <w:tblCellMar>
          <w:top w:w="28" w:type="dxa"/>
          <w:left w:w="28" w:type="dxa"/>
          <w:bottom w:w="28" w:type="dxa"/>
          <w:right w:w="28" w:type="dxa"/>
        </w:tblCellMar>
      </w:tblPr>
      <w:tblGrid>
        <w:gridCol w:w="1096"/>
        <w:gridCol w:w="964"/>
        <w:gridCol w:w="969"/>
        <w:gridCol w:w="211"/>
        <w:gridCol w:w="976"/>
        <w:gridCol w:w="271"/>
        <w:gridCol w:w="109"/>
        <w:gridCol w:w="109"/>
        <w:gridCol w:w="109"/>
        <w:gridCol w:w="211"/>
        <w:gridCol w:w="976"/>
        <w:gridCol w:w="271"/>
        <w:gridCol w:w="109"/>
        <w:gridCol w:w="109"/>
        <w:gridCol w:w="109"/>
        <w:gridCol w:w="109"/>
        <w:gridCol w:w="109"/>
        <w:gridCol w:w="211"/>
        <w:gridCol w:w="1051"/>
        <w:gridCol w:w="109"/>
        <w:gridCol w:w="109"/>
        <w:gridCol w:w="109"/>
        <w:gridCol w:w="109"/>
        <w:gridCol w:w="218"/>
        <w:gridCol w:w="218"/>
        <w:gridCol w:w="483"/>
        <w:gridCol w:w="109"/>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3,823,112 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in fiscal 2024 as compared to fiscal 2023 was primarily the result of a decrease in revenue which contributed to a decrease in gross margin of $2,495.9 million, partially offset by a $204.9 million decrease in SMG&amp;A expenses, a $204.8 million decrease in amortization expenses, a $172.3 million decrease in R&amp;D expenses and a $123.5 million decrease in special charges, net, as more fully described above.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Nonoperating Expense (Income)</w:t>
      </w:r>
    </w:p>
    <w:tbl>
      <w:tblPr>
        <w:tblW w:w="8163" w:type="dxa"/>
        <w:jc w:val="left"/>
        <w:tblInd w:w="0" w:type="dxa"/>
        <w:tblLayout w:type="fixed"/>
        <w:tblCellMar>
          <w:top w:w="28" w:type="dxa"/>
          <w:left w:w="28" w:type="dxa"/>
          <w:bottom w:w="28" w:type="dxa"/>
          <w:right w:w="28" w:type="dxa"/>
        </w:tblCellMar>
      </w:tblPr>
      <w:tblGrid>
        <w:gridCol w:w="983"/>
        <w:gridCol w:w="865"/>
        <w:gridCol w:w="867"/>
        <w:gridCol w:w="211"/>
        <w:gridCol w:w="826"/>
        <w:gridCol w:w="109"/>
        <w:gridCol w:w="109"/>
        <w:gridCol w:w="109"/>
        <w:gridCol w:w="109"/>
        <w:gridCol w:w="211"/>
        <w:gridCol w:w="826"/>
        <w:gridCol w:w="109"/>
        <w:gridCol w:w="109"/>
        <w:gridCol w:w="109"/>
        <w:gridCol w:w="109"/>
        <w:gridCol w:w="109"/>
        <w:gridCol w:w="109"/>
        <w:gridCol w:w="211"/>
        <w:gridCol w:w="721"/>
        <w:gridCol w:w="109"/>
        <w:gridCol w:w="109"/>
        <w:gridCol w:w="109"/>
        <w:gridCol w:w="109"/>
        <w:gridCol w:w="186"/>
        <w:gridCol w:w="186"/>
        <w:gridCol w:w="54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1243" w:type="dxa"/>
            <w:gridSpan w:val="6"/>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year-over-year increase in nonoperating expense in fiscal 2024 as compared to fiscal 2023 was primarily the result of higher interest expense related to our debt obligations and lower net gains from other investments, partially offset by higher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8716" w:type="dxa"/>
        <w:jc w:val="left"/>
        <w:tblInd w:w="0" w:type="dxa"/>
        <w:tblLayout w:type="fixed"/>
        <w:tblCellMar>
          <w:top w:w="28" w:type="dxa"/>
          <w:left w:w="28" w:type="dxa"/>
          <w:bottom w:w="28" w:type="dxa"/>
          <w:right w:w="28" w:type="dxa"/>
        </w:tblCellMar>
      </w:tblPr>
      <w:tblGrid>
        <w:gridCol w:w="825"/>
        <w:gridCol w:w="726"/>
        <w:gridCol w:w="729"/>
        <w:gridCol w:w="211"/>
        <w:gridCol w:w="826"/>
        <w:gridCol w:w="271"/>
        <w:gridCol w:w="109"/>
        <w:gridCol w:w="109"/>
        <w:gridCol w:w="109"/>
        <w:gridCol w:w="211"/>
        <w:gridCol w:w="826"/>
        <w:gridCol w:w="271"/>
        <w:gridCol w:w="109"/>
        <w:gridCol w:w="109"/>
        <w:gridCol w:w="109"/>
        <w:gridCol w:w="109"/>
        <w:gridCol w:w="109"/>
        <w:gridCol w:w="211"/>
        <w:gridCol w:w="901"/>
        <w:gridCol w:w="109"/>
        <w:gridCol w:w="109"/>
        <w:gridCol w:w="109"/>
        <w:gridCol w:w="109"/>
        <w:gridCol w:w="218"/>
        <w:gridCol w:w="218"/>
        <w:gridCol w:w="483"/>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fiscal 2024 and fiscal 2023 were below the U.S. statutory rate of 21% due to lower statutory tax rates applicable to our operations in the foreign jurisdictions in which we earn income. For fiscal 2024 and fiscal 2023 our pretax income was primarily generated in Ireland at a tax rate of 12.5%. Our effective tax rate for fiscal 2023 was also impacted by a discrete income tax benefit recorded of $81.7 million resulting from the approval granted by the Joint Committee on Taxation of our federal corporate income tax relief claim which reduced the amount of transition tax owed under the Tax Cuts and Jobs Act of 2017.</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of the Notes to Consolidated Financial Statements contained in Item 8 of this Annual Report on Form 10-K for further discussion.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tbl>
      <w:tblPr>
        <w:tblW w:w="9436" w:type="dxa"/>
        <w:jc w:val="left"/>
        <w:tblInd w:w="0" w:type="dxa"/>
        <w:tblLayout w:type="fixed"/>
        <w:tblCellMar>
          <w:top w:w="28" w:type="dxa"/>
          <w:left w:w="28" w:type="dxa"/>
          <w:bottom w:w="28" w:type="dxa"/>
          <w:right w:w="28" w:type="dxa"/>
        </w:tblCellMar>
      </w:tblPr>
      <w:tblGrid>
        <w:gridCol w:w="924"/>
        <w:gridCol w:w="809"/>
        <w:gridCol w:w="817"/>
        <w:gridCol w:w="211"/>
        <w:gridCol w:w="976"/>
        <w:gridCol w:w="271"/>
        <w:gridCol w:w="109"/>
        <w:gridCol w:w="109"/>
        <w:gridCol w:w="109"/>
        <w:gridCol w:w="211"/>
        <w:gridCol w:w="976"/>
        <w:gridCol w:w="271"/>
        <w:gridCol w:w="109"/>
        <w:gridCol w:w="109"/>
        <w:gridCol w:w="109"/>
        <w:gridCol w:w="109"/>
        <w:gridCol w:w="109"/>
        <w:gridCol w:w="211"/>
        <w:gridCol w:w="1051"/>
        <w:gridCol w:w="109"/>
        <w:gridCol w:w="109"/>
        <w:gridCol w:w="109"/>
        <w:gridCol w:w="109"/>
        <w:gridCol w:w="218"/>
        <w:gridCol w:w="218"/>
        <w:gridCol w:w="483"/>
        <w:gridCol w:w="109"/>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over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in fiscal 2024 as compared to fiscal 2023 was a result of a $1,790.3 million decrease in operating income and a $40.3 million increase in nonoperating expense, partially offset by a $151.4 million decrease in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November 2, 2024, our principal source of liquidity was $2.4 billion of cash, cash equivalents and short-term investments, of which approximately $1.3 billion was held in the United States, with the balance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tbl>
      <w:tblPr>
        <w:tblW w:w="8575" w:type="dxa"/>
        <w:jc w:val="left"/>
        <w:tblInd w:w="0" w:type="dxa"/>
        <w:tblLayout w:type="fixed"/>
        <w:tblCellMar>
          <w:top w:w="28" w:type="dxa"/>
          <w:left w:w="28" w:type="dxa"/>
          <w:bottom w:w="28" w:type="dxa"/>
          <w:right w:w="28" w:type="dxa"/>
        </w:tblCellMar>
      </w:tblPr>
      <w:tblGrid>
        <w:gridCol w:w="1780"/>
        <w:gridCol w:w="1567"/>
        <w:gridCol w:w="1572"/>
        <w:gridCol w:w="211"/>
        <w:gridCol w:w="1051"/>
        <w:gridCol w:w="271"/>
        <w:gridCol w:w="109"/>
        <w:gridCol w:w="109"/>
        <w:gridCol w:w="109"/>
        <w:gridCol w:w="211"/>
        <w:gridCol w:w="1051"/>
        <w:gridCol w:w="271"/>
        <w:gridCol w:w="109"/>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3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3,852,529 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4,817,634 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as a % of revenue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(1,104,858)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(1,714,390)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(4,063,760)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changes contributed to the net change in cash and cash equivalents from fiscal 2023 to fiscal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Cash provided by operating activities is net income adjusted for certain non-cash items and changes in assets and liabilities.</w:t>
      </w:r>
      <w:r>
        <w:rPr>
          <w:color w:val="000000"/>
        </w:rPr>
        <w:t xml:space="preserve"> </w:t>
      </w:r>
      <w:r>
        <w:rPr>
          <w:rFonts w:ascii="Times New Roman;sans-serif" w:hAnsi="Times New Roman;sans-serif"/>
          <w:b w:val="false"/>
          <w:color w:val="000000"/>
          <w:sz w:val="20"/>
        </w:rPr>
        <w:t xml:space="preserve">The decrease in cash provided by operating activities during fiscal 2024 as compared to fiscal 2023 was primarily a result of lower net income adjusted for noncash items partially offset by changes in working capital.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flows generally consist of capital expenditures and cash used for acquisitions. The decrease in cash used for investing activities during fiscal 2024 as compared to fiscal 2023 was primarily the result of a decrease in cash used for capital expenditures, partially offset by the net impact of purchases and maturities of short-term investments during fiscal 2024.</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Financing cash flows generally consist of payments of dividends to shareholders, repurchases of common stock, issuance and repayment of debt and proceeds from the sale of shares of common stock pursuant to employee equity incentive plans.</w:t>
      </w:r>
      <w:r>
        <w:rPr>
          <w:color w:val="000000"/>
        </w:rPr>
        <w:t xml:space="preserve"> </w:t>
      </w:r>
      <w:r>
        <w:rPr>
          <w:rFonts w:ascii="Times New Roman;sans-serif" w:hAnsi="Times New Roman;sans-serif"/>
          <w:b w:val="false"/>
          <w:color w:val="000000"/>
          <w:sz w:val="20"/>
        </w:rPr>
        <w:t>The decrease in cash used for financing activities during fiscal 2024 as compared to fiscal 2023 was primarily the result of lower common stock repurchases.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Working Capital</w:t>
      </w:r>
    </w:p>
    <w:tbl>
      <w:tblPr>
        <w:tblW w:w="8312" w:type="dxa"/>
        <w:jc w:val="left"/>
        <w:tblInd w:w="0" w:type="dxa"/>
        <w:tblLayout w:type="fixed"/>
        <w:tblCellMar>
          <w:top w:w="28" w:type="dxa"/>
          <w:left w:w="28" w:type="dxa"/>
          <w:bottom w:w="28" w:type="dxa"/>
          <w:right w:w="28" w:type="dxa"/>
        </w:tblCellMar>
      </w:tblPr>
      <w:tblGrid>
        <w:gridCol w:w="1036"/>
        <w:gridCol w:w="912"/>
        <w:gridCol w:w="917"/>
        <w:gridCol w:w="211"/>
        <w:gridCol w:w="976"/>
        <w:gridCol w:w="109"/>
        <w:gridCol w:w="109"/>
        <w:gridCol w:w="109"/>
        <w:gridCol w:w="109"/>
        <w:gridCol w:w="211"/>
        <w:gridCol w:w="976"/>
        <w:gridCol w:w="109"/>
        <w:gridCol w:w="109"/>
        <w:gridCol w:w="109"/>
        <w:gridCol w:w="109"/>
        <w:gridCol w:w="211"/>
        <w:gridCol w:w="901"/>
        <w:gridCol w:w="109"/>
        <w:gridCol w:w="218"/>
        <w:gridCol w:w="218"/>
        <w:gridCol w:w="54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Days sales outstanding </w:t>
            </w:r>
            <w:r>
              <w:rPr>
                <w:rFonts w:ascii="Times New Roman;sans-serif" w:hAnsi="Times New Roman;sans-serif"/>
                <w:b w:val="false"/>
                <w:color w:val="000000"/>
                <w:sz w:val="18"/>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Days cost of sales in inventory</w:t>
            </w:r>
            <w:r>
              <w:rPr>
                <w:color w:val="000000"/>
              </w:rPr>
              <w:t xml:space="preserve"> </w:t>
            </w:r>
            <w:r>
              <w:rPr>
                <w:rFonts w:ascii="Times New Roman;sans-serif" w:hAnsi="Times New Roman;sans-serif"/>
                <w:b w:val="false"/>
                <w:color w:val="000000"/>
                <w:sz w:val="18"/>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(1)We use the average of the current year and prior year ending net accounts receivable and ending inventory balance in our calculation of days sales outstanding and days cost of sales in inventory, respectively. Cost of sales amounts used in the calculation of days cost of sales in inventory include accounting adjustments related to amortization of developed technology intangible assets acquired and depreciation related to the write-up of fixed assets to fair value as a result of the acquisition of Maxim.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accounts receivable for fiscal 2024 compared to fiscal 2023 was primarily the result of variations in the timing of collections and billings and decreased revenue levels in the fourth quarter of fiscal 2024 as compared to the fourth quarter of fiscal 2023.</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decreased in fiscal 2024 as compared to fiscal 2023, primarily as a result of our efforts to balance manufacturing production, demand and inventory levels. Our inventory levels are impacted by our need to support forecasted sales demand and variations between those forecasts and actual demand.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decreased to $3.0 billion at November 2, 2024 from $3.2 billion recorded at the end of fiscal 2023, primarily due to decreases in accrued liabilities and current debt, partially offset by increases in income taxes payable.</w:t>
      </w:r>
    </w:p>
    <w:p>
      <w:pPr>
        <w:pStyle w:val="TextBody"/>
        <w:bidi w:val="0"/>
        <w:spacing w:lineRule="auto" w:line="288" w:before="120" w:after="283"/>
        <w:jc w:val="left"/>
        <w:rPr/>
      </w:pPr>
      <w:r>
        <w:rPr>
          <w:rFonts w:ascii="Times New Roman;sans-serif" w:hAnsi="Times New Roman;sans-serif"/>
          <w:b w:val="false"/>
          <w:i/>
          <w:color w:val="000000"/>
          <w:sz w:val="20"/>
        </w:rPr>
        <w:t>Revolving Credit Facility</w:t>
      </w:r>
      <w:r>
        <w:rPr>
          <w:color w:val="000000"/>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Third Amended and Restated Revolving Credit Agreement, dated as of June 23, 2021, with Bank of America N.A. as administrative agent and the other banks identified therein as lenders, which was subsequently amended on December 20, 2022 and July 24, 2023 (as amended, the Revolving Credit Agreement) provides for a five year unsecured revolving credit facility in an aggregate principal amount not to exceed $2.5 billion (subject to certain terms and conditions).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November 2, 2024, we were in compliance with these covenants. See Note 13, </w:t>
      </w:r>
      <w:r>
        <w:rPr>
          <w:rFonts w:ascii="Times New Roman;sans-serif" w:hAnsi="Times New Roman;sans-serif"/>
          <w:b w:val="false"/>
          <w:i/>
          <w:color w:val="000000"/>
          <w:sz w:val="20"/>
        </w:rPr>
        <w:t>Revolving Credit Facility</w:t>
      </w:r>
      <w:r>
        <w:rPr>
          <w:rFonts w:ascii="Times New Roman;sans-serif" w:hAnsi="Times New Roman;sans-serif"/>
          <w:b w:val="false"/>
          <w:color w:val="000000"/>
          <w:sz w:val="20"/>
        </w:rPr>
        <w:t>, of the Notes to Consolidated Financial Statements contained in Item 8 of this Annual Report on Form 10-K for further information on our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As of November 2, 2024, we had approximately $7.0 billion of carrying value outstanding on our senior notes. The difference in the carrying value of the debt and the principal is due to the unamortized discount and issuance fees and other adjustments on these instruments. The indentures governing certain of our debt instruments contain covenants that may limit our ability to: incur, create, assume or guarantee any debt or borrowed money secured by a lien upon a principal property; enter into sale and lease-back transactions with respect to a principal property; and consolidate with or merge into, or transfer or lease all or substantially all of our assets to, any other party. As of November 2, 2024, we were compliant with these covenants. See Note 14,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of the Notes to Consolidated Financial Statements contained in Item 8 of this Annual Report on Form 10-K for further information on our outstanding debt.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Paper Program</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our commercial paper program, we may issue short-term, unsecured commercial paper notes in amounts up to a maximum aggregate face amount of $2.5 billion outstanding at any time, with maturities of up to 397 days from the date of issuance. As of November 2, 2024, we had $547.7 million of outstanding borrowings under the commercial paper program recorded in the Consolidated Balance Sheet. We intend to use the net proceeds of the commercial paper program for general corporate purposes, including without limitation, repayment of indebtedness, stock repurchases, acquisitions, capital expenditures and working capital.</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repurchase program has been in place since August 2004. Since inception, our Board of Directors has authorized us to repurchase $16.7 billion of our common stock under the program, which includes the $8.5 billion authorization approved by the Board of Directors on August 25, 2021. Under the program, we may repurchase outstanding shares of our common stock from time to time in the open market and through privately negotiated transactions. Unless terminated earlier by resolution of our Board of Directors, the repurchase program will expire when the full dollar amount of the authorization has been used to repurchase shares under the program.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$1.7 billion remained available for repurchase under the current authorized program. The repurchased shares are held as authorized but unissued shares of common stock. Future repurchases of common stock will be dependent upon our financial position, results of operations, outlook, liquidity and other factors we deem relevant.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additions to property, plant and equipment were $730.5 million in fiscal 2024 as we invested to enhance our global resiliency and continue to diversify our global manufacturing footprint. We expect capital expenditures for fiscal 2025 to be between approximately 4% and 6% of fiscal 2025 revenue. These capital expenditures will be funded with a combination of cash on hand and cash expected to be generated from future operations, together with existing and anticipated available short- and long-term financing.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25, 2024, our Board of Directors declared a cash dividend of $0.92 per outstanding share of common stock. The dividend will be paid on December 20, 2024 to all shareholders of record at the close of business on December 9, 2024 and is expected to total approximately $456.6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our material contractual obligations in specified periods as of November 2, 2024: </w:t>
      </w:r>
    </w:p>
    <w:tbl>
      <w:tblPr>
        <w:tblW w:w="10205" w:type="dxa"/>
        <w:jc w:val="left"/>
        <w:tblInd w:w="0" w:type="dxa"/>
        <w:tblLayout w:type="fixed"/>
        <w:tblCellMar>
          <w:top w:w="28" w:type="dxa"/>
          <w:left w:w="28" w:type="dxa"/>
          <w:bottom w:w="28" w:type="dxa"/>
          <w:right w:w="28" w:type="dxa"/>
        </w:tblCellMar>
      </w:tblPr>
      <w:tblGrid>
        <w:gridCol w:w="1030"/>
        <w:gridCol w:w="452"/>
        <w:gridCol w:w="456"/>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3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due by period</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obligations </w:t>
            </w: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4,626,865 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associated with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Investment-related commitments </w:t>
            </w: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Transition tax </w:t>
            </w: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 (</w:t>
            </w: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Inventory-related purchase commitments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6,941,602 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(1)Debt obligations are assumed to be held to maturity.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(2)Commitments related to certain investments in venture funds directed to our strategic areas of targeted growth in digital biology, life sciences and sustainability, among others.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(3)Tax obligation relates to the one-time tax on deemed repatriated earnings under the Tax Cuts and Jobs Act.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(4)Certain of our operating lease obligations include escalation clauses. These escalating payment requirements are reflected in the table.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(5)We have supplier commitments for the purchase of materials and supplies in advance or with minimum purchase quantities.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our total liabilities associated with uncertain tax positions was $185.8 million, which are included in non-current income taxes payable in our Consolidated Balance Sheets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pStyle w:val="TextBody"/>
        <w:bidi w:val="0"/>
        <w:spacing w:lineRule="auto" w:line="288" w:before="26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2s, </w:t>
      </w:r>
      <w:r>
        <w:rPr>
          <w:rFonts w:ascii="Times New Roman;sans-serif" w:hAnsi="Times New Roman;sans-serif"/>
          <w:b w:val="false"/>
          <w:i/>
          <w:color w:val="000000"/>
          <w:sz w:val="20"/>
        </w:rPr>
        <w:t>New Accounting Pronouncements,</w:t>
      </w:r>
      <w:r>
        <w:rPr>
          <w:color w:val="000000"/>
        </w:rPr>
        <w:t xml:space="preserve"> </w:t>
      </w:r>
      <w:r>
        <w:rPr>
          <w:rFonts w:ascii="Times New Roman;sans-serif" w:hAnsi="Times New Roman;sans-serif"/>
          <w:b w:val="false"/>
          <w:color w:val="000000"/>
          <w:sz w:val="20"/>
        </w:rPr>
        <w:t>of the Notes to Consolidated Financial Statements contained in Item 8 of this Annual Report on Form 10-K for a description of recently issued and adopted accounting pronouncements, including the dates of adoption and impact on our financial condition and results of operations.</w:t>
      </w:r>
    </w:p>
    <w:p>
      <w:pPr>
        <w:pStyle w:val="TextBody"/>
        <w:bidi w:val="0"/>
        <w:spacing w:lineRule="auto" w:line="288" w:before="2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however, the application of these policies does not require us to make significant estimates or judgments that are difficult or subjective.</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Recognition of revenue occurs when a customer obtains control of promised goods or services in an amount that reflects the consideration to which the providing entity expects to be entitled in exchange for those goods or services. We recognize revenue upon transfer of control of promised products or services to customers in an amount that reflects the consideration that we expect to receive in exchange for those products or services. We recognize revenue when all of the following criteria are met: (1) we have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our shipping terms permit us to recognize revenue at point of shipment or delivery. Certain shipping terms require the goods to be through customs or be received by the customer before title passes. In those instances, we defer the revenue recognized until title and control of the promised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passed to the customer. Shipping costs are charged to selling, marketing, general and administrative expense as incurred. Sales taxes are excluded from revenue.</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pStyle w:val="TextBody"/>
        <w:bidi w:val="0"/>
        <w:spacing w:lineRule="auto" w:line="288" w:before="140" w:after="283"/>
        <w:ind w:left="0" w:right="0" w:firstLine="450"/>
        <w:jc w:val="left"/>
        <w:rPr/>
      </w:pPr>
      <w:r>
        <w:rPr>
          <w:rFonts w:ascii="Times New Roman;sans-serif" w:hAnsi="Times New Roman;sans-serif"/>
          <w:b w:val="false"/>
          <w:i/>
          <w:color w:val="000000"/>
          <w:sz w:val="20"/>
        </w:rPr>
        <w:t>Performance Obligations</w:t>
      </w:r>
      <w:r>
        <w:rPr>
          <w:rFonts w:ascii="Times New Roman;sans-serif" w:hAnsi="Times New Roman;sans-serif"/>
          <w:b w:val="false"/>
          <w:color w:val="000000"/>
          <w:sz w:val="20"/>
        </w:rPr>
        <w:t xml:space="preserve">: Substantially all of our contracts with customers contain a single performance obligation, the sale of mixed-signal 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We generally warrant that our products will meet their published specifications, and that we will repair or replace defective products, for one year from the date title passes from us to the customer. Specific accruals are recorded for known product warranty issues. </w:t>
      </w:r>
    </w:p>
    <w:p>
      <w:pPr>
        <w:pStyle w:val="TextBody"/>
        <w:bidi w:val="0"/>
        <w:spacing w:lineRule="auto" w:line="288" w:before="140" w:after="283"/>
        <w:ind w:left="0" w:right="0" w:firstLine="450"/>
        <w:jc w:val="left"/>
        <w:rPr/>
      </w:pPr>
      <w:r>
        <w:rPr>
          <w:rFonts w:ascii="Times New Roman;sans-serif" w:hAnsi="Times New Roman;sans-serif"/>
          <w:b w:val="false"/>
          <w:i/>
          <w:color w:val="000000"/>
          <w:sz w:val="20"/>
        </w:rPr>
        <w:t>Transaction Price</w:t>
      </w:r>
      <w:r>
        <w:rPr>
          <w:rFonts w:ascii="Times New Roman;sans-serif" w:hAnsi="Times New Roman;sans-serif"/>
          <w:b w:val="false"/>
          <w:color w:val="000000"/>
          <w:sz w:val="20"/>
        </w:rPr>
        <w:t>: The transaction price reflects our expectations about the consideration we will be entitled to receive from the customer 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we will receive is unknown as of the end of a reporting period. The vast majority of such consideration are credits issued to the distributor due to price protection, but also include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management’s estimate of historical experience rates as well as considering economic conditions and contractual terms. To date, actual distributor claims activity has been materially consistent with the provisions we have made based on our historical estimates.</w:t>
      </w:r>
    </w:p>
    <w:p>
      <w:pPr>
        <w:pStyle w:val="TextBody"/>
        <w:bidi w:val="0"/>
        <w:spacing w:lineRule="auto" w:line="288" w:before="140" w:after="283"/>
        <w:ind w:left="0" w:right="0" w:firstLine="45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Accounts receivable represents our unconditional right to receive consideration from our customers. Payments are typically due within 30 to 45 days of 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pStyle w:val="TextBody"/>
        <w:bidi w:val="0"/>
        <w:spacing w:lineRule="auto" w:line="288" w:before="14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Valuation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value inventories at the lower of cost (first-in, first-out method) or net realizable value.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net realizable value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Goodwill is subject to impairment tests annually or more frequently if events or changes in circumstances suggest that the carrying value of goodwill may not be recoverable, utilizing either the qualitative or quantitative method. We test goodwill for impairment at the reporting unit level, which we determined is consistent with our identified operating segments, on an annual basis on the first day of the fourth quarter (on or about August 4</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or more frequently if we believe indicators of impairment exist or we reorganize our operating segments or reporting units.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option to first assess qualitative factors to determine whether it is more likely than not that the fair value of a reporting unit is less than its net book value. When using the qualitative method, we consider several factors,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carrying values of these reporting units as of the assessment date compared to their previously calculated fair values as of the date of the most recent quantitative impairment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current forecasts as compared to the forecasts included in the most recent quantitative impairment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information from competitors and other industry information to determine if there were any significant adverse trends in our competitors’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value of major U.S. stock indices that could suggest declines in overall market stability that could impact the valuation of our reporting units;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market capitalization and overall enterprise valuation to determine if there were any significant decreases that could be an indication that the valuation of our reporting units had significantly decreased;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there had been any significant increases to the weighted-average cost of capital rates for each reporting unit, which could materially lower our prior valuation conclusions under a discounted cash flow approach.</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elect not to use this option, or we determine that it is more likely than not that the fair value of a reporting unit is less than its net book value, then we perform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our total company market capitalization, allowing for a reasonable control premium.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2024 and fiscal 2023, we elected to use the qualitative method of assessing goodwill for all of our reporting units. In all periods presented, we concluded the reporting units’ fair values exceeded their carrying amounts as of the assessment dates and no risk of impairment existed.</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Income Taxes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We assess the likelihood of the realization of deferred tax assets and record a corresponding valuation allowance as necessary if we determine those deferred tax assets may not be realized due to the uncertainty of the timing and amount to be realized of certain state and international tax credit carryovers. In reaching our conclusion, we evaluate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which may result in an increase or decrease to our income tax provision in future periods.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uncertain tax positions by first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position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classify interest and penalties related to uncertain tax positions within the provision for income taxes line of the Consolidated Statements of Income. We reevaluate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 in the recognition of an increase or decrease to our income tax provision, which could materially impact our consolidated financial position and results of operations.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income tax liabilities.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pStyle w:val="TextBody"/>
        <w:bidi w:val="0"/>
        <w:spacing w:lineRule="auto" w:line="288" w:before="140" w:after="283"/>
        <w:ind w:left="0" w:right="0" w:firstLine="495"/>
        <w:jc w:val="both"/>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of the Notes to Consolidated Financial Statements contained in Item 8 of this Annual Report on Form 10-K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Exposure</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income and expense are sensitive to changes in the general level of interest rates. In this regard, changes in interest rates affect the interest earned or paid on our marketable securities and debt, as well as the fair value of our investments and debt.</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floating rate debt outstanding as of November 2, 2024 and October 28, 2023, inclusive of our commercial paper notes and interest rate swap outstanding, as applicable, our annual interest expense would change by approximately $15.5 million and $20.5 million, respectively, for each 100 basis point increase in interest rates. </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cash and marketable securities outstanding as of November 2, 2024 and October 28, 2023, our annual interest income would change by approximately $19.9 million and $9.6 million, respectively, for each 100 basis point increase in interest rates.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provide a meaningful assessment of the interest rate risk associated with our investment portfolio, we performed a sensitivity analysis to determine the impact a change in interest rates would have on the value of our investment portfolio assuming an immediate 100 basis point parallel shift in the yield curve. Based on investment positions as of November 2, 2024 and October 28, 2023, a hypothetical 100 basis point increase in interest rates across all maturities would not materially impact the fair market value of the portfolio in either period. If significant, such losses would only be realized if we sold the investments prior to maturity.</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we had $1.0 billion notional of fixed for floating interest rate swaps outstanding, with the swap payable having a fair value of $36.9 million. A hypothetical 100 basis point increase in interest rates would increase the swap payable by approximately $54.0 million with a corresponding adjustment to the carrying value of the related debt.</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we had $7.1 billion in principal amount of senior unsecured notes outstanding, with a fair value of $6.3 billion. We also had $547.7 million of commercial paper notes outstanding. As commercial paper notes issuances are at then-current rates and with very short maturities, the carrying value will approximate the fair value. The fair value of our notes is subject to interest rate risk, market risk and other factors. Generally, the fair value of our notes will increase as interest rates fall and decrease as interest rates rise. The fair values of our notes as of November 2, 2024 and October 28, 2023, assuming a hypothetical 100 basis point increase in market interest rates, are as follows:</w:t>
      </w:r>
    </w:p>
    <w:tbl>
      <w:tblPr>
        <w:tblW w:w="10205" w:type="dxa"/>
        <w:jc w:val="left"/>
        <w:tblInd w:w="0" w:type="dxa"/>
        <w:tblLayout w:type="fixed"/>
        <w:tblCellMar>
          <w:top w:w="28" w:type="dxa"/>
          <w:left w:w="28" w:type="dxa"/>
          <w:bottom w:w="28" w:type="dxa"/>
          <w:right w:w="28" w:type="dxa"/>
        </w:tblCellMar>
      </w:tblPr>
      <w:tblGrid>
        <w:gridCol w:w="429"/>
        <w:gridCol w:w="378"/>
        <w:gridCol w:w="382"/>
        <w:gridCol w:w="221"/>
        <w:gridCol w:w="867"/>
        <w:gridCol w:w="114"/>
        <w:gridCol w:w="109"/>
        <w:gridCol w:w="109"/>
        <w:gridCol w:w="109"/>
        <w:gridCol w:w="211"/>
        <w:gridCol w:w="826"/>
        <w:gridCol w:w="109"/>
        <w:gridCol w:w="109"/>
        <w:gridCol w:w="109"/>
        <w:gridCol w:w="109"/>
        <w:gridCol w:w="242"/>
        <w:gridCol w:w="949"/>
        <w:gridCol w:w="125"/>
        <w:gridCol w:w="109"/>
        <w:gridCol w:w="109"/>
        <w:gridCol w:w="109"/>
        <w:gridCol w:w="221"/>
        <w:gridCol w:w="867"/>
        <w:gridCol w:w="114"/>
        <w:gridCol w:w="109"/>
        <w:gridCol w:w="109"/>
        <w:gridCol w:w="109"/>
        <w:gridCol w:w="211"/>
        <w:gridCol w:w="826"/>
        <w:gridCol w:w="109"/>
        <w:gridCol w:w="109"/>
        <w:gridCol w:w="109"/>
        <w:gridCol w:w="109"/>
        <w:gridCol w:w="241"/>
        <w:gridCol w:w="945"/>
        <w:gridCol w:w="183"/>
      </w:tblGrid>
      <w:tr>
        <w:trPr/>
        <w:tc>
          <w:tcPr>
            <w:tcW w:w="4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(thousands)</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given an increase in interest rates of 100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given an increase in interest rates of 100 basis points</w:t>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notes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due October 2024</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April 2025</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 due December 2026</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Notes, due June 2027</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 due October 2028</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Notes, due October 2031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Notes, due October 2032</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Notes, due April 2034</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 Notes, due December 2036</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 Notes, due October 2041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2045 Notes, due December 2045</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2051 Notes, due October 2051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Notes, due April 2054</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Exposure</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As more fully described in Note 2i, </w:t>
      </w:r>
      <w:r>
        <w:rPr>
          <w:rFonts w:ascii="Times New Roman;sans-serif" w:hAnsi="Times New Roman;sans-serif"/>
          <w:b w:val="false"/>
          <w:i/>
          <w:color w:val="000000"/>
          <w:sz w:val="20"/>
        </w:rPr>
        <w:t>Derivative and Hedging Agreements</w:t>
      </w:r>
      <w:r>
        <w:rPr>
          <w:rFonts w:ascii="Times New Roman;sans-serif" w:hAnsi="Times New Roman;sans-serif"/>
          <w:b w:val="false"/>
          <w:color w:val="000000"/>
          <w:sz w:val="20"/>
        </w:rPr>
        <w:t>, of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the net unhedged foreign currency exposures existing at November 2, 2024 and October 28, 2023, an immediate 10% unfavorable movement in foreign currency exchange rates would result in approximately $32.2 million of losses and $66.5 million of losses, respectively, in changes in earnings or cash flows over the course of the year.</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November 2, 2024,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effect that an immediate 10% unfavorable or favorable movement in foreign currency exchange rates, relative to the U.S. dollar, would have on the fair value of our forward exchange contracts as of November 2, 2024 and October 28, 2023:</w:t>
      </w:r>
    </w:p>
    <w:tbl>
      <w:tblPr>
        <w:tblW w:w="10205" w:type="dxa"/>
        <w:jc w:val="left"/>
        <w:tblInd w:w="0" w:type="dxa"/>
        <w:tblLayout w:type="fixed"/>
        <w:tblCellMar>
          <w:top w:w="28" w:type="dxa"/>
          <w:left w:w="28" w:type="dxa"/>
          <w:bottom w:w="28" w:type="dxa"/>
          <w:right w:w="28" w:type="dxa"/>
        </w:tblCellMar>
      </w:tblPr>
      <w:tblGrid>
        <w:gridCol w:w="2623"/>
        <w:gridCol w:w="2289"/>
        <w:gridCol w:w="2297"/>
        <w:gridCol w:w="255"/>
        <w:gridCol w:w="946"/>
        <w:gridCol w:w="131"/>
        <w:gridCol w:w="109"/>
        <w:gridCol w:w="109"/>
        <w:gridCol w:w="109"/>
        <w:gridCol w:w="245"/>
        <w:gridCol w:w="909"/>
        <w:gridCol w:w="183"/>
      </w:tblGrid>
      <w:tr>
        <w:trPr/>
        <w:tc>
          <w:tcPr>
            <w:tcW w:w="2623"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forward exchange contracts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forward exchange contracts after a 10% unfavorable movement in foreign currency exchange rates asset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forward exchange contracts after a 10% favorable movement in foreign currency exchange rates liability</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Analog Devices,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Analog Devices, Inc. (the Company) as of November 2, 2024 and October 28, 2023, the related consolidated statements of income, comprehensive income, shareholders’ equity and cash flows for each of the three years in the period ended November 2,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2, 2024 and October 28, 2023, and the results of its operations and its cash flows for each of the three years in the period ended November 2, 2024, in conformity with U.S. generally accepted accounting principles.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November 2, 2024, based on criteria established in Internal Control</w:t>
      </w:r>
      <w:r>
        <w:rPr>
          <w:color w:val="000000"/>
        </w:rPr>
        <w:t>—</w:t>
      </w:r>
      <w:r>
        <w:rPr>
          <w:rFonts w:ascii="Times New Roman;sans-serif" w:hAnsi="Times New Roman;sans-serif"/>
          <w:b w:val="false"/>
          <w:color w:val="000000"/>
          <w:sz w:val="20"/>
        </w:rPr>
        <w:t>Integrated Framework issued by the Committee of Sponsoring Organizations of the Treadway Commission (2013 framework), and our report dated November 26, 2024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Critical Audit Matter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7"/>
        <w:gridCol w:w="402"/>
        <w:gridCol w:w="405"/>
        <w:gridCol w:w="2683"/>
        <w:gridCol w:w="2583"/>
        <w:gridCol w:w="3675"/>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 – Measuring Price Protection Credits</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2n to the consolidated financial statements, the Company’s sales contracts provide certain distributors with credits for price protection and rights of return, which results in variable consideration. During 2024, sales to distributors were $5.5 billion net of expected price protection credits and rights of return for which the liability balance as of November 2, 2024 was $508.7 million, of which the vast majority relates to the price protection credits.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measurement for price protection credits under distributor contracts involved especially challenging judgment because the calculation involves subjective management assumptions about estimates of expected price protection credits. For example, estimated price protection credits included in the transaction price reflects management’s evaluation of contractual terms, historical experience and assumptions about future economic conditions. Changes in those assumptions can have a material effect on the amount recognized for price protection credits.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6"/>
        <w:gridCol w:w="392"/>
        <w:gridCol w:w="394"/>
        <w:gridCol w:w="2623"/>
        <w:gridCol w:w="2623"/>
        <w:gridCol w:w="3727"/>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calculate the price protection credits. For example, we tested controls over the appropriateness of assumptions management used as well as controls over the completeness and accuracy of the data underlying estimates of expected price protection credits.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inspecting contractual terms in distributor agreements and testing the underlying data used in management’s calculation for completeness and accuracy as well as evaluating the significant assumptions used in the estimation of the price protection credits. We evaluated the Company’s methods and assumptions used in the estimates, which included comparing the assumptions to historical trends. We inspected and tested the results of the Company’s retrospective review analysis of actual price protection credits claimed by distributors, evaluated the estimates made based on historical experience and performed sensitivity analyses of the Company’s significant assumptions to assess the impact on the price protection credits. We also evaluated whether the Company appropriately considered new information that could significantly change the estimated future price protection credits.</w:t>
            </w:r>
          </w:p>
        </w:tc>
      </w:tr>
      <w:tr>
        <w:trPr/>
        <w:tc>
          <w:tcPr>
            <w:tcW w:w="1232" w:type="dxa"/>
            <w:gridSpan w:val="3"/>
            <w:tcBorders/>
            <w:vAlign w:val="center"/>
          </w:tcPr>
          <w:p>
            <w:pPr>
              <w:pStyle w:val="TableContents"/>
              <w:bidi w:val="0"/>
              <w:spacing w:before="0" w:after="283"/>
              <w:jc w:val="left"/>
              <w:rPr>
                <w:sz w:val="4"/>
                <w:szCs w:val="4"/>
              </w:rPr>
            </w:pPr>
            <w:r>
              <w:rPr>
                <w:sz w:val="4"/>
                <w:szCs w:val="4"/>
              </w:rPr>
            </w:r>
          </w:p>
        </w:tc>
        <w:tc>
          <w:tcPr>
            <w:tcW w:w="8973" w:type="dxa"/>
            <w:gridSpan w:val="3"/>
            <w:tcBorders/>
            <w:vAlign w:val="center"/>
          </w:tcPr>
          <w:p>
            <w:pPr>
              <w:pStyle w:val="TableContents"/>
              <w:bidi w:val="0"/>
              <w:spacing w:before="0" w:after="283"/>
              <w:jc w:val="left"/>
              <w:rPr>
                <w:sz w:val="4"/>
                <w:szCs w:val="4"/>
              </w:rPr>
            </w:pPr>
            <w:r>
              <w:rPr>
                <w:sz w:val="4"/>
                <w:szCs w:val="4"/>
              </w:rPr>
            </w:r>
          </w:p>
        </w:tc>
      </w:tr>
      <w:tr>
        <w:trPr/>
        <w:tc>
          <w:tcPr>
            <w:tcW w:w="1232" w:type="dxa"/>
            <w:gridSpan w:val="3"/>
            <w:tcBorders/>
            <w:vAlign w:val="center"/>
          </w:tcPr>
          <w:p>
            <w:pPr>
              <w:pStyle w:val="TableContents"/>
              <w:bidi w:val="0"/>
              <w:spacing w:before="0" w:after="283"/>
              <w:jc w:val="left"/>
              <w:rPr>
                <w:sz w:val="4"/>
                <w:szCs w:val="4"/>
              </w:rPr>
            </w:pPr>
            <w:r>
              <w:rPr>
                <w:sz w:val="4"/>
                <w:szCs w:val="4"/>
              </w:rPr>
            </w:r>
          </w:p>
        </w:tc>
        <w:tc>
          <w:tcPr>
            <w:tcW w:w="8973" w:type="dxa"/>
            <w:gridSpan w:val="3"/>
            <w:tcBorders/>
            <w:vAlign w:val="center"/>
          </w:tcPr>
          <w:p>
            <w:pPr>
              <w:pStyle w:val="TableContents"/>
              <w:bidi w:val="0"/>
              <w:spacing w:before="0" w:after="283"/>
              <w:jc w:val="left"/>
              <w:rPr>
                <w:sz w:val="4"/>
                <w:szCs w:val="4"/>
              </w:rPr>
            </w:pPr>
            <w:r>
              <w:rPr>
                <w:sz w:val="4"/>
                <w:szCs w:val="4"/>
              </w:rPr>
            </w:r>
          </w:p>
        </w:tc>
      </w:tr>
      <w:tr>
        <w:trPr/>
        <w:tc>
          <w:tcPr>
            <w:tcW w:w="1232" w:type="dxa"/>
            <w:gridSpan w:val="3"/>
            <w:tcBorders/>
            <w:vAlign w:val="center"/>
          </w:tcPr>
          <w:p>
            <w:pPr>
              <w:pStyle w:val="TableContents"/>
              <w:bidi w:val="0"/>
              <w:spacing w:before="0" w:after="283"/>
              <w:jc w:val="left"/>
              <w:rPr>
                <w:sz w:val="4"/>
                <w:szCs w:val="4"/>
              </w:rPr>
            </w:pPr>
            <w:r>
              <w:rPr>
                <w:sz w:val="4"/>
                <w:szCs w:val="4"/>
              </w:rPr>
            </w:r>
          </w:p>
        </w:tc>
        <w:tc>
          <w:tcPr>
            <w:tcW w:w="8973" w:type="dxa"/>
            <w:gridSpan w:val="3"/>
            <w:tcBorders/>
            <w:vAlign w:val="center"/>
          </w:tcPr>
          <w:p>
            <w:pPr>
              <w:pStyle w:val="TableContents"/>
              <w:bidi w:val="0"/>
              <w:spacing w:before="0" w:after="283"/>
              <w:jc w:val="left"/>
              <w:rPr>
                <w:sz w:val="4"/>
                <w:szCs w:val="4"/>
              </w:rPr>
            </w:pPr>
            <w:r>
              <w:rPr>
                <w:sz w:val="4"/>
                <w:szCs w:val="4"/>
              </w:rPr>
            </w:r>
          </w:p>
        </w:tc>
      </w:tr>
      <w:tr>
        <w:trPr/>
        <w:tc>
          <w:tcPr>
            <w:tcW w:w="1232" w:type="dxa"/>
            <w:gridSpan w:val="3"/>
            <w:tcBorders/>
            <w:vAlign w:val="center"/>
          </w:tcPr>
          <w:p>
            <w:pPr>
              <w:pStyle w:val="TableContents"/>
              <w:bidi w:val="0"/>
              <w:spacing w:before="0" w:after="283"/>
              <w:jc w:val="left"/>
              <w:rPr>
                <w:sz w:val="4"/>
                <w:szCs w:val="4"/>
              </w:rPr>
            </w:pPr>
            <w:r>
              <w:rPr>
                <w:sz w:val="4"/>
                <w:szCs w:val="4"/>
              </w:rPr>
            </w:r>
          </w:p>
        </w:tc>
        <w:tc>
          <w:tcPr>
            <w:tcW w:w="8973" w:type="dxa"/>
            <w:gridSpan w:val="3"/>
            <w:tcBorders/>
            <w:vAlign w:val="center"/>
          </w:tcPr>
          <w:p>
            <w:pPr>
              <w:pStyle w:val="TableContents"/>
              <w:bidi w:val="0"/>
              <w:spacing w:before="0" w:after="283"/>
              <w:jc w:val="left"/>
              <w:rPr>
                <w:sz w:val="4"/>
                <w:szCs w:val="4"/>
              </w:rPr>
            </w:pPr>
            <w:r>
              <w:rPr>
                <w:sz w:val="4"/>
                <w:szCs w:val="4"/>
              </w:rPr>
            </w:r>
          </w:p>
        </w:tc>
      </w:tr>
      <w:tr>
        <w:trPr/>
        <w:tc>
          <w:tcPr>
            <w:tcW w:w="1232" w:type="dxa"/>
            <w:gridSpan w:val="3"/>
            <w:tcBorders/>
            <w:vAlign w:val="center"/>
          </w:tcPr>
          <w:p>
            <w:pPr>
              <w:pStyle w:val="TableContents"/>
              <w:bidi w:val="0"/>
              <w:spacing w:before="0" w:after="283"/>
              <w:jc w:val="left"/>
              <w:rPr>
                <w:sz w:val="4"/>
                <w:szCs w:val="4"/>
              </w:rPr>
            </w:pPr>
            <w:r>
              <w:rPr>
                <w:sz w:val="4"/>
                <w:szCs w:val="4"/>
              </w:rPr>
            </w:r>
          </w:p>
        </w:tc>
        <w:tc>
          <w:tcPr>
            <w:tcW w:w="8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1967.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ind w:left="0" w:right="0" w:hanging="11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283"/>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p>
      <w:pPr>
        <w:pStyle w:val="TextBody"/>
        <w:bidi w:val="0"/>
        <w:spacing w:before="0" w:after="0"/>
        <w:jc w:val="center"/>
        <w:rPr/>
      </w:pPr>
      <w:r>
        <w:rPr/>
      </w:r>
    </w:p>
    <w:tbl>
      <w:tblPr>
        <w:tblW w:w="8951" w:type="dxa"/>
        <w:jc w:val="center"/>
        <w:tblInd w:w="0" w:type="dxa"/>
        <w:tblLayout w:type="fixed"/>
        <w:tblCellMar>
          <w:top w:w="28" w:type="dxa"/>
          <w:left w:w="28" w:type="dxa"/>
          <w:bottom w:w="28" w:type="dxa"/>
          <w:right w:w="28" w:type="dxa"/>
        </w:tblCellMar>
      </w:tblPr>
      <w:tblGrid>
        <w:gridCol w:w="1643"/>
        <w:gridCol w:w="1446"/>
        <w:gridCol w:w="1455"/>
        <w:gridCol w:w="196"/>
        <w:gridCol w:w="871"/>
        <w:gridCol w:w="109"/>
        <w:gridCol w:w="109"/>
        <w:gridCol w:w="109"/>
        <w:gridCol w:w="109"/>
        <w:gridCol w:w="196"/>
        <w:gridCol w:w="961"/>
        <w:gridCol w:w="109"/>
        <w:gridCol w:w="109"/>
        <w:gridCol w:w="109"/>
        <w:gridCol w:w="109"/>
        <w:gridCol w:w="196"/>
        <w:gridCol w:w="961"/>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(thousands, except per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7,532,474 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marketing,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expense (income):</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nonoperating expense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Provision for</w:t>
            </w:r>
            <w:r>
              <w:rPr>
                <w:color w:val="EE2724"/>
              </w:rPr>
              <w:t xml:space="preserve"> </w:t>
            </w:r>
            <w:r>
              <w:rPr>
                <w:rFonts w:ascii="Times New Roman;sans-serif" w:hAnsi="Times New Roman;sans-serif"/>
                <w:b w:val="false"/>
                <w:color w:val="000000"/>
                <w:sz w:val="18"/>
              </w:rPr>
              <w:t>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common share — 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common share —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18"/>
        <w:gridCol w:w="1873"/>
        <w:gridCol w:w="1885"/>
        <w:gridCol w:w="196"/>
        <w:gridCol w:w="871"/>
        <w:gridCol w:w="109"/>
        <w:gridCol w:w="109"/>
        <w:gridCol w:w="109"/>
        <w:gridCol w:w="109"/>
        <w:gridCol w:w="196"/>
        <w:gridCol w:w="871"/>
        <w:gridCol w:w="109"/>
        <w:gridCol w:w="109"/>
        <w:gridCol w:w="109"/>
        <w:gridCol w:w="109"/>
        <w:gridCol w:w="196"/>
        <w:gridCol w:w="871"/>
        <w:gridCol w:w="156"/>
      </w:tblGrid>
      <w:tr>
        <w:trPr/>
        <w:tc>
          <w:tcPr>
            <w:tcW w:w="221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unrecognized gains/losses on derivative instruments designated as cash flow hedges: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Changes in fair value of derivatives (net of tax of $5,948 in 2024, $486 in 2023 and $2,902 in 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Adjustment for realized loss reclassified into earnings (net of tax of $2,140 in 2024, $3,311 in 2023 and $5,054 in 2022)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change in derivative instruments designated as cash flow hedges, net of tax</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accumulated other comprehensive loss — pension plans: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actuarial (loss)/gain (net of tax of $1,198 in 2024, $312 in 2023 and $7,756 in 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2,736,974 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4229"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November 2, 2024 and October 28, 2023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0"/>
        <w:gridCol w:w="2263"/>
        <w:gridCol w:w="2277"/>
        <w:gridCol w:w="196"/>
        <w:gridCol w:w="961"/>
        <w:gridCol w:w="109"/>
        <w:gridCol w:w="109"/>
        <w:gridCol w:w="109"/>
        <w:gridCol w:w="109"/>
        <w:gridCol w:w="196"/>
        <w:gridCol w:w="961"/>
        <w:gridCol w:w="155"/>
      </w:tblGrid>
      <w:tr>
        <w:trPr/>
        <w:tc>
          <w:tcPr>
            <w:tcW w:w="2760"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(thousands, except per share amounts)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958,061 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less allowances of $7,160 ($2,763 in 2023)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314,013 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5,484,654 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4,384,022 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plant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3,219,157 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26,913,134 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11,311,957 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2,223,272 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42,743,623 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44,410,456 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48,794,478 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Debt,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 notes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2,988,280 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3,200,971 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10,063,680 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10,028,385 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$1.00 par value, 471,934 shares authorized, none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$0.16 2/3 par value, 1,200,000,000 shares authorized, 496,296,854 shares outstanding (496,261,678 on October 28, 2023)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in excess of par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25,313,914 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10,356,798 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35,565,122 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16"/>
              </w:rPr>
              <w:t xml:space="preserve">TOTAL LIABILITIES AND SHAREHOLDERS’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48,228,277 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48,794,478 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49"/>
        <w:gridCol w:w="981"/>
        <w:gridCol w:w="984"/>
        <w:gridCol w:w="368"/>
        <w:gridCol w:w="368"/>
        <w:gridCol w:w="211"/>
        <w:gridCol w:w="109"/>
        <w:gridCol w:w="109"/>
        <w:gridCol w:w="109"/>
        <w:gridCol w:w="196"/>
        <w:gridCol w:w="646"/>
        <w:gridCol w:w="109"/>
        <w:gridCol w:w="109"/>
        <w:gridCol w:w="109"/>
        <w:gridCol w:w="109"/>
        <w:gridCol w:w="196"/>
        <w:gridCol w:w="961"/>
        <w:gridCol w:w="109"/>
        <w:gridCol w:w="109"/>
        <w:gridCol w:w="109"/>
        <w:gridCol w:w="109"/>
        <w:gridCol w:w="196"/>
        <w:gridCol w:w="961"/>
        <w:gridCol w:w="109"/>
        <w:gridCol w:w="109"/>
        <w:gridCol w:w="109"/>
        <w:gridCol w:w="109"/>
        <w:gridCol w:w="239"/>
        <w:gridCol w:w="920"/>
        <w:gridCol w:w="194"/>
      </w:tblGrid>
      <w:tr>
        <w:trPr/>
        <w:tc>
          <w:tcPr>
            <w:tcW w:w="11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Excess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Comprehensive</w:t>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(thousands)</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(Loss) Income</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30,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(186,565)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2022</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and paid - $2.97 per share</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stock under stock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29,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509,296 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27,857,270 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(198,152)</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 2023 </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and paid - $3.34 per share</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stock under stock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OCTOBER 28, 2023 </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(188,302)</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2024</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1,635,273 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and paid - $3.62 per share</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stock under stock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NOVEMBER 2,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496,297 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25,082,243 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(185,256)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tbl>
      <w:tblPr>
        <w:tblW w:w="9432" w:type="dxa"/>
        <w:jc w:val="center"/>
        <w:tblInd w:w="0" w:type="dxa"/>
        <w:tblLayout w:type="fixed"/>
        <w:tblCellMar>
          <w:top w:w="28" w:type="dxa"/>
          <w:left w:w="28" w:type="dxa"/>
          <w:bottom w:w="28" w:type="dxa"/>
          <w:right w:w="28" w:type="dxa"/>
        </w:tblCellMar>
      </w:tblPr>
      <w:tblGrid>
        <w:gridCol w:w="1882"/>
        <w:gridCol w:w="1659"/>
        <w:gridCol w:w="1664"/>
        <w:gridCol w:w="196"/>
        <w:gridCol w:w="871"/>
        <w:gridCol w:w="109"/>
        <w:gridCol w:w="109"/>
        <w:gridCol w:w="109"/>
        <w:gridCol w:w="109"/>
        <w:gridCol w:w="196"/>
        <w:gridCol w:w="871"/>
        <w:gridCol w:w="109"/>
        <w:gridCol w:w="109"/>
        <w:gridCol w:w="109"/>
        <w:gridCol w:w="109"/>
        <w:gridCol w:w="196"/>
        <w:gridCol w:w="871"/>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 for inventory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impairment charge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Early termination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repayments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commercial paper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commercial paper notes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(10,183,925)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payments to shareholders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(all tabular amounts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1.Description of Business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Analog Devices, Inc. (Analog Devices or the Company) is a global semiconductor leader dedicated to solving its customers’ most complex engineering challenges. Since its inception in 1965, the Company has played a critical role at the intersection of the physical and digital worlds by providing the building blocks to sense, measure, interpret, connect and power. The Company designs, manufactures, tests and markets a broad portfolio of solutions, including integrated circuits (ICs), software and subsystems that leverage high-performance analog, mixed-signal and digital signal processing technologies. The Company’s comprehensive product portfolio, deep domain expertise and advanced manufacturing capabilities extend across high-performance precision and high-speed mixed-signal, power management and processing technologies – including data converters, amplifiers, power management, radio frequency ICs, edge processors and other sensors. The Company’s focus is largely on the business-to-business end markets of Industrial, Automotive and Communications and related applications, as well as Consumer applications, with the goal of driving sustainable and profitable growth over the long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40" w:after="283"/>
        <w:ind w:left="0" w:right="0" w:firstLine="360"/>
        <w:jc w:val="left"/>
        <w:rPr/>
      </w:pPr>
      <w:r>
        <w:rPr>
          <w:rFonts w:ascii="Times New Roman;sans-serif" w:hAnsi="Times New Roman;sans-serif"/>
          <w:b/>
          <w:i/>
          <w:color w:val="000000"/>
          <w:sz w:val="20"/>
        </w:rPr>
        <w:t>a.</w:t>
      </w:r>
      <w:r>
        <w:rPr>
          <w:rFonts w:ascii="Times New Roman;sans-serif" w:hAnsi="Times New Roman;sans-serif"/>
          <w:b/>
          <w:i/>
          <w:color w:val="000000"/>
          <w:sz w:val="20"/>
        </w:rPr>
        <w:t>Principles of Consolidation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November 2, 2024 (fiscal 2024). Such reclassified amounts are immaterial.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is the 52-week or 53-week period ending on the Saturday closest to the last day in October. Fiscal 2024 was a 53-week fiscal period, while the fiscal year ended October 28, 2023 (fiscal 2023) and the fiscal year ended October 29, 2022 (fiscal 2022) were 52-week fiscal periods. The additional week in fiscal 2024 is included in the first quarter ended February 3, 2024. Therefore, fiscal 2024 includes an additional week of operations as compared to fiscal 2023 and fiscal 2022.</w:t>
      </w:r>
    </w:p>
    <w:p>
      <w:pPr>
        <w:pStyle w:val="TextBody"/>
        <w:bidi w:val="0"/>
        <w:spacing w:lineRule="auto" w:line="288" w:before="140" w:after="283"/>
        <w:ind w:left="0" w:right="0" w:firstLine="450"/>
        <w:jc w:val="left"/>
        <w:rPr/>
      </w:pPr>
      <w:r>
        <w:rPr>
          <w:rFonts w:ascii="Times New Roman;sans-serif" w:hAnsi="Times New Roman;sans-serif"/>
          <w:b w:val="false"/>
          <w:color w:val="000000"/>
          <w:sz w:val="20"/>
        </w:rPr>
        <w:t xml:space="preserve">On August 26, 2021 (Acquisition Date), the Company completed the acquisition of Maxim Integrated Products, Inc. (Maxim), an independent manufacturer of innovative analog and mixed-signal products and technologies. The acquisition of Maxim is referred to as the Acquisition. See Note 6,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of the Notes to Consolidated Financial Statements for additional information.</w:t>
      </w:r>
    </w:p>
    <w:p>
      <w:pPr>
        <w:pStyle w:val="TextBody"/>
        <w:bidi w:val="0"/>
        <w:spacing w:lineRule="auto" w:line="288" w:before="18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b.Cash, Cash Equivalents and Short-term Investments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are highly liquid investments with insignificant interest rate risk and maturities of ninety days or less at the time of acquisition. Short-term investments have original maturities of greater than ninety days at the time of acquisition. Cash, cash equivalents and short-term investments consist primarily of government and institutional money market funds, corporate obligations such as commercial paper and floating rate notes, bonds, demand deposit accounts, money market deposit accounts, and bank time deposits.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investments in readily marketable debt and equity securities as “held-to-maturity,” “available-for-sale” or “trading” at the time of purchase. The Company’s readily marketable cash equivalents and short-term investments are classified as available-for-sale. Available-for-sale securities are carried at fair value with unrealized gains and losses, net of related tax, reported in accumulated other comprehensive (loss) income (AOCI). Adjustments to the fair value of investments classified as available-for-sale are recorded as an increase or decrease in AOCI, unless the adjustment is considered an other-than-temporary impairment, in which case the adjustment is recorded as a charge in the Consolidated Statements of Income.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available-for-sale securities and evaluates impairment whenever the fair value of the security is less than its amortized cost. If the Company intends to sell the security or if it is more likely than not that the Company will be required to sell the security before recovery of its amortized cost basis, the Company will write down the security to its fair value at the reporting date, recognizing the difference as a charge in the Consolidated Statements of Income. If the impairment is partially or wholly due to a credit loss, the Company will recognize the portion of the fair value adjustment due to credit loss in the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or losses on investments are determined based on the specific identification basis and are recognized in nonoperating (income) expense. There were no material net realized gains or losses from the sales of available-for-sale investments during any of the fiscal periods presented.</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cash and cash equivalents and short-term investments as of November 2, 2024 and October 28, 2023 were as follows:</w:t>
      </w:r>
    </w:p>
    <w:tbl>
      <w:tblPr>
        <w:tblW w:w="5603" w:type="dxa"/>
        <w:jc w:val="left"/>
        <w:tblInd w:w="0" w:type="dxa"/>
        <w:tblLayout w:type="fixed"/>
        <w:tblCellMar>
          <w:top w:w="28" w:type="dxa"/>
          <w:left w:w="28" w:type="dxa"/>
          <w:bottom w:w="28" w:type="dxa"/>
          <w:right w:w="28" w:type="dxa"/>
        </w:tblCellMar>
      </w:tblPr>
      <w:tblGrid>
        <w:gridCol w:w="1011"/>
        <w:gridCol w:w="887"/>
        <w:gridCol w:w="891"/>
        <w:gridCol w:w="211"/>
        <w:gridCol w:w="976"/>
        <w:gridCol w:w="109"/>
        <w:gridCol w:w="109"/>
        <w:gridCol w:w="109"/>
        <w:gridCol w:w="109"/>
        <w:gridCol w:w="211"/>
        <w:gridCol w:w="82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See Note 2j, </w:t>
      </w:r>
      <w:r>
        <w:rPr>
          <w:rFonts w:ascii="Times New Roman;sans-serif" w:hAnsi="Times New Roman;sans-serif"/>
          <w:b w:val="false"/>
          <w:i/>
          <w:color w:val="000000"/>
          <w:sz w:val="20"/>
        </w:rPr>
        <w:t>Fair Value</w:t>
      </w:r>
      <w:r>
        <w:rPr>
          <w:rFonts w:ascii="Times New Roman;sans-serif" w:hAnsi="Times New Roman;sans-serif"/>
          <w:b w:val="false"/>
          <w:color w:val="000000"/>
          <w:sz w:val="20"/>
        </w:rPr>
        <w:t>, of the Notes to Consolidated Financial Statements for additional information on the Company’s cash equivalents and short-term investments.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c.Supplemental Cash Flow Statement Information</w:t>
      </w:r>
    </w:p>
    <w:tbl>
      <w:tblPr>
        <w:tblW w:w="7152" w:type="dxa"/>
        <w:jc w:val="left"/>
        <w:tblInd w:w="0" w:type="dxa"/>
        <w:tblLayout w:type="fixed"/>
        <w:tblCellMar>
          <w:top w:w="28" w:type="dxa"/>
          <w:left w:w="28" w:type="dxa"/>
          <w:bottom w:w="28" w:type="dxa"/>
          <w:right w:w="28" w:type="dxa"/>
        </w:tblCellMar>
      </w:tblPr>
      <w:tblGrid>
        <w:gridCol w:w="1090"/>
        <w:gridCol w:w="958"/>
        <w:gridCol w:w="967"/>
        <w:gridCol w:w="211"/>
        <w:gridCol w:w="826"/>
        <w:gridCol w:w="109"/>
        <w:gridCol w:w="109"/>
        <w:gridCol w:w="109"/>
        <w:gridCol w:w="109"/>
        <w:gridCol w:w="211"/>
        <w:gridCol w:w="826"/>
        <w:gridCol w:w="109"/>
        <w:gridCol w:w="109"/>
        <w:gridCol w:w="109"/>
        <w:gridCol w:w="109"/>
        <w:gridCol w:w="211"/>
        <w:gridCol w:w="82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fiscal year for:</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d.Inventories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valued at the lower of cost (first-in, first-out method) or net realizable value.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net realizable value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net realizable value.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November 2, 2024 and October 28, 2023 were as follows:</w:t>
      </w:r>
    </w:p>
    <w:tbl>
      <w:tblPr>
        <w:tblW w:w="4478" w:type="dxa"/>
        <w:jc w:val="left"/>
        <w:tblInd w:w="0" w:type="dxa"/>
        <w:tblLayout w:type="fixed"/>
        <w:tblCellMar>
          <w:top w:w="28" w:type="dxa"/>
          <w:left w:w="28" w:type="dxa"/>
          <w:bottom w:w="28" w:type="dxa"/>
          <w:right w:w="28" w:type="dxa"/>
        </w:tblCellMar>
      </w:tblPr>
      <w:tblGrid>
        <w:gridCol w:w="548"/>
        <w:gridCol w:w="481"/>
        <w:gridCol w:w="485"/>
        <w:gridCol w:w="211"/>
        <w:gridCol w:w="976"/>
        <w:gridCol w:w="109"/>
        <w:gridCol w:w="109"/>
        <w:gridCol w:w="109"/>
        <w:gridCol w:w="109"/>
        <w:gridCol w:w="211"/>
        <w:gridCol w:w="97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e.Property, Plant and Equipment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the Company’s property, plant and equipment (PP&amp;E), net of accumulated depreciation:</w:t>
      </w:r>
    </w:p>
    <w:tbl>
      <w:tblPr>
        <w:tblW w:w="7014" w:type="dxa"/>
        <w:jc w:val="left"/>
        <w:tblInd w:w="0" w:type="dxa"/>
        <w:tblLayout w:type="fixed"/>
        <w:tblCellMar>
          <w:top w:w="28" w:type="dxa"/>
          <w:left w:w="28" w:type="dxa"/>
          <w:bottom w:w="28" w:type="dxa"/>
          <w:right w:w="28" w:type="dxa"/>
        </w:tblCellMar>
      </w:tblPr>
      <w:tblGrid>
        <w:gridCol w:w="1466"/>
        <w:gridCol w:w="1291"/>
        <w:gridCol w:w="1293"/>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(1)</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Certain amounts previously reported between land and buildings and machinery and equipment have been reclassified to conform to the current year presentation.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PP&amp;E is recorded at cost, less allowances for depreciation and amortization.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tbl>
      <w:tblPr>
        <w:tblW w:w="3480" w:type="dxa"/>
        <w:jc w:val="left"/>
        <w:tblInd w:w="0" w:type="dxa"/>
        <w:tblLayout w:type="fixed"/>
        <w:tblCellMar>
          <w:top w:w="28" w:type="dxa"/>
          <w:left w:w="28" w:type="dxa"/>
          <w:bottom w:w="28" w:type="dxa"/>
          <w:right w:w="28" w:type="dxa"/>
        </w:tblCellMar>
      </w:tblPr>
      <w:tblGrid>
        <w:gridCol w:w="781"/>
        <w:gridCol w:w="686"/>
        <w:gridCol w:w="693"/>
        <w:gridCol w:w="387"/>
        <w:gridCol w:w="387"/>
        <w:gridCol w:w="546"/>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30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&amp; equipment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4-10 years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2-10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5-20 years</w:t>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PP&amp;E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 xml:space="preserve">PP&amp;E is identified as held for sale when it meets the held for sale criteria of Accounting Standards Codification Topic 360,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xml:space="preserve">(ASC 360). Depreciation is not recorded for assets that are classified as held for sale. When an asset meets the held for sale criteria, the lower of its carrying value or fair value less costs to sell is reclassified from the relevant PP&amp;E line items and into current assets on the balance sheet, where it remains until it is either sold or it no longer meets the held for sale criteria. If the assets held for sale were carried at fair value, it would be considered a Level 3 fair value measurement, and determined based on the use of appraisals and input from market participants.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its campus facility located in Milpitas, California met the held for sale criteria specified in Accounting Standards Codification (ASC) 360. No write-downs to fair value were required upon this determination as the fair value of the asset group, less costs to sell, was greater than the carrying value. As of November 2, 2024, prepaid expenses and other current assets includes the following assets held for sale:</w:t>
      </w:r>
    </w:p>
    <w:tbl>
      <w:tblPr>
        <w:tblW w:w="8758" w:type="dxa"/>
        <w:jc w:val="left"/>
        <w:tblInd w:w="0" w:type="dxa"/>
        <w:tblLayout w:type="fixed"/>
        <w:tblCellMar>
          <w:top w:w="28" w:type="dxa"/>
          <w:left w:w="28" w:type="dxa"/>
          <w:bottom w:w="28" w:type="dxa"/>
          <w:right w:w="28" w:type="dxa"/>
        </w:tblCellMar>
      </w:tblPr>
      <w:tblGrid>
        <w:gridCol w:w="2698"/>
        <w:gridCol w:w="2376"/>
        <w:gridCol w:w="2380"/>
        <w:gridCol w:w="211"/>
        <w:gridCol w:w="721"/>
        <w:gridCol w:w="109"/>
        <w:gridCol w:w="109"/>
        <w:gridCol w:w="154"/>
      </w:tblGrid>
      <w:tr>
        <w:trPr/>
        <w:tc>
          <w:tcPr>
            <w:tcW w:w="2698"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 reclassified to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f.Goodwill and Intangible Assets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goodwill for impairment annually, as well as whenever events or changes in circumstances suggest that the carrying value of goodwill may not be recoverable, utilizing either the qualitative or quantitative method. The Company tests goodwill for impairment at the reporting unit level, which the Company has determined is consistent with its identified operating segments, on an annual basis on the first day of the fourth quarter (on or about August 4th) or more frequently if indicators of impairment exist or the Company reorganizes its operating segments or reporting units.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first assess qualitative factors to determine whether it is more likely than not that the fair value of a reporting unit is less than its net book value. When using the qualitative method, the Company considers several factors, including the following:</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carrying values of these reporting units as of the assessment date compared to the previously calculated fair values as of the date of the most recent quantitative impairment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Company’s current forecasts as compared to the forecasts included in the most recent quantitative impairment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information from competitors and other industry information to determine if there were any significant adverse trends in the Company’s competitors’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value of major U.S. stock indices that could suggest declines in overall market stability that could impact the valuation of the Company’s reporting units;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Company’s market capitalization and overall enterprise valuation to determine if there were any significant decreases that could be an indication that the valuation of its reporting units had significantly decreased;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there had been any significant increases to the weighted-average cost of capital rates for each reporting unit, which could materially lower the Company’s prior valuation conclusions under a discounted cash flow approach.</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elects not to use this option, or it determines that it is more likely than not that the fair value of a reporting unit is less than its net book value, then the Company performs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the Company considers income tax effects from any tax deductible goodwill on the carrying amount of the reporting unit when measuring the goodwill impairment loss, if applicable. Management determines the fair values of the reporting units using a weighting of the income and market approaches. Under the income approach, it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it uses the guideline public company method. Under this method management utilizes information from comparable publicly traded companies with similar operating and investment characteristics as the reporting units, to create valuation multiples that are applied to the operating performance of the reporting unit being tested, in order to obtain its respective fair value. In order to assess the reasonableness of the calculated values, the aggregate fair values of the reporting units are reconciled to the Company’s total market capitalization, allowing for a reasonable control premium.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2024 and fiscal 2023, the Company elected to use the qualitative method of assessing goodwill for all of its reporting units. In all periods presented, management concluded the reporting units’ fair values exceeded their carrying amounts as of the assessment dates and no risk of impairment existed.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next annual impairment assessment will be performed as of the first day of the fourth quarter of the fiscal year ending November 1, 2025 (fiscal 2025) unless indicators arise that would require the Company to reevaluate at an earlier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 </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and October 28, 2023, the Company’s intangible assets consisted of the following:</w:t>
      </w:r>
    </w:p>
    <w:tbl>
      <w:tblPr>
        <w:tblW w:w="8414" w:type="dxa"/>
        <w:jc w:val="left"/>
        <w:tblInd w:w="0" w:type="dxa"/>
        <w:tblLayout w:type="fixed"/>
        <w:tblCellMar>
          <w:top w:w="28" w:type="dxa"/>
          <w:left w:w="28" w:type="dxa"/>
          <w:bottom w:w="28" w:type="dxa"/>
          <w:right w:w="28" w:type="dxa"/>
        </w:tblCellMar>
      </w:tblPr>
      <w:tblGrid>
        <w:gridCol w:w="722"/>
        <w:gridCol w:w="635"/>
        <w:gridCol w:w="637"/>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Technology-based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Backlog-related intangible asset was fully utilized during fiscal 2024.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$1.7 billion, $2.0 billion and $2.0 billion in fiscal 2024, 2023 and 2022, respectively, and is recorded in cost of sales and amortization of intangibles on the Consolidated Statements of Income. The remaining amortization expense will be recognized over the remaining weighted average life of approximately 3.7 years.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annual amortization expense for intangible assets as follows:</w:t>
      </w:r>
    </w:p>
    <w:tbl>
      <w:tblPr>
        <w:tblW w:w="2700" w:type="dxa"/>
        <w:jc w:val="left"/>
        <w:tblInd w:w="0" w:type="dxa"/>
        <w:tblLayout w:type="fixed"/>
        <w:tblCellMar>
          <w:top w:w="28" w:type="dxa"/>
          <w:left w:w="28" w:type="dxa"/>
          <w:bottom w:w="28" w:type="dxa"/>
          <w:right w:w="28" w:type="dxa"/>
        </w:tblCellMar>
      </w:tblPr>
      <w:tblGrid>
        <w:gridCol w:w="342"/>
        <w:gridCol w:w="300"/>
        <w:gridCol w:w="302"/>
        <w:gridCol w:w="276"/>
        <w:gridCol w:w="1278"/>
        <w:gridCol w:w="20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1,584,043 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1,126,744 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g.Grant Accounting</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subsidiaries have received grants from governmental agencies. These grants include capital, employment and research and development grants. Capital grants for the acquisition of property, plant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U.S. government enacted the CHIPS and Science Act of 2022 (CHIPS Act), which provides funding for manufacturing grants and research investments and establishes a 25% investment tax credit for certain investments in U.S. semiconductor manufacturing. As of November 2, 2024, the Company recorded $106.3 million and $174.5 million as offsets within current income taxes payable and in other assets, respectively, with a corresponding reduction to the carrying amounts of the qualifying manufacturing assets on the Consolidated Balance Sheet. As of October 28, 2023, the Company recognized $174.3 million in other assets with a corresponding reduction to these fixed asset carrying amounts.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h.Translation of Foreign Currencies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the functional currency of the Company’s foreign operations is the U.S. dollar. In certain entities where that is not the case, gains and losses resulting from translation of the foreign currencies into U.S. dollars are recorded in AOCI.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are included in other, net in the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i.Derivative Instruments and Hedging Agreements</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Foreign Exchange Exposure Management</w:t>
      </w:r>
      <w:r>
        <w:rPr>
          <w:color w:val="000000"/>
        </w:rPr>
        <w:t xml:space="preserve"> — </w:t>
      </w:r>
      <w:r>
        <w:rPr>
          <w:rFonts w:ascii="Times New Roman;sans-serif" w:hAnsi="Times New Roman;sans-serif"/>
          <w:b w:val="false"/>
          <w:color w:val="000000"/>
          <w:sz w:val="20"/>
        </w:rPr>
        <w:t xml:space="preserve">The Company enters into forward foreign currency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Malaysian Ringgit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derivatives are reported as a component of AOCI in shareholders’ equity and reclassified into earnings in the same line item on the Consolidated Statements of Income as the impact of the hedged transaction in the same period during which the hedged transaction affects earnings.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notional amounts of forward foreign currency derivative instruments designated as hedging instruments of cash flow hedges as of November 2, 2024 and October 28, 2023 was $257.0 million and $322.6 million, respectively. The fair values of forward foreign currency derivative instruments designated as hedging instruments in the Company’s Consolidated Balance Sheets as of November 2, 2024 and October 28, 2023 were as follows: </w:t>
      </w:r>
    </w:p>
    <w:tbl>
      <w:tblPr>
        <w:tblW w:w="10205" w:type="dxa"/>
        <w:jc w:val="left"/>
        <w:tblInd w:w="0" w:type="dxa"/>
        <w:tblLayout w:type="fixed"/>
        <w:tblCellMar>
          <w:top w:w="28" w:type="dxa"/>
          <w:left w:w="28" w:type="dxa"/>
          <w:bottom w:w="28" w:type="dxa"/>
          <w:right w:w="28" w:type="dxa"/>
        </w:tblCellMar>
      </w:tblPr>
      <w:tblGrid>
        <w:gridCol w:w="1278"/>
        <w:gridCol w:w="1125"/>
        <w:gridCol w:w="1129"/>
        <w:gridCol w:w="1082"/>
        <w:gridCol w:w="1072"/>
        <w:gridCol w:w="1074"/>
        <w:gridCol w:w="109"/>
        <w:gridCol w:w="109"/>
        <w:gridCol w:w="109"/>
        <w:gridCol w:w="314"/>
        <w:gridCol w:w="921"/>
        <w:gridCol w:w="162"/>
        <w:gridCol w:w="109"/>
        <w:gridCol w:w="109"/>
        <w:gridCol w:w="109"/>
        <w:gridCol w:w="298"/>
        <w:gridCol w:w="872"/>
        <w:gridCol w:w="224"/>
      </w:tblGrid>
      <w:tr>
        <w:trPr/>
        <w:tc>
          <w:tcPr>
            <w:tcW w:w="127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w:t>
            </w:r>
          </w:p>
        </w:tc>
        <w:tc>
          <w:tcPr>
            <w:tcW w:w="3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November 2, 2024 and October 28, 2023, the total notional amounts of undesignated hedges related to forward foreign currency exchange contracts were $176.8 million and $334.7 million, respectively. </w:t>
      </w:r>
    </w:p>
    <w:tbl>
      <w:tblPr>
        <w:tblW w:w="10205" w:type="dxa"/>
        <w:jc w:val="left"/>
        <w:tblInd w:w="0" w:type="dxa"/>
        <w:tblLayout w:type="fixed"/>
        <w:tblCellMar>
          <w:top w:w="28" w:type="dxa"/>
          <w:left w:w="28" w:type="dxa"/>
          <w:bottom w:w="28" w:type="dxa"/>
          <w:right w:w="28" w:type="dxa"/>
        </w:tblCellMar>
      </w:tblPr>
      <w:tblGrid>
        <w:gridCol w:w="1621"/>
        <w:gridCol w:w="1427"/>
        <w:gridCol w:w="1430"/>
        <w:gridCol w:w="869"/>
        <w:gridCol w:w="820"/>
        <w:gridCol w:w="822"/>
        <w:gridCol w:w="109"/>
        <w:gridCol w:w="109"/>
        <w:gridCol w:w="109"/>
        <w:gridCol w:w="262"/>
        <w:gridCol w:w="897"/>
        <w:gridCol w:w="135"/>
        <w:gridCol w:w="109"/>
        <w:gridCol w:w="109"/>
        <w:gridCol w:w="109"/>
        <w:gridCol w:w="271"/>
        <w:gridCol w:w="793"/>
        <w:gridCol w:w="204"/>
      </w:tblGrid>
      <w:tr>
        <w:trPr/>
        <w:tc>
          <w:tcPr>
            <w:tcW w:w="162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Undesignated hedges related to forward foreign currency exchange contracts</w:t>
            </w:r>
          </w:p>
        </w:tc>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Undesignated hedges related to forward foreign currency exchange contracts</w:t>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derivative financial instruments are eligible for netting arrangements that allow the Company and its counterparties to net settle amounts owed to each other. As of November 2, 2024 and October 28, 2023, none of the netting arrangements involved collateral. </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Interest Rate Exposure Management</w:t>
      </w:r>
      <w:r>
        <w:rPr>
          <w:color w:val="000000"/>
        </w:rPr>
        <w:t xml:space="preserve"> — </w:t>
      </w:r>
      <w:r>
        <w:rPr>
          <w:rFonts w:ascii="Times New Roman;sans-serif" w:hAnsi="Times New Roman;sans-serif"/>
          <w:b w:val="false"/>
          <w:color w:val="000000"/>
          <w:sz w:val="20"/>
        </w:rPr>
        <w:t>The Company’s current and future debt may be subject to interest rate risk. The Company utilizes interest rate derivatives to alter interest rate exposure in an attempt to reduce the effects of changes in interest rates. During fiscal 2023, the Company entered into interest rate swap transactions related to its outstanding $1.0 billion aggregate principal amount of 2.1% senior unsecured notes (the 2031 Notes) where the Company swapped the notional amount of its $1.0 billion of fixed rate debt at 2.1% into floating interest rate debt through April 1, 2031.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interest rate swaps were designated and qualified as fair value hedges. The Company does not consider the risk of counterparty default to be significant. The gain or loss on the hedged item attributable to the hedged benchmark interest rate risk and the offsetting gain or loss on the related interest rate swaps were recorded as follows:</w:t>
      </w:r>
    </w:p>
    <w:tbl>
      <w:tblPr>
        <w:tblW w:w="7279" w:type="dxa"/>
        <w:jc w:val="left"/>
        <w:tblInd w:w="0" w:type="dxa"/>
        <w:tblLayout w:type="fixed"/>
        <w:tblCellMar>
          <w:top w:w="28" w:type="dxa"/>
          <w:left w:w="28" w:type="dxa"/>
          <w:bottom w:w="28" w:type="dxa"/>
          <w:right w:w="28" w:type="dxa"/>
        </w:tblCellMar>
      </w:tblPr>
      <w:tblGrid>
        <w:gridCol w:w="656"/>
        <w:gridCol w:w="578"/>
        <w:gridCol w:w="580"/>
        <w:gridCol w:w="231"/>
        <w:gridCol w:w="790"/>
        <w:gridCol w:w="119"/>
        <w:gridCol w:w="109"/>
        <w:gridCol w:w="109"/>
        <w:gridCol w:w="109"/>
        <w:gridCol w:w="219"/>
        <w:gridCol w:w="748"/>
        <w:gridCol w:w="113"/>
        <w:gridCol w:w="109"/>
        <w:gridCol w:w="109"/>
        <w:gridCol w:w="109"/>
        <w:gridCol w:w="231"/>
        <w:gridCol w:w="790"/>
        <w:gridCol w:w="119"/>
        <w:gridCol w:w="109"/>
        <w:gridCol w:w="109"/>
        <w:gridCol w:w="109"/>
        <w:gridCol w:w="218"/>
        <w:gridCol w:w="747"/>
        <w:gridCol w:w="159"/>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 on Swaps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 on Swaps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Note</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November 2, 2024 and October 28, 2023,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its derivative financial instruments in its Consolidated Financial Statements in other current assets, other assets, accrued liabilities, other non-current liabilities and long-term debt, depending on their net position, regardless of the purpose or intent for holding the derivative contract. Changes in the fair value of cash flow hedges are recorded in AOCI and reclassified into earnings in the same line item on the Consolidated Statements of Income as the impact of the hedged transaction when the underlying contract matures. Changes in the fair value of designated fair value hedges are recorded on the Consolidated Balance Sheets as a swap asset or an accrued liability with an offsetting increment/decrement to the long-term debt balance, which is the underlying item being hedged. Changes in the fair values of derivatives not qualifying for hedge accounting are reported in earnings as they occur.</w:t>
      </w:r>
    </w:p>
    <w:p>
      <w:pPr>
        <w:pStyle w:val="TextBody"/>
        <w:bidi w:val="0"/>
        <w:spacing w:lineRule="auto" w:line="288" w:before="140" w:after="283"/>
        <w:ind w:left="0" w:right="0" w:firstLine="450"/>
        <w:jc w:val="left"/>
        <w:rPr/>
      </w:pPr>
      <w:r>
        <w:rPr>
          <w:rFonts w:ascii="Times New Roman;sans-serif" w:hAnsi="Times New Roman;sans-serif"/>
          <w:b w:val="false"/>
          <w:color w:val="000000"/>
          <w:sz w:val="20"/>
        </w:rPr>
        <w:t xml:space="preserve">For information on the unrealized holding gains (losses) on derivatives included in and reclassified out of AOCI into the Consolidated Statements of Income related to forward foreign currency exchange contracts, see Note 2o, </w:t>
      </w:r>
      <w:r>
        <w:rPr>
          <w:rFonts w:ascii="Times New Roman;sans-serif" w:hAnsi="Times New Roman;sans-serif"/>
          <w:b w:val="false"/>
          <w:i/>
          <w:color w:val="000000"/>
          <w:sz w:val="20"/>
        </w:rPr>
        <w:t>Accumulated Other Comprehensive (Loss) Income,</w:t>
      </w:r>
      <w:r>
        <w:rPr>
          <w:color w:val="000000"/>
        </w:rPr>
        <w:t xml:space="preserve"> </w:t>
      </w:r>
      <w:r>
        <w:rPr>
          <w:rFonts w:ascii="Times New Roman;sans-serif" w:hAnsi="Times New Roman;sans-serif"/>
          <w:b w:val="false"/>
          <w:color w:val="000000"/>
          <w:sz w:val="20"/>
        </w:rPr>
        <w:t>of the Notes to Consolidated Financial Statements.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j.Fair Value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Level 1 inputs are quoted prices (unadjusted) in active markets for identical assets or liabilities that the reporting entity has the ability to access at the measurement date.</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140" w:after="283"/>
        <w:ind w:left="0" w:right="0" w:firstLine="495"/>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Level 3 inputs are unobservable inputs for the asset or liability in which there is little, if any, market activity for the asset or liability at the measurement date.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set forth by level, presents the Company’s financial assets and liabilities, excluding accrued interest components, that were accounted for at fair value on a recurring basis as of November 2, 2024 and October 28, 2023. The tables exclude cash on hand and assets and liabilities that are measured at historical cost or any basis other than fair value. As of November 2, 2024 and October 28, 2023, the Company held $1.4 billion and $642.1 million, respectively, of cash that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excluded from the tables below. </w:t>
      </w:r>
    </w:p>
    <w:tbl>
      <w:tblPr>
        <w:tblW w:w="8720" w:type="dxa"/>
        <w:jc w:val="left"/>
        <w:tblInd w:w="0" w:type="dxa"/>
        <w:tblLayout w:type="fixed"/>
        <w:tblCellMar>
          <w:top w:w="28" w:type="dxa"/>
          <w:left w:w="28" w:type="dxa"/>
          <w:bottom w:w="28" w:type="dxa"/>
          <w:right w:w="28" w:type="dxa"/>
        </w:tblCellMar>
      </w:tblPr>
      <w:tblGrid>
        <w:gridCol w:w="1522"/>
        <w:gridCol w:w="1341"/>
        <w:gridCol w:w="1352"/>
        <w:gridCol w:w="211"/>
        <w:gridCol w:w="826"/>
        <w:gridCol w:w="109"/>
        <w:gridCol w:w="109"/>
        <w:gridCol w:w="109"/>
        <w:gridCol w:w="109"/>
        <w:gridCol w:w="211"/>
        <w:gridCol w:w="826"/>
        <w:gridCol w:w="109"/>
        <w:gridCol w:w="109"/>
        <w:gridCol w:w="109"/>
        <w:gridCol w:w="109"/>
        <w:gridCol w:w="109"/>
        <w:gridCol w:w="109"/>
        <w:gridCol w:w="211"/>
        <w:gridCol w:w="97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1450" w:type="dxa"/>
            <w:gridSpan w:val="4"/>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w:t>
              <w:br/>
              <w:t>Reporting Date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institutional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with one year or less to maturity: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obligations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obligations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amortized cost of the Company’s investments classified as available-for-sale as of November 2, 2024 was $382.9 million.</w:t>
      </w:r>
    </w:p>
    <w:p>
      <w:pPr>
        <w:pStyle w:val="TextBody"/>
        <w:bidi w:val="0"/>
        <w:spacing w:lineRule="auto" w:line="288" w:before="0" w:after="0"/>
        <w:jc w:val="left"/>
        <w:rPr/>
      </w:pPr>
      <w:r>
        <w:rPr>
          <w:rFonts w:ascii="Times New Roman;sans-serif" w:hAnsi="Times New Roman;sans-serif"/>
          <w:b w:val="false"/>
          <w:color w:val="000000"/>
          <w:sz w:val="20"/>
        </w:rPr>
        <w:t xml:space="preserve">(2) The Company has master netting arrangements by counterparty with respect to derivative contracts. See Note 2i, </w:t>
      </w:r>
      <w:r>
        <w:rPr>
          <w:rFonts w:ascii="Times New Roman;sans-serif" w:hAnsi="Times New Roman;sans-serif"/>
          <w:b w:val="false"/>
          <w:i/>
          <w:color w:val="000000"/>
          <w:sz w:val="20"/>
        </w:rPr>
        <w:t>Derivative Instruments and Hedging Agreements</w:t>
      </w:r>
      <w:r>
        <w:rPr>
          <w:rFonts w:ascii="Times New Roman;sans-serif" w:hAnsi="Times New Roman;sans-serif"/>
          <w:b w:val="false"/>
          <w:color w:val="000000"/>
          <w:sz w:val="20"/>
        </w:rPr>
        <w:t>, of the Notes to Consolidated Financial Statements for more information related to the Company’s master netting arrangements.</w:t>
      </w:r>
    </w:p>
    <w:p>
      <w:pPr>
        <w:pStyle w:val="TextBody"/>
        <w:bidi w:val="0"/>
        <w:spacing w:lineRule="auto" w:line="288" w:before="0" w:after="0"/>
        <w:jc w:val="left"/>
        <w:rPr/>
      </w:pPr>
      <w:r>
        <w:rPr>
          <w:rFonts w:ascii="Times New Roman;sans-serif" w:hAnsi="Times New Roman;sans-serif"/>
          <w:b w:val="false"/>
          <w:color w:val="000000"/>
          <w:sz w:val="20"/>
        </w:rPr>
        <w:t xml:space="preserve">(3) The carrying value of the related debt was adjusted by an equal and offsetting amount. The fair value of interest rate derivatives is estimated using a discounted cash flow analysis based on the contractual terms of the derivatives. See Note 2i, </w:t>
      </w:r>
      <w:r>
        <w:rPr>
          <w:rFonts w:ascii="Times New Roman;sans-serif" w:hAnsi="Times New Roman;sans-serif"/>
          <w:b w:val="false"/>
          <w:i/>
          <w:color w:val="000000"/>
          <w:sz w:val="20"/>
        </w:rPr>
        <w:t xml:space="preserve">Derivative Instruments and Hedging Agreements, </w:t>
      </w:r>
      <w:r>
        <w:rPr>
          <w:rFonts w:ascii="Times New Roman;sans-serif" w:hAnsi="Times New Roman;sans-serif"/>
          <w:b w:val="false"/>
          <w:color w:val="000000"/>
          <w:sz w:val="20"/>
        </w:rPr>
        <w:t>of the Notes to Consolidated Financial Statements.</w:t>
      </w:r>
    </w:p>
    <w:p>
      <w:pPr>
        <w:pStyle w:val="TextBody"/>
        <w:bidi w:val="0"/>
        <w:spacing w:before="1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tbl>
      <w:tblPr>
        <w:tblW w:w="8502" w:type="dxa"/>
        <w:jc w:val="left"/>
        <w:tblInd w:w="0" w:type="dxa"/>
        <w:tblLayout w:type="fixed"/>
        <w:tblCellMar>
          <w:top w:w="28" w:type="dxa"/>
          <w:left w:w="28" w:type="dxa"/>
          <w:bottom w:w="28" w:type="dxa"/>
          <w:right w:w="28" w:type="dxa"/>
        </w:tblCellMar>
      </w:tblPr>
      <w:tblGrid>
        <w:gridCol w:w="1522"/>
        <w:gridCol w:w="1341"/>
        <w:gridCol w:w="1352"/>
        <w:gridCol w:w="211"/>
        <w:gridCol w:w="826"/>
        <w:gridCol w:w="109"/>
        <w:gridCol w:w="109"/>
        <w:gridCol w:w="109"/>
        <w:gridCol w:w="109"/>
        <w:gridCol w:w="211"/>
        <w:gridCol w:w="721"/>
        <w:gridCol w:w="109"/>
        <w:gridCol w:w="109"/>
        <w:gridCol w:w="109"/>
        <w:gridCol w:w="109"/>
        <w:gridCol w:w="109"/>
        <w:gridCol w:w="146"/>
        <w:gridCol w:w="211"/>
        <w:gridCol w:w="82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c>
          <w:tcPr>
            <w:tcW w:w="1337" w:type="dxa"/>
            <w:gridSpan w:val="4"/>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w:t>
              <w:br/>
              <w:t>Reporting Date using:</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institutional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 (1)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foreign currency exchange contracts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20"/>
        </w:rPr>
        <w:t xml:space="preserve">(1) The Company has master netting arrangements by counterparty with respect to derivative contracts. See Note 2i, </w:t>
      </w:r>
      <w:r>
        <w:rPr>
          <w:rFonts w:ascii="Times New Roman;sans-serif" w:hAnsi="Times New Roman;sans-serif"/>
          <w:b w:val="false"/>
          <w:i/>
          <w:color w:val="000000"/>
          <w:sz w:val="20"/>
        </w:rPr>
        <w:t>Derivative Instruments and Hedging Agreements</w:t>
      </w:r>
      <w:r>
        <w:rPr>
          <w:rFonts w:ascii="Times New Roman;sans-serif" w:hAnsi="Times New Roman;sans-serif"/>
          <w:b w:val="false"/>
          <w:color w:val="000000"/>
          <w:sz w:val="20"/>
        </w:rPr>
        <w:t>, of the Notes to Consolidated Financial Statements for more information related to the Company’s master netting arrangements.</w:t>
      </w:r>
    </w:p>
    <w:p>
      <w:pPr>
        <w:pStyle w:val="TextBody"/>
        <w:bidi w:val="0"/>
        <w:spacing w:lineRule="auto" w:line="288" w:before="0" w:after="0"/>
        <w:jc w:val="left"/>
        <w:rPr/>
      </w:pPr>
      <w:r>
        <w:rPr>
          <w:rFonts w:ascii="Times New Roman;sans-serif" w:hAnsi="Times New Roman;sans-serif"/>
          <w:b w:val="false"/>
          <w:color w:val="000000"/>
          <w:sz w:val="20"/>
        </w:rPr>
        <w:t xml:space="preserve">(2) The carrying value of the related debt was adjusted by an equal and offsetting amount. The fair value of interest rate derivatives is estimated using a discounted cash flow analysis based on the contractual terms of the derivatives. See Note 2i, </w:t>
      </w:r>
      <w:r>
        <w:rPr>
          <w:rFonts w:ascii="Times New Roman;sans-serif" w:hAnsi="Times New Roman;sans-serif"/>
          <w:b w:val="false"/>
          <w:i/>
          <w:color w:val="000000"/>
          <w:sz w:val="20"/>
        </w:rPr>
        <w:t xml:space="preserve">Derivative Instruments and Hedging Agreements, </w:t>
      </w:r>
      <w:r>
        <w:rPr>
          <w:rFonts w:ascii="Times New Roman;sans-serif" w:hAnsi="Times New Roman;sans-serif"/>
          <w:b w:val="false"/>
          <w:color w:val="000000"/>
          <w:sz w:val="20"/>
        </w:rPr>
        <w:t>of the Notes to Consolidated Financial Statements.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disclosures for financial instruments:</w:t>
      </w:r>
    </w:p>
    <w:p>
      <w:pPr>
        <w:pStyle w:val="TextBody"/>
        <w:bidi w:val="0"/>
        <w:spacing w:lineRule="auto" w:line="288" w:before="140" w:after="283"/>
        <w:ind w:left="0" w:right="0" w:firstLine="495"/>
        <w:jc w:val="left"/>
        <w:rPr/>
      </w:pPr>
      <w:r>
        <w:rPr>
          <w:rFonts w:ascii="Times New Roman;sans-serif" w:hAnsi="Times New Roman;sans-serif"/>
          <w:b/>
          <w:i/>
          <w:color w:val="000000"/>
          <w:sz w:val="20"/>
        </w:rPr>
        <w:t xml:space="preserve">Cash equivalents and short-term investments </w:t>
      </w:r>
      <w:r>
        <w:rPr>
          <w:color w:val="000000"/>
        </w:rPr>
        <w:t xml:space="preserve">— </w:t>
      </w:r>
      <w:r>
        <w:rPr>
          <w:rFonts w:ascii="Times New Roman;sans-serif" w:hAnsi="Times New Roman;sans-serif"/>
          <w:b w:val="false"/>
          <w:color w:val="000000"/>
          <w:sz w:val="20"/>
        </w:rPr>
        <w:t>These investments are adjusted to fair value based on quoted market prices or are determined using a yield curve model based on current market rates.</w:t>
      </w:r>
    </w:p>
    <w:p>
      <w:pPr>
        <w:pStyle w:val="TextBody"/>
        <w:bidi w:val="0"/>
        <w:spacing w:lineRule="auto" w:line="288" w:before="140" w:after="283"/>
        <w:ind w:left="0" w:right="0" w:firstLine="495"/>
        <w:jc w:val="left"/>
        <w:rPr/>
      </w:pPr>
      <w:r>
        <w:rPr>
          <w:rFonts w:ascii="Times New Roman;sans-serif" w:hAnsi="Times New Roman;sans-serif"/>
          <w:b/>
          <w:i/>
          <w:color w:val="000000"/>
          <w:sz w:val="20"/>
        </w:rPr>
        <w:t>Deferred compensation plan investments</w:t>
      </w:r>
      <w:r>
        <w:rPr>
          <w:color w:val="000000"/>
        </w:rPr>
        <w:t xml:space="preserve"> — </w:t>
      </w:r>
      <w:r>
        <w:rPr>
          <w:rFonts w:ascii="Times New Roman;sans-serif" w:hAnsi="Times New Roman;sans-serif"/>
          <w:b w:val="false"/>
          <w:color w:val="000000"/>
          <w:sz w:val="20"/>
        </w:rPr>
        <w:t>The fair value of these mutual fund, money market fund and equity investments are based on quoted market prices.</w:t>
      </w:r>
    </w:p>
    <w:p>
      <w:pPr>
        <w:pStyle w:val="TextBody"/>
        <w:bidi w:val="0"/>
        <w:spacing w:lineRule="auto" w:line="288" w:before="140" w:after="283"/>
        <w:ind w:left="0" w:right="0" w:firstLine="495"/>
        <w:jc w:val="left"/>
        <w:rPr/>
      </w:pPr>
      <w:r>
        <w:rPr>
          <w:rFonts w:ascii="Times New Roman;sans-serif" w:hAnsi="Times New Roman;sans-serif"/>
          <w:b/>
          <w:i/>
          <w:color w:val="000000"/>
          <w:sz w:val="20"/>
        </w:rPr>
        <w:t>Forward foreign currency exchange contracts</w:t>
      </w:r>
      <w:r>
        <w:rPr>
          <w:color w:val="000000"/>
        </w:rPr>
        <w:t xml:space="preserve"> — </w:t>
      </w:r>
      <w:r>
        <w:rPr>
          <w:rFonts w:ascii="Times New Roman;sans-serif" w:hAnsi="Times New Roman;sans-serif"/>
          <w:b w:val="false"/>
          <w:color w:val="000000"/>
          <w:sz w:val="20"/>
        </w:rPr>
        <w:t>The estimated fair value of forward foreign currency exchange contracts, which includes derivatives that are accounted for as cash flow hedges and those that are not designated as cash flow hedges, is based on the estimated amount the Company would receive if it sold these agreements at the reporting date taking into consideration current exchange rates as well as the creditworthiness of the counterparty for assets and the Company’s creditworthiness for liabilities. The fair value of these instruments is based upon valuation models using current market information such as strike price, spot rate, forward points, and maturity date.</w:t>
      </w:r>
    </w:p>
    <w:p>
      <w:pPr>
        <w:pStyle w:val="TextBody"/>
        <w:bidi w:val="0"/>
        <w:spacing w:lineRule="auto" w:line="288" w:before="140" w:after="283"/>
        <w:ind w:left="0" w:right="0" w:firstLine="495"/>
        <w:jc w:val="left"/>
        <w:rPr/>
      </w:pPr>
      <w:r>
        <w:rPr>
          <w:rFonts w:ascii="Times New Roman;sans-serif" w:hAnsi="Times New Roman;sans-serif"/>
          <w:b/>
          <w:i/>
          <w:color w:val="000000"/>
          <w:sz w:val="20"/>
        </w:rPr>
        <w:t>Interest rate derivative</w:t>
      </w:r>
      <w:r>
        <w:rPr>
          <w:color w:val="000000"/>
        </w:rPr>
        <w:t xml:space="preserve"> — </w:t>
      </w:r>
      <w:r>
        <w:rPr>
          <w:rFonts w:ascii="Times New Roman;sans-serif" w:hAnsi="Times New Roman;sans-serif"/>
          <w:b w:val="false"/>
          <w:color w:val="000000"/>
          <w:sz w:val="20"/>
        </w:rPr>
        <w:t>The fair value of interest rate derivatives is estimated using a discounted cash flow analysis based on the contractual terms of the derivatives.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Not Recorded at Fair Value on a Recurring Basis</w:t>
      </w:r>
    </w:p>
    <w:p>
      <w:pPr>
        <w:pStyle w:val="TextBody"/>
        <w:bidi w:val="0"/>
        <w:spacing w:lineRule="auto" w:line="288" w:before="180" w:after="283"/>
        <w:ind w:left="0" w:right="0" w:firstLine="450"/>
        <w:jc w:val="left"/>
        <w:rPr/>
      </w:pPr>
      <w:r>
        <w:rPr>
          <w:rFonts w:ascii="Times New Roman;sans-serif" w:hAnsi="Times New Roman;sans-serif"/>
          <w:b/>
          <w:i/>
          <w:color w:val="000000"/>
          <w:sz w:val="20"/>
        </w:rPr>
        <w:t xml:space="preserve">Santa Clara, California leased property asset group — </w:t>
      </w:r>
      <w:r>
        <w:rPr>
          <w:rFonts w:ascii="Times New Roman;sans-serif" w:hAnsi="Times New Roman;sans-serif"/>
          <w:b w:val="false"/>
          <w:color w:val="000000"/>
          <w:sz w:val="20"/>
        </w:rPr>
        <w:t xml:space="preserve">As a result of a sublease transaction involving a leased property in Santa Clara, California during fiscal 2022, the Company estimated the fair value of the sublease assets using discounted cash flows from the estimated net sublease rental income discounted at a market rate and recorded an impairment charge which represented the excess carrying value of the asset group associated with the Santa Clara, California leased property over its estimated fair value. These assets are considered a Level 2 fair value measurement. See Note 5, </w:t>
      </w:r>
      <w:r>
        <w:rPr>
          <w:rFonts w:ascii="Times New Roman;sans-serif" w:hAnsi="Times New Roman;sans-serif"/>
          <w:b w:val="false"/>
          <w:i/>
          <w:color w:val="000000"/>
          <w:sz w:val="20"/>
        </w:rPr>
        <w:t>Special Charges, Net</w:t>
      </w:r>
      <w:r>
        <w:rPr>
          <w:rFonts w:ascii="Times New Roman;sans-serif" w:hAnsi="Times New Roman;sans-serif"/>
          <w:b w:val="false"/>
          <w:color w:val="000000"/>
          <w:sz w:val="20"/>
        </w:rPr>
        <w:t>, of the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ind w:left="0" w:right="0" w:firstLine="450"/>
        <w:jc w:val="left"/>
        <w:rPr/>
      </w:pPr>
      <w:r>
        <w:rPr>
          <w:rFonts w:ascii="Times New Roman;sans-serif" w:hAnsi="Times New Roman;sans-serif"/>
          <w:b/>
          <w:i/>
          <w:color w:val="000000"/>
          <w:sz w:val="20"/>
        </w:rPr>
        <w:t xml:space="preserve">Held for sale assets </w:t>
      </w:r>
      <w:r>
        <w:rPr>
          <w:color w:val="000000"/>
        </w:rPr>
        <w:t xml:space="preserve">— </w:t>
      </w:r>
      <w:r>
        <w:rPr>
          <w:rFonts w:ascii="Times New Roman;sans-serif" w:hAnsi="Times New Roman;sans-serif"/>
          <w:b w:val="false"/>
          <w:color w:val="000000"/>
          <w:sz w:val="20"/>
        </w:rPr>
        <w:t>The Company has classified the assets held for sale at carrying value. However, if they were to be carried at fair value, they would be considered a Level 3 fair value measurement and would be determined based on the use of appraisals and input from market participants.</w:t>
      </w:r>
    </w:p>
    <w:p>
      <w:pPr>
        <w:pStyle w:val="TextBody"/>
        <w:bidi w:val="0"/>
        <w:spacing w:lineRule="auto" w:line="288" w:before="180" w:after="283"/>
        <w:ind w:left="0" w:right="0" w:firstLine="450"/>
        <w:jc w:val="left"/>
        <w:rPr/>
      </w:pPr>
      <w:r>
        <w:rPr>
          <w:rFonts w:ascii="Times New Roman;sans-serif" w:hAnsi="Times New Roman;sans-serif"/>
          <w:b/>
          <w:i/>
          <w:color w:val="000000"/>
          <w:sz w:val="20"/>
        </w:rPr>
        <w:t>Debt</w:t>
      </w:r>
      <w:r>
        <w:rPr>
          <w:color w:val="000000"/>
        </w:rPr>
        <w:t xml:space="preserve"> — </w:t>
      </w:r>
      <w:r>
        <w:rPr>
          <w:rFonts w:ascii="Times New Roman;sans-serif" w:hAnsi="Times New Roman;sans-serif"/>
          <w:b w:val="false"/>
          <w:color w:val="000000"/>
          <w:sz w:val="20"/>
        </w:rPr>
        <w:t xml:space="preserve">The table below presents the estimated fair value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($547.7 million and $547.2 million as of November 2, 2024 and October 28, 2023, respectively). The fair values of the senior unsecured notes are obtained from broker prices and are classified as Level 1 measurements according to the fair value hierarchy. See Note 14, </w:t>
      </w:r>
      <w:r>
        <w:rPr>
          <w:rFonts w:ascii="Times New Roman;sans-serif" w:hAnsi="Times New Roman;sans-serif"/>
          <w:b w:val="false"/>
          <w:i/>
          <w:color w:val="000000"/>
          <w:sz w:val="20"/>
        </w:rPr>
        <w:t>Debt</w:t>
      </w:r>
      <w:r>
        <w:rPr>
          <w:rFonts w:ascii="Times New Roman;sans-serif" w:hAnsi="Times New Roman;sans-serif"/>
          <w:b w:val="false"/>
          <w:color w:val="000000"/>
          <w:sz w:val="20"/>
        </w:rPr>
        <w:t>, of the Notes to Consolidated Financial Statements for further discussion related to outstanding debt.</w:t>
      </w:r>
    </w:p>
    <w:tbl>
      <w:tblPr>
        <w:tblW w:w="10205" w:type="dxa"/>
        <w:jc w:val="left"/>
        <w:tblInd w:w="0" w:type="dxa"/>
        <w:tblLayout w:type="fixed"/>
        <w:tblCellMar>
          <w:top w:w="28" w:type="dxa"/>
          <w:left w:w="28" w:type="dxa"/>
          <w:bottom w:w="28" w:type="dxa"/>
          <w:right w:w="28" w:type="dxa"/>
        </w:tblCellMar>
      </w:tblPr>
      <w:tblGrid>
        <w:gridCol w:w="872"/>
        <w:gridCol w:w="735"/>
        <w:gridCol w:w="738"/>
        <w:gridCol w:w="342"/>
        <w:gridCol w:w="1584"/>
        <w:gridCol w:w="176"/>
        <w:gridCol w:w="109"/>
        <w:gridCol w:w="109"/>
        <w:gridCol w:w="109"/>
        <w:gridCol w:w="211"/>
        <w:gridCol w:w="976"/>
        <w:gridCol w:w="109"/>
        <w:gridCol w:w="109"/>
        <w:gridCol w:w="109"/>
        <w:gridCol w:w="109"/>
        <w:gridCol w:w="347"/>
        <w:gridCol w:w="1610"/>
        <w:gridCol w:w="179"/>
        <w:gridCol w:w="109"/>
        <w:gridCol w:w="109"/>
        <w:gridCol w:w="109"/>
        <w:gridCol w:w="211"/>
        <w:gridCol w:w="976"/>
        <w:gridCol w:w="158"/>
      </w:tblGrid>
      <w:tr>
        <w:trPr/>
        <w:tc>
          <w:tcPr>
            <w:tcW w:w="87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Principal Amount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due October 2024</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April 2025</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 due December 2026</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Notes, due June 2027</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 due October 2028</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Notes, due October 2031</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Notes, due October 2032</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Notes, due April 2034</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 Notes, due December 2036</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 Notes, due October 2041</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2045 Notes, due December 2045</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2051 Notes, due October 2051</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Notes, due April 2054</w:t>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7,117,077 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6,517,077 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5,297,099 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k.Use of Estimates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including estimates of variable consideration related to distributor sales; accrued taxes; uncertain tax positions; deferred tax valuation allowances; assumptions pertaining to stock-based compensation payments and defined benefit plans; and fair value of acquired assets and liabilities, including inventory, property, plant and equipment, goodwill and acquired intangibles; and other reserves. Actual results could differ from those estimates and such differences may be material to the financial statements.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l.Concentrations of Risk</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investments and trade accounts receivable.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cash equivalents and short-term investments with high credit quality counterparties, continuously monitors the amount of credit exposure to any one issuer and diversifies its investments in order to minimize its credit risk.</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products to distributors and original equipment manufacturers (OEMs) involved in a variety of industries including industrial, communications, automotive and consumer end markets.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 attributable to significant distributors whose revenue as a percentage of total revenue was 10% or greater of total revenue is presented in the following table:</w:t>
      </w:r>
    </w:p>
    <w:tbl>
      <w:tblPr>
        <w:tblW w:w="6378"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479"/>
        <w:gridCol w:w="479"/>
        <w:gridCol w:w="481"/>
        <w:gridCol w:w="109"/>
        <w:gridCol w:w="109"/>
        <w:gridCol w:w="109"/>
        <w:gridCol w:w="459"/>
        <w:gridCol w:w="459"/>
        <w:gridCol w:w="461"/>
        <w:gridCol w:w="109"/>
        <w:gridCol w:w="109"/>
        <w:gridCol w:w="109"/>
        <w:gridCol w:w="417"/>
        <w:gridCol w:w="417"/>
        <w:gridCol w:w="590"/>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w:t>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this distributor was not greater than 10% of total revenue for these periods.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other customer accounted for greater than 10% of total revenue in any period presented.</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m.Concentration of Other Risks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more than half of the Company’s purchases of external wafer and foundry services are from a limited number of suppliers, such as Taiwan Semiconductor Manufacturing Company (TSMC)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n.Revenue Recognition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revenue occurs when a customer obtains control of promised goods or services in an amount that reflects the consideration to which the providing entity expects to be entitled in exchange for those goods or services. The Company recognizes revenue upon transfer of control of promised products or services to customers in an amount that reflects the consideration the Company expects to receive in exchange for those products or services.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and control of the promised goods have passed to the customer. Shipping costs are charged to selling, marketing, general and administrative expense as incurred. Sales taxes are excluded from revenue.</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Performance Obligations</w:t>
      </w:r>
      <w:r>
        <w:rPr>
          <w:rFonts w:ascii="Times New Roman;sans-serif" w:hAnsi="Times New Roman;sans-serif"/>
          <w:b w:val="false"/>
          <w:color w:val="000000"/>
          <w:sz w:val="20"/>
        </w:rPr>
        <w:t xml:space="preserve">: Substantially all of the Company’s contracts with customers contain a single performance obligation, the sale of mixed-signal integrated circuit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The Company generally offers a twelve-month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warranty for its products. The Company’s warranty policy provides for replacement of defective products. Specific accruals are recorded for known product warranty issues. Product warranty expenses during fiscal 2024, fiscal 2023 and fiscal 2022 were not material.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Transaction Price</w:t>
      </w:r>
      <w:r>
        <w:rPr>
          <w:rFonts w:ascii="Times New Roman;sans-serif" w:hAnsi="Times New Roman;sans-serif"/>
          <w:b w:val="false"/>
          <w:color w:val="000000"/>
          <w:sz w:val="20"/>
        </w:rPr>
        <w:t>: The transaction price reflects the Company’s expectations about the consideration it will be entitled to receive from the customer 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The vast majority of such consideration are credits issued to the distributor due to price protection, but also include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 For fiscal 2024 and fiscal 2023, sales to distributors were approximately $5.5 billion and $7.5 billion, respectively, net of variable consideration for which the liability balances as of November 2, 2024 and October 28, 2023 were $508.7 million and $525.4 million, respectively, and were recorded in accrued liabilities on the Consolidated Balance Sheets.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xml:space="preserve">: Accounts receivable represents the Company’s unconditional right to receive consideration from its customers. Payments are typically due within 30 to 45 days of invoicing and do not include a significant financing component. To date, there have been no material credit losses on accounts receivable. There were no material contract assets or contract liabilities recorded on the Consolidated Balance Sheets in any of the periods presented. </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o.Accumulated Other Comprehensive (Loss) Income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AOCI includes certain transactions that have generally been reported in the Consolidated Statement of Shareholders’ Equity. The changes in components of AOCI at November 2, 2024 and October 28, 2023 consisted of the following:</w:t>
      </w:r>
    </w:p>
    <w:tbl>
      <w:tblPr>
        <w:tblW w:w="10205" w:type="dxa"/>
        <w:jc w:val="left"/>
        <w:tblInd w:w="0" w:type="dxa"/>
        <w:tblLayout w:type="fixed"/>
        <w:tblCellMar>
          <w:top w:w="28" w:type="dxa"/>
          <w:left w:w="28" w:type="dxa"/>
          <w:bottom w:w="28" w:type="dxa"/>
          <w:right w:w="28" w:type="dxa"/>
        </w:tblCellMar>
      </w:tblPr>
      <w:tblGrid>
        <w:gridCol w:w="955"/>
        <w:gridCol w:w="837"/>
        <w:gridCol w:w="747"/>
        <w:gridCol w:w="358"/>
        <w:gridCol w:w="1314"/>
        <w:gridCol w:w="185"/>
        <w:gridCol w:w="109"/>
        <w:gridCol w:w="109"/>
        <w:gridCol w:w="109"/>
        <w:gridCol w:w="109"/>
        <w:gridCol w:w="109"/>
        <w:gridCol w:w="109"/>
        <w:gridCol w:w="109"/>
        <w:gridCol w:w="363"/>
        <w:gridCol w:w="1512"/>
        <w:gridCol w:w="187"/>
        <w:gridCol w:w="109"/>
        <w:gridCol w:w="109"/>
        <w:gridCol w:w="109"/>
        <w:gridCol w:w="214"/>
        <w:gridCol w:w="772"/>
        <w:gridCol w:w="110"/>
        <w:gridCol w:w="109"/>
        <w:gridCol w:w="109"/>
        <w:gridCol w:w="109"/>
        <w:gridCol w:w="211"/>
        <w:gridCol w:w="863"/>
        <w:gridCol w:w="160"/>
      </w:tblGrid>
      <w:tr>
        <w:trPr/>
        <w:tc>
          <w:tcPr>
            <w:tcW w:w="9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 gains/losses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October 28, 2023</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(72,544)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(102,043)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(13,715)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(188,302)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10,481 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(14,662)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(3,148)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out of other comprehensive loss</w:t>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10,168 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11,200 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w:t>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(3,808)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(1,198)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(5,006)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16,841 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(14,828)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3,046 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November 2, 2024</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(71,511)</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(85,202)</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(28,543)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(185,256)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reclassified out of AOCI into the Consolidated Statements of Income, with presentation location during each period were as follows:</w:t>
      </w:r>
    </w:p>
    <w:tbl>
      <w:tblPr>
        <w:tblW w:w="10205" w:type="dxa"/>
        <w:jc w:val="center"/>
        <w:tblInd w:w="0" w:type="dxa"/>
        <w:tblLayout w:type="fixed"/>
        <w:tblCellMar>
          <w:top w:w="28" w:type="dxa"/>
          <w:left w:w="28" w:type="dxa"/>
          <w:bottom w:w="28" w:type="dxa"/>
          <w:right w:w="28" w:type="dxa"/>
        </w:tblCellMar>
      </w:tblPr>
      <w:tblGrid>
        <w:gridCol w:w="1190"/>
        <w:gridCol w:w="1048"/>
        <w:gridCol w:w="1051"/>
        <w:gridCol w:w="130"/>
        <w:gridCol w:w="130"/>
        <w:gridCol w:w="130"/>
        <w:gridCol w:w="253"/>
        <w:gridCol w:w="741"/>
        <w:gridCol w:w="130"/>
        <w:gridCol w:w="130"/>
        <w:gridCol w:w="130"/>
        <w:gridCol w:w="130"/>
        <w:gridCol w:w="253"/>
        <w:gridCol w:w="868"/>
        <w:gridCol w:w="130"/>
        <w:gridCol w:w="130"/>
        <w:gridCol w:w="130"/>
        <w:gridCol w:w="130"/>
        <w:gridCol w:w="130"/>
        <w:gridCol w:w="109"/>
        <w:gridCol w:w="935"/>
        <w:gridCol w:w="904"/>
        <w:gridCol w:w="1293"/>
      </w:tblGrid>
      <w:tr>
        <w:trPr/>
        <w:tc>
          <w:tcPr>
            <w:tcW w:w="119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Component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r>
      <w:tr>
        <w:trPr/>
        <w:tc>
          <w:tcPr>
            <w:tcW w:w="6444"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holding gains/losses on derivatives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Currency forwards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Cost of sales</w:t>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Research and development</w:t>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(3,762)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(2,738)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Selling, marketing, general and administrative</w:t>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Interest rate derivatives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14,924 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14,920 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Interest expense</w:t>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10,168 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12,933 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Total before tax</w:t>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(2,140)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(3,311)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Tax</w:t>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8,028 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9,622 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Net of tax</w:t>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1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Amortization of pension components included in the computation of net periodic benefit cost</w:t>
            </w:r>
          </w:p>
        </w:tc>
        <w:tc>
          <w:tcPr>
            <w:tcW w:w="3241" w:type="dxa"/>
            <w:gridSpan w:val="4"/>
            <w:tcBorders/>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Actuarial losses (1)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1,032 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1,513 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Net of tax</w:t>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Total amounts reclassified out of AOCI, net of tax</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9,060 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11,135 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 xml:space="preserve">(1)The amortization of pension components is included in the computation of net periodic benefit cost. See Note 11, </w:t>
      </w:r>
      <w:r>
        <w:rPr>
          <w:rFonts w:ascii="Times New Roman;sans-serif" w:hAnsi="Times New Roman;sans-serif"/>
          <w:b w:val="false"/>
          <w:i/>
          <w:color w:val="000000"/>
          <w:sz w:val="18"/>
        </w:rPr>
        <w:t xml:space="preserve">Retirement Plans, </w:t>
      </w:r>
      <w:r>
        <w:rPr>
          <w:rFonts w:ascii="Times New Roman;sans-serif" w:hAnsi="Times New Roman;sans-serif"/>
          <w:b w:val="false"/>
          <w:color w:val="000000"/>
          <w:sz w:val="18"/>
        </w:rPr>
        <w:t>of the Notes to Consolidated Financial Statements for further information</w:t>
      </w:r>
      <w:r>
        <w:rPr>
          <w:rFonts w:ascii="Times New Roman;sans-serif" w:hAnsi="Times New Roman;sans-serif"/>
          <w:b w:val="false"/>
          <w:i/>
          <w:color w:val="000000"/>
          <w:sz w:val="18"/>
        </w:rPr>
        <w:t>.</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p.Income Taxes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The likelihood of the realization of deferred tax assets is assessed and a corresponding valuation allowance is recorded as necessary if management determines those deferred tax assets may not be realized due to the uncertainty of the timing and amount to be realized of certain state and international tax credit carryovers. In reaching this conclusion, the Company evaluates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Judgments regarding future profitability may change due to future market conditions, changes in U.S. or international tax laws and other factors. These changes, if any, may require material adjustments to these deferred tax assets, which may result in an increase or decrease to the income tax provision in future periods.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 tax positions by first determining if it is “more likely than not” that a tax position will be sustained by the appropriate taxing authorities prior to recording any benefit in the Consolidated Financial Statements. An uncertain income tax position is not recognized if it has less than a 50% likelihood of being sustained. For those tax positions where it is more likely than not that a tax position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Management classifies interest and penalties related to uncertain tax positions within the provision for income taxes line of the Consolidated Statements of Income. Management reevaluates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the Company’s income tax provision which could materially impact its consolidated financial position and results of operations.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global business, there are many transactions and calculations where the ultimate tax outcome is uncertain. Some of these uncertainties arise as a consequence of cost reimbursement and royalty arrangements among related entities. Although the Company believes its estimates are reasonable, no assurance can be given that the final tax outcome of these matters will not be different than that which is reflected in the historical income tax provisions and income tax liabilities. In the event management’s assumptions are incorrect, the differences could have a material impact on its income tax provision and operating results in the period in which such determination is made. In addition to the factors described above, the current and expected effective tax rate is based on then-current tax law. Significant changes in enacted tax law could affect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jc w:val="left"/>
        <w:rPr/>
      </w:pPr>
      <w:r>
        <w:rPr>
          <w:rFonts w:ascii="Times New Roman;sans-serif" w:hAnsi="Times New Roman;sans-serif"/>
          <w:b w:val="false"/>
          <w:color w:val="000000"/>
          <w:sz w:val="20"/>
        </w:rPr>
        <w:t xml:space="preserve">estimates. See Note 12,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of the Notes to Consolidated Financial Statements for further information related to income taxes.</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q.Earnings Per Share of Common Stock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9492" w:type="dxa"/>
        <w:jc w:val="left"/>
        <w:tblInd w:w="0" w:type="dxa"/>
        <w:tblLayout w:type="fixed"/>
        <w:tblCellMar>
          <w:top w:w="28" w:type="dxa"/>
          <w:left w:w="28" w:type="dxa"/>
          <w:bottom w:w="28" w:type="dxa"/>
          <w:right w:w="28" w:type="dxa"/>
        </w:tblCellMar>
      </w:tblPr>
      <w:tblGrid>
        <w:gridCol w:w="1774"/>
        <w:gridCol w:w="1558"/>
        <w:gridCol w:w="1573"/>
        <w:gridCol w:w="211"/>
        <w:gridCol w:w="976"/>
        <w:gridCol w:w="109"/>
        <w:gridCol w:w="109"/>
        <w:gridCol w:w="109"/>
        <w:gridCol w:w="109"/>
        <w:gridCol w:w="211"/>
        <w:gridCol w:w="976"/>
        <w:gridCol w:w="109"/>
        <w:gridCol w:w="109"/>
        <w:gridCol w:w="109"/>
        <w:gridCol w:w="109"/>
        <w:gridCol w:w="211"/>
        <w:gridCol w:w="976"/>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shares: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shares: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exercise of common stock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shares related to:</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pPr>
      <w:r>
        <w:rPr>
          <w:rFonts w:ascii="Times New Roman;sans-serif" w:hAnsi="Times New Roman;sans-serif"/>
          <w:b/>
          <w:i/>
          <w:color w:val="000000"/>
          <w:sz w:val="16"/>
        </w:rPr>
        <w:t>r.</w:t>
      </w:r>
      <w:r>
        <w:rPr>
          <w:rFonts w:ascii="Times New Roman;sans-serif" w:hAnsi="Times New Roman;sans-serif"/>
          <w:b/>
          <w:i/>
          <w:color w:val="000000"/>
          <w:sz w:val="20"/>
        </w:rPr>
        <w:t>Stock-Based Compensation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Restricted stock units with service and performance or market conditions generally vest in one installment on the third anniversary of the date of grant. For grants issued prior to fiscal 2018, the vesting period was generally five years for stock options, or in annual installments of 20% on each of the first, second, third, fourth and fifth anniversaries of the date of grant and in one installment on the third anniversary of the date of grant for restricted stock units/awards. The maximum contractual term of all stock options is ten years.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the amount of stock-based compensation expense to be recorded requires the Company to develop estimates used in calculating the grant-date fair value of awards. These estimates may be based on different valuation models depending upon the type of award and may include assumptions, such as expected volatility, expected term, risk-free interest rate, expected dividend yield, forfeiture rate and others. The Company uses the Black-Scholes valuation model to calculate the grant-date fair value of stock option awards. The grant-date fair value of restricted stock units with a service condition and restricted stock units with both service and performance conditions is calculated using the value of the Company’s common stock on the date of grant, reduced by the present value of dividends expected to be paid on the Company’s common stock prior to vesting.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the Company determines that an award is unlikely to vest, any previously recorded stock-based compensation expense is reversed in the period of that determination. The grant date fair value of restricted stock units and performance-based stock options with both service and market conditions is calculated using the Monte Carlo simulation model to estimate the probability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satisfying the performance condition stipulated in the award grant, including the possibility that the market condition may not be satisfied.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shares issued under the Company’s employee stock purchase plan (ESPP) is computed using the Black-Scholes model at the commencement of an offering period in June and December of each year and the related expense is recorded over the offering period.</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See Note 3, </w:t>
      </w:r>
      <w:r>
        <w:rPr>
          <w:rFonts w:ascii="Times New Roman;sans-serif" w:hAnsi="Times New Roman;sans-serif"/>
          <w:b w:val="false"/>
          <w:i/>
          <w:color w:val="000000"/>
          <w:sz w:val="20"/>
        </w:rPr>
        <w:t>Stock-Based Compensation and Shareholders</w:t>
      </w:r>
      <w:r>
        <w:rPr>
          <w:color w:val="000000"/>
        </w:rPr>
        <w:t xml:space="preserve">’ </w:t>
      </w:r>
      <w:r>
        <w:rPr>
          <w:rFonts w:ascii="Times New Roman;sans-serif" w:hAnsi="Times New Roman;sans-serif"/>
          <w:b w:val="false"/>
          <w:i/>
          <w:color w:val="000000"/>
          <w:sz w:val="20"/>
        </w:rPr>
        <w:t>Equity</w:t>
      </w:r>
      <w:r>
        <w:rPr>
          <w:rFonts w:ascii="Times New Roman;sans-serif" w:hAnsi="Times New Roman;sans-serif"/>
          <w:b w:val="false"/>
          <w:color w:val="000000"/>
          <w:sz w:val="20"/>
        </w:rPr>
        <w:t>, of the Notes to Consolidated Financial Statements for additional information relating to stock-based compensation.</w:t>
      </w:r>
    </w:p>
    <w:p>
      <w:pPr>
        <w:pStyle w:val="TextBody"/>
        <w:bidi w:val="0"/>
        <w:spacing w:lineRule="auto" w:line="288" w:before="1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s.New Accounting Pronouncements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Implemented</w:t>
      </w:r>
    </w:p>
    <w:p>
      <w:pPr>
        <w:pStyle w:val="TextBody"/>
        <w:bidi w:val="0"/>
        <w:spacing w:lineRule="auto" w:line="288" w:before="18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Contract Assets and Contract Liabilities</w:t>
      </w:r>
    </w:p>
    <w:p>
      <w:pPr>
        <w:pStyle w:val="TextBody"/>
        <w:bidi w:val="0"/>
        <w:spacing w:lineRule="auto" w:line="288" w:before="180" w:after="283"/>
        <w:ind w:left="0" w:right="0" w:firstLine="495"/>
        <w:jc w:val="left"/>
        <w:rPr/>
      </w:pPr>
      <w:r>
        <w:rPr>
          <w:rFonts w:ascii="Times New Roman;sans-serif" w:hAnsi="Times New Roman;sans-serif"/>
          <w:b w:val="false"/>
          <w:color w:val="000000"/>
          <w:sz w:val="20"/>
        </w:rPr>
        <w:t xml:space="preserve">In October 2021, the Financial Accounting Standards Board (FASB) issued Accounting Standards Update (ASU) 2021-08, </w:t>
      </w:r>
      <w:r>
        <w:rPr>
          <w:rFonts w:ascii="Times New Roman;sans-serif" w:hAnsi="Times New Roman;sans-serif"/>
          <w:b w:val="false"/>
          <w:i/>
          <w:color w:val="000000"/>
          <w:sz w:val="20"/>
        </w:rPr>
        <w:t>Business Combinations (Topic 805): Accounting for Acquired Contract Assets and Contract Liabilities</w:t>
      </w:r>
      <w:r>
        <w:rPr>
          <w:rFonts w:ascii="Times New Roman;sans-serif" w:hAnsi="Times New Roman;sans-serif"/>
          <w:b w:val="false"/>
          <w:color w:val="000000"/>
          <w:sz w:val="20"/>
        </w:rPr>
        <w:t>. Under this guidance (ASC 805-20-30-28), the acquirer should determine what 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The Company adopted ASU 2021-08 in the first quarter of fiscal 2024. Upon adoption, ASU 2021-08 did not have a material impact on the Company’s financial position and results of operations.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to Be Implemented</w:t>
      </w:r>
    </w:p>
    <w:p>
      <w:pPr>
        <w:pStyle w:val="TextBody"/>
        <w:bidi w:val="0"/>
        <w:spacing w:lineRule="auto" w:line="288" w:before="18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position and results of operations.</w:t>
      </w:r>
    </w:p>
    <w:p>
      <w:pPr>
        <w:pStyle w:val="TextBody"/>
        <w:bidi w:val="0"/>
        <w:spacing w:lineRule="auto" w:line="288" w:before="18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position and results of operations.</w:t>
      </w:r>
    </w:p>
    <w:p>
      <w:pPr>
        <w:pStyle w:val="TextBody"/>
        <w:bidi w:val="0"/>
        <w:spacing w:lineRule="auto" w:line="288" w:before="18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Income Statement Expenses</w:t>
      </w:r>
    </w:p>
    <w:p>
      <w:pPr>
        <w:pStyle w:val="TextBody"/>
        <w:bidi w:val="0"/>
        <w:spacing w:lineRule="auto" w:line="288" w:before="180" w:after="283"/>
        <w:ind w:left="0" w:right="0" w:firstLine="495"/>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Disaggregation of Income Statement Expenses, </w:t>
      </w:r>
      <w:r>
        <w:rPr>
          <w:rFonts w:ascii="Times New Roman;sans-serif" w:hAnsi="Times New Roman;sans-serif"/>
          <w:b w:val="false"/>
          <w:color w:val="000000"/>
          <w:sz w:val="20"/>
        </w:rPr>
        <w:t>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2024, and interim periods within fiscal years beginning after December 15, 2025, with early adoption permitted. The Company is currently evaluating the impact, if any, adoption will have on its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Stock-Based Compensation and Shareholders’ Equity</w:t>
      </w:r>
    </w:p>
    <w:p>
      <w:pPr>
        <w:pStyle w:val="TextBody"/>
        <w:bidi w:val="0"/>
        <w:spacing w:lineRule="auto" w:line="288" w:before="140" w:after="283"/>
        <w:ind w:left="0" w:right="0" w:firstLine="22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Compensation Plans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or has granted, stock options and other stock and stock-based awards under the Company’s 2020 Equity Incentive Plan (2020 Plan), which was approved by shareholders in March 2020. The 2020 Plan provides for the issuance of up to 21.2 million shares of the Company’s common stock, which includes shares that remained available or became available under the Company’s previous equity compensation plans, including the Amended and Restated 2006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Plan and the Amended and Restated 2010 Equity Incentive Plan. The 2020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2020 Plan. No award may be made under the 2020 Plan after March 11, 2030, but awards previously granted may extend beyond that date. The Company does not intend to grant further equity awards under any previous legacy equity compensation plans. Additionally, in connection with the Acquisition, the Company assumed the Maxim 1996 Stock Incentive Plan (1996 Plan), which expired by its terms in July 2024. As of November 2, 2024, a total of 13.5 million shares of the Company’s common stock were available for future issuance under the 2020 Plan. </w:t>
      </w:r>
    </w:p>
    <w:p>
      <w:pPr>
        <w:pStyle w:val="TextBody"/>
        <w:bidi w:val="0"/>
        <w:spacing w:lineRule="auto" w:line="288" w:before="140" w:after="283"/>
        <w:ind w:left="0" w:right="0" w:firstLine="22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Modification of Awards</w:t>
      </w:r>
    </w:p>
    <w:p>
      <w:pPr>
        <w:pStyle w:val="TextBody"/>
        <w:bidi w:val="0"/>
        <w:spacing w:lineRule="auto" w:line="288" w:before="14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from time to time, modified the terms of its equity awards to employees and directors. The modifications made to the Company’s equity awards in fiscal 2024, fiscal 2023 and fiscal 2022 did not result in significant incremental compensation costs, either individually or in the aggregate. </w:t>
      </w:r>
    </w:p>
    <w:p>
      <w:pPr>
        <w:pStyle w:val="TextBody"/>
        <w:bidi w:val="0"/>
        <w:spacing w:lineRule="auto" w:line="288" w:before="14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Stock Purchase Plan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an ESPP to eligible employees, providing the opportunity to purchase shares of the Company’s common stock at a discount through payroll deductions. Offering periods begin in June and December each year. U.S. employees are allowed to purchase the Company’s common stock at the lesser of 85% of the fair market value of the common stock at either the beginning or end of the offering period. Eligible employees outside of the U.S. are allowed to purchase the Company’s common stock at the lesser of 80% of the fair market value of the common stock at either the beginning or end of the offering period. As of November 2, 2024, a total of 4.1 million shares of the Company’s common stock were available for future grant under the ESPP.</w:t>
      </w:r>
    </w:p>
    <w:p>
      <w:pPr>
        <w:pStyle w:val="TextBody"/>
        <w:bidi w:val="0"/>
        <w:spacing w:lineRule="auto" w:line="288" w:before="18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 Expense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November 2, 2024. This analysis will be re-evaluated annually and the forfeiture rate will be adjusted as necessary. Ultimately, the actual expense recognized over the vesting period will only be for those awards that vest.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is as follows:</w:t>
      </w:r>
    </w:p>
    <w:tbl>
      <w:tblPr>
        <w:tblW w:w="8333" w:type="dxa"/>
        <w:jc w:val="left"/>
        <w:tblInd w:w="0" w:type="dxa"/>
        <w:tblLayout w:type="fixed"/>
        <w:tblCellMar>
          <w:top w:w="28" w:type="dxa"/>
          <w:left w:w="28" w:type="dxa"/>
          <w:bottom w:w="28" w:type="dxa"/>
          <w:right w:w="28" w:type="dxa"/>
        </w:tblCellMar>
      </w:tblPr>
      <w:tblGrid>
        <w:gridCol w:w="1399"/>
        <w:gridCol w:w="1223"/>
        <w:gridCol w:w="124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marketing,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and October 28, 2023, the Company capitalized $10.4 million and $12.9 million, respectively, of stock-based compensation in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 Activity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stock option activity as of November 2, 2024 and changes during the fiscal year then ended is presented below: </w:t>
      </w:r>
    </w:p>
    <w:tbl>
      <w:tblPr>
        <w:tblW w:w="10205" w:type="dxa"/>
        <w:jc w:val="left"/>
        <w:tblInd w:w="0" w:type="dxa"/>
        <w:tblLayout w:type="fixed"/>
        <w:tblCellMar>
          <w:top w:w="28" w:type="dxa"/>
          <w:left w:w="28" w:type="dxa"/>
          <w:bottom w:w="28" w:type="dxa"/>
          <w:right w:w="28" w:type="dxa"/>
        </w:tblCellMar>
      </w:tblPr>
      <w:tblGrid>
        <w:gridCol w:w="1568"/>
        <w:gridCol w:w="1366"/>
        <w:gridCol w:w="1369"/>
        <w:gridCol w:w="366"/>
        <w:gridCol w:w="366"/>
        <w:gridCol w:w="368"/>
        <w:gridCol w:w="109"/>
        <w:gridCol w:w="109"/>
        <w:gridCol w:w="109"/>
        <w:gridCol w:w="455"/>
        <w:gridCol w:w="455"/>
        <w:gridCol w:w="456"/>
        <w:gridCol w:w="109"/>
        <w:gridCol w:w="109"/>
        <w:gridCol w:w="109"/>
        <w:gridCol w:w="380"/>
        <w:gridCol w:w="380"/>
        <w:gridCol w:w="381"/>
        <w:gridCol w:w="109"/>
        <w:gridCol w:w="109"/>
        <w:gridCol w:w="109"/>
        <w:gridCol w:w="465"/>
        <w:gridCol w:w="466"/>
        <w:gridCol w:w="383"/>
      </w:tblGrid>
      <w:tr>
        <w:trPr/>
        <w:tc>
          <w:tcPr>
            <w:tcW w:w="156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Options outstanding at October 28, 2023</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Options outstanding at November 2, 2024</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Options exercisable at November 2, 2024</w:t>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Options vested or expected to vest at November 2, 2024 (1)</w:t>
            </w:r>
          </w:p>
        </w:tc>
        <w:tc>
          <w:tcPr>
            <w:tcW w:w="7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3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 addition to the vested options, the Company expects a portion of the unvested options to vest at some point in the future. The number of options expected to vest is calculated by applying an estimated forfeiture rate to the unvested options.</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The total intrinsic value of options exercised (i.e., the difference between the market price at exercise and the price paid by the employee to exercise the options) during fiscal 2024, fiscal 2023 and fiscal 2022 was</w:t>
      </w:r>
      <w:r>
        <w:rPr>
          <w:color w:val="EE2724"/>
        </w:rPr>
        <w:t xml:space="preserve"> </w:t>
      </w:r>
      <w:r>
        <w:rPr>
          <w:rFonts w:ascii="Times New Roman;sans-serif" w:hAnsi="Times New Roman;sans-serif"/>
          <w:b w:val="false"/>
          <w:color w:val="000000"/>
          <w:sz w:val="20"/>
        </w:rPr>
        <w:t>$93.9 million, $95.0 million and $56.2 million, respectively.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restricted stock unit and award activity as of November 2, 2024 and changes during the fiscal year then ended is presented below: </w:t>
      </w:r>
    </w:p>
    <w:tbl>
      <w:tblPr>
        <w:tblW w:w="8644" w:type="dxa"/>
        <w:jc w:val="left"/>
        <w:tblInd w:w="0" w:type="dxa"/>
        <w:tblLayout w:type="fixed"/>
        <w:tblCellMar>
          <w:top w:w="28" w:type="dxa"/>
          <w:left w:w="28" w:type="dxa"/>
          <w:bottom w:w="28" w:type="dxa"/>
          <w:right w:w="28" w:type="dxa"/>
        </w:tblCellMar>
      </w:tblPr>
      <w:tblGrid>
        <w:gridCol w:w="1959"/>
        <w:gridCol w:w="1726"/>
        <w:gridCol w:w="1730"/>
        <w:gridCol w:w="509"/>
        <w:gridCol w:w="509"/>
        <w:gridCol w:w="511"/>
        <w:gridCol w:w="109"/>
        <w:gridCol w:w="109"/>
        <w:gridCol w:w="109"/>
        <w:gridCol w:w="413"/>
        <w:gridCol w:w="413"/>
        <w:gridCol w:w="547"/>
      </w:tblGrid>
      <w:tr>
        <w:trPr/>
        <w:tc>
          <w:tcPr>
            <w:tcW w:w="195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br/>
              <w:t>Stock Units/Awards</w:t>
              <w:br/>
              <w:t>Outstanding</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br/>
              <w:t>Per Share</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Restricted stock units/awards outstanding at October 28, 2023</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$162.20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Units/Awards 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$206.92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lapsed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$145.25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Restricted stock units/awards outstanding at November 2, 2024</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there was $607.8 million of total unrecognized compensation cost related to unvested stock-based awards comprised of stock options, restricted stock awards and restricted stock unit awards. That cost is expected to be recognized over a weighted-average period of 1.5 years. The total grant-date fair value of awards that vested during fiscal 2024, fiscal 2023 and fiscal 2022 was approximately $309.0 million, $298.2 million and $283.0 million, respectively.</w:t>
      </w:r>
    </w:p>
    <w:p>
      <w:pPr>
        <w:pStyle w:val="TextBody"/>
        <w:bidi w:val="0"/>
        <w:spacing w:lineRule="auto" w:line="288" w:before="14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Repurchases</w:t>
      </w:r>
    </w:p>
    <w:p>
      <w:pPr>
        <w:pStyle w:val="TextBody"/>
        <w:bidi w:val="0"/>
        <w:spacing w:lineRule="auto" w:line="288" w:before="1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2021, the Company entered into accelerated share repurchase agreements (ASR) with third-party financial institutions, paid $2.5 billion and received an initial delivery of 12.3 million shares of common stock, which represented approximately 80% of the notional amount of the ASR. As of October 30, 2021, the Company recorded the remaining 20%, or $500.0 million, within Prepaid expenses and other current assets on the Consolidated Balance Sheets, which was utilized during the first quarter of fiscal 2022. During the first quarter of fiscal 2022, the ASR was completed and an additional 2.1 million shares of common stock were received by the Company as final settlement of the ASR. In total, the Company repurchased 14.4 million shares of common stock under the ASR at an average price per share of $173.77.</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 repurchase program has been in place since August 2004. In the aggregate, the Board of Directors has authorized the Company to repurchase $16.7 billion of the Company’s common stock under the program, which includes the $8.5 billion authorization approved by the Board of Directors on August 25, 2021.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November 2, 2024, the Company had repurchased a total of approximately 207.7 million shares of its common stock for approximately $15.0 billion under this program. An additional $1.7 billion remains available for repurchase of shares under the current authorized program. The repurchased shares are held as authorized but unissued shares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 </w:t>
      </w:r>
    </w:p>
    <w:p>
      <w:pPr>
        <w:pStyle w:val="TextBody"/>
        <w:bidi w:val="0"/>
        <w:spacing w:lineRule="auto" w:line="288" w:before="180" w:after="283"/>
        <w:ind w:left="0" w:right="0" w:firstLine="270"/>
        <w:jc w:val="left"/>
        <w:rPr/>
      </w:pPr>
      <w:r>
        <w:rPr>
          <w:rFonts w:ascii="Times New Roman;sans-serif" w:hAnsi="Times New Roman;sans-serif"/>
          <w:b w:val="false"/>
          <w:i/>
          <w:color w:val="000000"/>
          <w:sz w:val="20"/>
          <w:u w:val="single"/>
        </w:rPr>
        <w:t>Preferred Stock</w:t>
      </w:r>
      <w:r>
        <w:rPr>
          <w:color w:val="000000"/>
        </w:rPr>
        <w:t xml:space="preserve"> </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471,934 authorized shares of $1.00 par value preferred stock, none of which is issued or outstanding. The Board of Directors is authorized to fix designations, relative rights, preferences and limitations on the preferred stock at the time of issuance.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4.     Industry, Segment and Geographic Information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tracks its results in one reportable segment based on the aggregation of its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pStyle w:val="TextBody"/>
        <w:bidi w:val="0"/>
        <w:spacing w:lineRule="auto" w:line="288" w:before="100" w:after="283"/>
        <w:ind w:left="0" w:right="0" w:firstLine="495"/>
        <w:jc w:val="left"/>
        <w:rPr/>
      </w:pPr>
      <w:r>
        <w:rPr>
          <w:color w:val="000000"/>
        </w:rPr>
        <w:t>•</w:t>
      </w:r>
      <w:r>
        <w:rPr>
          <w:rFonts w:ascii="Times New Roman;sans-serif" w:hAnsi="Times New Roman;sans-serif"/>
          <w:b w:val="false"/>
          <w:color w:val="000000"/>
          <w:sz w:val="20"/>
        </w:rPr>
        <w:t>The primary source of revenue for each operating segment is the sale of ICs.</w:t>
      </w:r>
    </w:p>
    <w:p>
      <w:pPr>
        <w:pStyle w:val="TextBody"/>
        <w:bidi w:val="0"/>
        <w:spacing w:lineRule="auto" w:line="288" w:before="100" w:after="283"/>
        <w:ind w:left="0" w:right="0" w:firstLine="495"/>
        <w:jc w:val="left"/>
        <w:rPr/>
      </w:pPr>
      <w:r>
        <w:rPr>
          <w:color w:val="000000"/>
        </w:rPr>
        <w:t>•</w:t>
      </w:r>
      <w:r>
        <w:rPr>
          <w:rFonts w:ascii="Times New Roman;sans-serif" w:hAnsi="Times New Roman;sans-serif"/>
          <w:b w:val="false"/>
          <w:color w:val="000000"/>
          <w:sz w:val="20"/>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pStyle w:val="TextBody"/>
        <w:bidi w:val="0"/>
        <w:spacing w:lineRule="auto" w:line="288" w:before="100" w:after="283"/>
        <w:ind w:left="0" w:right="0" w:firstLine="495"/>
        <w:jc w:val="left"/>
        <w:rPr/>
      </w:pPr>
      <w:r>
        <w:rPr>
          <w:color w:val="000000"/>
        </w:rPr>
        <w:t>•</w:t>
      </w:r>
      <w:r>
        <w:rPr>
          <w:rFonts w:ascii="Times New Roman;sans-serif" w:hAnsi="Times New Roman;sans-serif"/>
          <w:b w:val="false"/>
          <w:color w:val="000000"/>
          <w:sz w:val="20"/>
        </w:rPr>
        <w:t>The Company sells its products to tens of thousands of customers worldwide. Many of these customers use products spanning all operating segments in a wide range of applications.</w:t>
      </w:r>
    </w:p>
    <w:p>
      <w:pPr>
        <w:pStyle w:val="TextBody"/>
        <w:bidi w:val="0"/>
        <w:spacing w:lineRule="auto" w:line="288" w:before="100" w:after="283"/>
        <w:ind w:left="0" w:right="0" w:firstLine="495"/>
        <w:jc w:val="left"/>
        <w:rPr/>
      </w:pPr>
      <w:r>
        <w:rPr>
          <w:color w:val="000000"/>
        </w:rPr>
        <w:t>•</w:t>
      </w:r>
      <w:r>
        <w:rPr>
          <w:rFonts w:ascii="Times New Roman;sans-serif" w:hAnsi="Times New Roman;sans-serif"/>
          <w:b w:val="false"/>
          <w:color w:val="000000"/>
          <w:sz w:val="20"/>
        </w:rPr>
        <w:t>The ICs marketed by each of the Company’s operating segments are sold globally through a direct sales force, third-party distributors, independent sales representatives and via the Company’s website to the same types of customers.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Trends by End Market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tbl>
      <w:tblPr>
        <w:tblW w:w="10205" w:type="dxa"/>
        <w:jc w:val="left"/>
        <w:tblInd w:w="0" w:type="dxa"/>
        <w:tblLayout w:type="fixed"/>
        <w:tblCellMar>
          <w:top w:w="28" w:type="dxa"/>
          <w:left w:w="28" w:type="dxa"/>
          <w:bottom w:w="28" w:type="dxa"/>
          <w:right w:w="28" w:type="dxa"/>
        </w:tblCellMar>
      </w:tblPr>
      <w:tblGrid>
        <w:gridCol w:w="547"/>
        <w:gridCol w:w="482"/>
        <w:gridCol w:w="487"/>
        <w:gridCol w:w="211"/>
        <w:gridCol w:w="976"/>
        <w:gridCol w:w="109"/>
        <w:gridCol w:w="109"/>
        <w:gridCol w:w="109"/>
        <w:gridCol w:w="109"/>
        <w:gridCol w:w="259"/>
        <w:gridCol w:w="208"/>
        <w:gridCol w:w="426"/>
        <w:gridCol w:w="109"/>
        <w:gridCol w:w="109"/>
        <w:gridCol w:w="109"/>
        <w:gridCol w:w="109"/>
        <w:gridCol w:w="109"/>
        <w:gridCol w:w="211"/>
        <w:gridCol w:w="1081"/>
        <w:gridCol w:w="109"/>
        <w:gridCol w:w="109"/>
        <w:gridCol w:w="109"/>
        <w:gridCol w:w="109"/>
        <w:gridCol w:w="259"/>
        <w:gridCol w:w="208"/>
        <w:gridCol w:w="426"/>
        <w:gridCol w:w="109"/>
        <w:gridCol w:w="109"/>
        <w:gridCol w:w="109"/>
        <w:gridCol w:w="211"/>
        <w:gridCol w:w="1081"/>
        <w:gridCol w:w="109"/>
        <w:gridCol w:w="109"/>
        <w:gridCol w:w="109"/>
        <w:gridCol w:w="109"/>
        <w:gridCol w:w="264"/>
        <w:gridCol w:w="202"/>
        <w:gridCol w:w="486"/>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sum of the individual percentages may not equal the total due to rounding.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Sales Channel</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revenue by sales channel. The Company sells its products globally through a direct sales force, third-party distributors, independent sales representatives and via its website. Distributors are customers that buy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 </w:t>
      </w:r>
    </w:p>
    <w:tbl>
      <w:tblPr>
        <w:tblW w:w="10205" w:type="dxa"/>
        <w:jc w:val="left"/>
        <w:tblInd w:w="0" w:type="dxa"/>
        <w:tblLayout w:type="fixed"/>
        <w:tblCellMar>
          <w:top w:w="28" w:type="dxa"/>
          <w:left w:w="28" w:type="dxa"/>
          <w:bottom w:w="28" w:type="dxa"/>
          <w:right w:w="28" w:type="dxa"/>
        </w:tblCellMar>
      </w:tblPr>
      <w:tblGrid>
        <w:gridCol w:w="459"/>
        <w:gridCol w:w="404"/>
        <w:gridCol w:w="406"/>
        <w:gridCol w:w="211"/>
        <w:gridCol w:w="976"/>
        <w:gridCol w:w="109"/>
        <w:gridCol w:w="109"/>
        <w:gridCol w:w="109"/>
        <w:gridCol w:w="109"/>
        <w:gridCol w:w="259"/>
        <w:gridCol w:w="211"/>
        <w:gridCol w:w="469"/>
        <w:gridCol w:w="109"/>
        <w:gridCol w:w="109"/>
        <w:gridCol w:w="109"/>
        <w:gridCol w:w="109"/>
        <w:gridCol w:w="109"/>
        <w:gridCol w:w="109"/>
        <w:gridCol w:w="211"/>
        <w:gridCol w:w="1081"/>
        <w:gridCol w:w="109"/>
        <w:gridCol w:w="109"/>
        <w:gridCol w:w="109"/>
        <w:gridCol w:w="109"/>
        <w:gridCol w:w="259"/>
        <w:gridCol w:w="211"/>
        <w:gridCol w:w="469"/>
        <w:gridCol w:w="109"/>
        <w:gridCol w:w="109"/>
        <w:gridCol w:w="109"/>
        <w:gridCol w:w="211"/>
        <w:gridCol w:w="1081"/>
        <w:gridCol w:w="109"/>
        <w:gridCol w:w="109"/>
        <w:gridCol w:w="109"/>
        <w:gridCol w:w="109"/>
        <w:gridCol w:w="264"/>
        <w:gridCol w:w="204"/>
        <w:gridCol w:w="530"/>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Revenue (1)</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5,505,779 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3,772,945 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148,433 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9,427,157 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12,013,953 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sum of the individual percentages may not equal the total due to rounding.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Geographic revenue information for fiscal 2024, fiscal 2023 and fiscal 2022 reflects the geographic location of the distributors or OEMs who purchased the Company’s products. This may differ from the geographic location of the end customers particularly in cases where a third-party contract manufacturer purchases the Company’s products through distributors. In all periods presented, the predominant regions comprising “Rest of North and South America” are Canada and Mexico; the predominant regions comprising “Europe” are Germany, Sweden, Israel and the Netherlands; and the predominant regions comprising “Rest of Asia” are Taiwan, Malaysia, South Korea and Singapore.</w:t>
      </w:r>
    </w:p>
    <w:tbl>
      <w:tblPr>
        <w:tblW w:w="7857" w:type="dxa"/>
        <w:jc w:val="left"/>
        <w:tblInd w:w="0" w:type="dxa"/>
        <w:tblLayout w:type="fixed"/>
        <w:tblCellMar>
          <w:top w:w="28" w:type="dxa"/>
          <w:left w:w="28" w:type="dxa"/>
          <w:bottom w:w="28" w:type="dxa"/>
          <w:right w:w="28" w:type="dxa"/>
        </w:tblCellMar>
      </w:tblPr>
      <w:tblGrid>
        <w:gridCol w:w="1107"/>
        <w:gridCol w:w="974"/>
        <w:gridCol w:w="979"/>
        <w:gridCol w:w="211"/>
        <w:gridCol w:w="976"/>
        <w:gridCol w:w="109"/>
        <w:gridCol w:w="109"/>
        <w:gridCol w:w="109"/>
        <w:gridCol w:w="109"/>
        <w:gridCol w:w="211"/>
        <w:gridCol w:w="1081"/>
        <w:gridCol w:w="109"/>
        <w:gridCol w:w="109"/>
        <w:gridCol w:w="109"/>
        <w:gridCol w:w="109"/>
        <w:gridCol w:w="211"/>
        <w:gridCol w:w="108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North and South America</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Subtotal all foreign regions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regions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Subtotal all foreign regions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5.    Special Charges, Net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actions resulting in special charges over the past several years.</w:t>
      </w:r>
    </w:p>
    <w:p>
      <w:pPr>
        <w:pStyle w:val="TextBody"/>
        <w:bidi w:val="0"/>
        <w:spacing w:before="1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special charges, net are presented in accrued liabilities and other non-current liabilities on the Consolidated Balance Sheets. The activity is detailed below:</w:t>
      </w:r>
    </w:p>
    <w:tbl>
      <w:tblPr>
        <w:tblW w:w="8256" w:type="dxa"/>
        <w:jc w:val="left"/>
        <w:tblInd w:w="0" w:type="dxa"/>
        <w:tblLayout w:type="fixed"/>
        <w:tblCellMar>
          <w:top w:w="28" w:type="dxa"/>
          <w:left w:w="28" w:type="dxa"/>
          <w:bottom w:w="28" w:type="dxa"/>
          <w:right w:w="28" w:type="dxa"/>
        </w:tblCellMar>
      </w:tblPr>
      <w:tblGrid>
        <w:gridCol w:w="1157"/>
        <w:gridCol w:w="1015"/>
        <w:gridCol w:w="1023"/>
        <w:gridCol w:w="109"/>
        <w:gridCol w:w="109"/>
        <w:gridCol w:w="109"/>
        <w:gridCol w:w="109"/>
        <w:gridCol w:w="109"/>
        <w:gridCol w:w="109"/>
        <w:gridCol w:w="109"/>
        <w:gridCol w:w="109"/>
        <w:gridCol w:w="109"/>
        <w:gridCol w:w="441"/>
        <w:gridCol w:w="1546"/>
        <w:gridCol w:w="233"/>
        <w:gridCol w:w="109"/>
        <w:gridCol w:w="109"/>
        <w:gridCol w:w="109"/>
        <w:gridCol w:w="211"/>
        <w:gridCol w:w="841"/>
        <w:gridCol w:w="109"/>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Accrued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Global Repositioning 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Q4 2023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October 30,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21,065</w:t>
            </w: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149,853 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closure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 payments,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closure cost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on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Balance at October 29, 2022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52,070</w:t>
            </w: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 payments,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October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36,981</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110,446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 payments,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November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13,855</w:t>
            </w: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As of October 28, 2023, this balance was comprised of $13.8 million and $23.1 million recorded in Accrued liabilities and Other non-current liabilities, respectively, on the Consolidated Balance Sheet.</w:t>
      </w:r>
    </w:p>
    <w:p>
      <w:pPr>
        <w:pStyle w:val="TextBody"/>
        <w:bidi w:val="0"/>
        <w:spacing w:lineRule="auto" w:line="288" w:before="14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Q4 2023 Plan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net special charges of $155.9 million on a cumulative basis through November 2, 2024 related to the Q4 2023 Plan. In fiscal 2023, the Company committed to a plan to reorganize its business (the Q4 2023 Plan). The Q4 2023 Plan, consisting of voluntary and involuntary reductions-in-force and other cost-savings initiatives, was commenced to adjust the Company’s cost structure and business activities to better align with weaker market demand and continued economic uncertainty in its end markets, as well as to make certain strategic shifts in its workforce necessary to achieve its long-term vision. The reductions-in-force impacted positions in manufacturing, engineering and selling, marketing, general and administrative functions.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Repositioning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net special charges of $527.6 million on a cumulative basis through November 2, 2024, as part of the integration of the Acquisition and continued organizational initiatives to consolidate its global footprint related to certain manufacturing, engineering, sales, marketing and administrative offices and to better align its global workforce with the Company’s long-term strategic plan. The special charges include severance and fringe benefit costs, in accordance with the Company’s ongoing benefit plan or statutory requirements at foreign locations, and the write-off of acquired intellectual property due to the Company’s decision to discontinue certain product development strategies.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decision during fiscal 2022 to transition its engineering, sales, marketing and administrative activities from its leased property in Santa Clara, California to its owned property in San Jose, California, the Company entered into a sublease agreement for a portion of the leased property and intends to sublease the remainder of this property. As a result of the sublease transaction, the Company recorded an impairment charge of $91.9 million in net special charges which represented the excess carrying value of the associated asset group over its estimated fair value. The Company estimated fair value using cash flows from the estimated net sublease rental income discounted at a market rate. The Company allocated $60.6 million, $28.1 million and $3.2 million of the impairment charge to right of use assets, leasehold improvements and office equipment,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6.     Acquisitions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Maxim Integrated Products, Inc.</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Acquisition Date, the Company completed its acquisition of all of the voting interests of Maxim, an independent manufacturer of innovative analog and mixed-signal products and technologies. Under the terms of the agreement pursuant to which the Company acquired Maxim, Maxim stockholders received, for each outstanding share of Maxim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0.6300 of a share of the Company’s common stock at the closing. The results of operations of Maxim from the Acquisition Date are included in the Company’s Consolidated Financial Statements for the year ended October 30,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7.    Other Investments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investments consist of interests in venture capital funds and other long-term investments and are recorded in Other assets on the Consolidated Balance Sheets. Investments are accounted for using the equity method of accounting or cost, less any impairment, plus or minus changes resulting from observable price changes in orderly transactions for an identical or similar investment of the same issuer. For equity method investments, realized gains and losses are reflected in other, net based upon the Company’s ownership share of the investee’s financial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Accrued Liabilities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at November 2, 2024 and October 28, 2023 consisted of the following:</w:t>
      </w:r>
    </w:p>
    <w:tbl>
      <w:tblPr>
        <w:tblW w:w="7629" w:type="dxa"/>
        <w:jc w:val="left"/>
        <w:tblInd w:w="0" w:type="dxa"/>
        <w:tblLayout w:type="fixed"/>
        <w:tblCellMar>
          <w:top w:w="28" w:type="dxa"/>
          <w:left w:w="28" w:type="dxa"/>
          <w:bottom w:w="28" w:type="dxa"/>
          <w:right w:w="28" w:type="dxa"/>
        </w:tblCellMar>
      </w:tblPr>
      <w:tblGrid>
        <w:gridCol w:w="1690"/>
        <w:gridCol w:w="1485"/>
        <w:gridCol w:w="1490"/>
        <w:gridCol w:w="211"/>
        <w:gridCol w:w="976"/>
        <w:gridCol w:w="109"/>
        <w:gridCol w:w="109"/>
        <w:gridCol w:w="109"/>
        <w:gridCol w:w="109"/>
        <w:gridCol w:w="211"/>
        <w:gridCol w:w="976"/>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price adjustments and other revenue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withholdings related to ESPP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special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40" w:after="283"/>
        <w:ind w:left="0" w:right="0" w:firstLine="450"/>
        <w:jc w:val="left"/>
        <w:rPr/>
      </w:pPr>
      <w:r>
        <w:rPr>
          <w:rFonts w:ascii="Times New Roman;sans-serif" w:hAnsi="Times New Roman;sans-serif"/>
          <w:b w:val="false"/>
          <w:color w:val="000000"/>
          <w:sz w:val="20"/>
        </w:rPr>
        <w:t xml:space="preserve">The Company enters into operating leases which primarily relate to certain facilities and, to a lesser extent, finance leases. Finance leases were not a material component of the Company’s lease portfolio in the periods presented.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twenty-one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on a straight-line basis over the lease term or as incurred depending on whether the lease payments are fixed or variable. The Company subleases certain properties that are not used in its core business operations (See Note 5, </w:t>
      </w:r>
      <w:r>
        <w:rPr>
          <w:rFonts w:ascii="Times New Roman;sans-serif" w:hAnsi="Times New Roman;sans-serif"/>
          <w:b w:val="false"/>
          <w:i/>
          <w:color w:val="000000"/>
          <w:sz w:val="20"/>
        </w:rPr>
        <w:t>Special Charges, Net</w:t>
      </w:r>
      <w:r>
        <w:rPr>
          <w:rFonts w:ascii="Times New Roman;sans-serif" w:hAnsi="Times New Roman;sans-serif"/>
          <w:b w:val="false"/>
          <w:color w:val="000000"/>
          <w:sz w:val="20"/>
        </w:rPr>
        <w:t xml:space="preserve">, of the Notes to Consolidated Financial Statements). Sublease income was $12.8 million and $12.9 million in fiscal 2024 and fiscal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supplemental balance sheet information related to the Company’s operating leases: </w:t>
      </w:r>
    </w:p>
    <w:tbl>
      <w:tblPr>
        <w:tblW w:w="7915" w:type="dxa"/>
        <w:jc w:val="left"/>
        <w:tblInd w:w="0" w:type="dxa"/>
        <w:tblLayout w:type="fixed"/>
        <w:tblCellMar>
          <w:top w:w="28" w:type="dxa"/>
          <w:left w:w="28" w:type="dxa"/>
          <w:bottom w:w="28" w:type="dxa"/>
          <w:right w:w="28" w:type="dxa"/>
        </w:tblCellMar>
      </w:tblPr>
      <w:tblGrid>
        <w:gridCol w:w="1706"/>
        <w:gridCol w:w="1502"/>
        <w:gridCol w:w="1516"/>
        <w:gridCol w:w="265"/>
        <w:gridCol w:w="1038"/>
        <w:gridCol w:w="137"/>
        <w:gridCol w:w="109"/>
        <w:gridCol w:w="109"/>
        <w:gridCol w:w="109"/>
        <w:gridCol w:w="252"/>
        <w:gridCol w:w="988"/>
        <w:gridCol w:w="184"/>
      </w:tblGrid>
      <w:tr>
        <w:trPr/>
        <w:tc>
          <w:tcPr>
            <w:tcW w:w="170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in Other assets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in Accrued liabilities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in Other non-current liabilities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operating leases are as follows:</w:t>
      </w:r>
    </w:p>
    <w:tbl>
      <w:tblPr>
        <w:tblW w:w="10062" w:type="dxa"/>
        <w:jc w:val="left"/>
        <w:tblInd w:w="0" w:type="dxa"/>
        <w:tblLayout w:type="fixed"/>
        <w:tblCellMar>
          <w:top w:w="28" w:type="dxa"/>
          <w:left w:w="28" w:type="dxa"/>
          <w:bottom w:w="28" w:type="dxa"/>
          <w:right w:w="28" w:type="dxa"/>
        </w:tblCellMar>
      </w:tblPr>
      <w:tblGrid>
        <w:gridCol w:w="1860"/>
        <w:gridCol w:w="1629"/>
        <w:gridCol w:w="1645"/>
        <w:gridCol w:w="434"/>
        <w:gridCol w:w="434"/>
        <w:gridCol w:w="434"/>
        <w:gridCol w:w="434"/>
        <w:gridCol w:w="292"/>
        <w:gridCol w:w="998"/>
        <w:gridCol w:w="150"/>
        <w:gridCol w:w="109"/>
        <w:gridCol w:w="109"/>
        <w:gridCol w:w="109"/>
        <w:gridCol w:w="277"/>
        <w:gridCol w:w="946"/>
        <w:gridCol w:w="202"/>
      </w:tblGrid>
      <w:tr>
        <w:trPr/>
        <w:tc>
          <w:tcPr>
            <w:tcW w:w="186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w:t>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operating lease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leases</w:t>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lease liabilities</w:t>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years</w:t>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34"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maturities of the Company’s operating lease liabilities as of November 2, 2024:</w:t>
      </w:r>
    </w:p>
    <w:tbl>
      <w:tblPr>
        <w:tblW w:w="5406" w:type="dxa"/>
        <w:jc w:val="left"/>
        <w:tblInd w:w="0" w:type="dxa"/>
        <w:tblLayout w:type="fixed"/>
        <w:tblCellMar>
          <w:top w:w="28" w:type="dxa"/>
          <w:left w:w="28" w:type="dxa"/>
          <w:bottom w:w="28" w:type="dxa"/>
          <w:right w:w="28" w:type="dxa"/>
        </w:tblCellMar>
      </w:tblPr>
      <w:tblGrid>
        <w:gridCol w:w="1518"/>
        <w:gridCol w:w="1337"/>
        <w:gridCol w:w="1345"/>
        <w:gridCol w:w="211"/>
        <w:gridCol w:w="841"/>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operating lease payments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434,856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386,700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future minimum cash receipts as a result of subleases as of November 2, 2024:</w:t>
      </w:r>
    </w:p>
    <w:tbl>
      <w:tblPr>
        <w:tblW w:w="4236" w:type="dxa"/>
        <w:jc w:val="left"/>
        <w:tblInd w:w="0" w:type="dxa"/>
        <w:tblLayout w:type="fixed"/>
        <w:tblCellMar>
          <w:top w:w="28" w:type="dxa"/>
          <w:left w:w="28" w:type="dxa"/>
          <w:bottom w:w="28" w:type="dxa"/>
          <w:right w:w="28" w:type="dxa"/>
        </w:tblCellMar>
      </w:tblPr>
      <w:tblGrid>
        <w:gridCol w:w="1133"/>
        <w:gridCol w:w="998"/>
        <w:gridCol w:w="1004"/>
        <w:gridCol w:w="211"/>
        <w:gridCol w:w="73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cash receipts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93,068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the ordinary course of the Company’s business, The Company is involved in various claims, charges and litigation arising from, or related to, among other things, contractual matters, acquisitions, patents, trademarks, personal injury, environmental matters, product liability, insurance coverage, employment or employment benefits. As to such claims and litigation, the Company can give no assurance that it will prevail.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11.    Retirement Plans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have various savings and retirement plans covering substantially all employees. </w:t>
      </w:r>
    </w:p>
    <w:p>
      <w:pPr>
        <w:pStyle w:val="TextBody"/>
        <w:bidi w:val="0"/>
        <w:spacing w:lineRule="auto" w:line="288" w:before="18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plans for all eligible U.S. employees was $74.3 million in fiscal 2024, $76.0 million in fiscal 2023 and $65.2 million in fiscal 2022. </w:t>
      </w:r>
    </w:p>
    <w:p>
      <w:pPr>
        <w:pStyle w:val="TextBody"/>
        <w:bidi w:val="0"/>
        <w:spacing w:lineRule="auto" w:line="288" w:before="18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Non-Qualified Deferred Compensation Plan</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included within other investments, with the current portion of the investment included in prepaid expenses and other current assets in the Consolidated Balance Sheets. See Note 2j, </w:t>
      </w:r>
      <w:r>
        <w:rPr>
          <w:rFonts w:ascii="Times New Roman;sans-serif" w:hAnsi="Times New Roman;sans-serif"/>
          <w:b w:val="false"/>
          <w:i/>
          <w:color w:val="000000"/>
          <w:sz w:val="20"/>
        </w:rPr>
        <w:t>Fair Value</w:t>
      </w:r>
      <w:r>
        <w:rPr>
          <w:rFonts w:ascii="Times New Roman;sans-serif" w:hAnsi="Times New Roman;sans-serif"/>
          <w:b w:val="false"/>
          <w:color w:val="000000"/>
          <w:sz w:val="20"/>
        </w:rPr>
        <w:t>, of the Notes to Consolidated Financial Statements for further information on these investments. The deferred compensation obligation represents DCP participant accumulated deferrals and earnings thereon since the inception of the DCP net of withdrawals. The deferred compensation obligation is included within other non-current liabilities, with the current portion of the obligation in accrued liabilities in the Consolidated Balance Sheets. The Company’s liability under the DCP is an unsecured general obligation of the Company.</w:t>
      </w:r>
    </w:p>
    <w:p>
      <w:pPr>
        <w:pStyle w:val="TextBody"/>
        <w:bidi w:val="0"/>
        <w:spacing w:lineRule="auto" w:line="288" w:before="18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Pension and Post Retirement Benefit Plans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various defined benefit pension and other retirement plans for certain non-U.S. employees that are consistent with local statutory requirements and practices. The total expense related to these plans was $56.9 million in fiscal 2024, $55.3 million in fiscal 2023 and $51.4 million in fiscal 2022.</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funding policy for its foreign defined benefit pension plans is consistent with the local requirements of each country. The plans’ assets consist primarily of U.S. and non-U.S. equity securities, bonds, property and cash. The Company has elected to measure defined benefit plan assets and obligations as of October 31, which is the month-end that is closest to its fiscal year-ends, which were November 2, 2024 for fiscal 2024 and October 28, 2023 for fiscal 2023.</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the Company acquired a postretirement plan that provides postretirement medical expenses to certain former employees of a Maxim acquired company and certain former Maxim executives in the U.S.</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Components of Net Periodic Benefit Cost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annual periodic benefit cost of the Company’s pension and postretirement benefit plans for fiscal 2024, fiscal 2023 and fiscal 2022 is presented in the following table:</w:t>
      </w:r>
    </w:p>
    <w:tbl>
      <w:tblPr>
        <w:tblW w:w="6402" w:type="dxa"/>
        <w:jc w:val="left"/>
        <w:tblInd w:w="0" w:type="dxa"/>
        <w:tblLayout w:type="fixed"/>
        <w:tblCellMar>
          <w:top w:w="28" w:type="dxa"/>
          <w:left w:w="28" w:type="dxa"/>
          <w:bottom w:w="28" w:type="dxa"/>
          <w:right w:w="28" w:type="dxa"/>
        </w:tblCellMar>
      </w:tblPr>
      <w:tblGrid>
        <w:gridCol w:w="933"/>
        <w:gridCol w:w="820"/>
        <w:gridCol w:w="827"/>
        <w:gridCol w:w="211"/>
        <w:gridCol w:w="721"/>
        <w:gridCol w:w="109"/>
        <w:gridCol w:w="109"/>
        <w:gridCol w:w="109"/>
        <w:gridCol w:w="109"/>
        <w:gridCol w:w="211"/>
        <w:gridCol w:w="721"/>
        <w:gridCol w:w="109"/>
        <w:gridCol w:w="109"/>
        <w:gridCol w:w="109"/>
        <w:gridCol w:w="109"/>
        <w:gridCol w:w="211"/>
        <w:gridCol w:w="72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impact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service cost component of net periodic benefit cost above is recorded in Cost of sales, Research and development, Selling, marketing, general and administrative expenses within the Consolidated Statements of Income, while the remaining components are recorded to Other,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Obligations and Plan Assets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Obligation and asset data of the Company’s pension and postretirement benefit plans at November 2, 2024 and October 28, 2023 is presented in the following table:</w:t>
      </w:r>
    </w:p>
    <w:tbl>
      <w:tblPr>
        <w:tblW w:w="6473" w:type="dxa"/>
        <w:jc w:val="left"/>
        <w:tblInd w:w="0" w:type="dxa"/>
        <w:tblLayout w:type="fixed"/>
        <w:tblCellMar>
          <w:top w:w="28" w:type="dxa"/>
          <w:left w:w="28" w:type="dxa"/>
          <w:bottom w:w="28" w:type="dxa"/>
          <w:right w:w="28" w:type="dxa"/>
        </w:tblCellMar>
      </w:tblPr>
      <w:tblGrid>
        <w:gridCol w:w="1352"/>
        <w:gridCol w:w="1189"/>
        <w:gridCol w:w="1193"/>
        <w:gridCol w:w="211"/>
        <w:gridCol w:w="901"/>
        <w:gridCol w:w="109"/>
        <w:gridCol w:w="109"/>
        <w:gridCol w:w="109"/>
        <w:gridCol w:w="109"/>
        <w:gridCol w:w="211"/>
        <w:gridCol w:w="82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 combinations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adjustment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 combinations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Funded Status</w:t>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the Balance Sheet</w:t>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2720"/>
        <w:gridCol w:w="2386"/>
        <w:gridCol w:w="2397"/>
        <w:gridCol w:w="211"/>
        <w:gridCol w:w="896"/>
        <w:gridCol w:w="109"/>
        <w:gridCol w:w="109"/>
        <w:gridCol w:w="109"/>
        <w:gridCol w:w="109"/>
        <w:gridCol w:w="211"/>
        <w:gridCol w:w="791"/>
        <w:gridCol w:w="157"/>
      </w:tblGrid>
      <w:tr>
        <w:trPr/>
        <w:tc>
          <w:tcPr>
            <w:tcW w:w="272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Amounts Recognized in the Statement of Financial Position</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contributions less than net periodic benefit cost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Recognized in Other Comprehensive Income (Loss)</w:t>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plan assets and benefit obligations recognized in other comprehensive income (loss)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gain/loss arising during the year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combinations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amounts included in AOCI</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recognized as a component of net periodic benefit cost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or settlement recognition of net loss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gain/loss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net periodic cost and other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amounts that will be amortized from AOCI over the next fiscal year</w:t>
            </w:r>
          </w:p>
        </w:tc>
        <w:tc>
          <w:tcPr>
            <w:tcW w:w="12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for the Company’s pension and postretirement benefit plans was $132.7 million and $120.1 million at November 2, 2024 and October 28, 2023, respectively.</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relating to the Company’s pension and postretirement benefit plans with projected benefit obligations in excess of plan assets and accumulated benefit obligations in excess of plan assets at November 2, 2024 and October 28, 2023 is presented in the following table:</w:t>
      </w:r>
    </w:p>
    <w:tbl>
      <w:tblPr>
        <w:tblW w:w="8378" w:type="dxa"/>
        <w:jc w:val="left"/>
        <w:tblInd w:w="0" w:type="dxa"/>
        <w:tblLayout w:type="fixed"/>
        <w:tblCellMar>
          <w:top w:w="28" w:type="dxa"/>
          <w:left w:w="28" w:type="dxa"/>
          <w:bottom w:w="28" w:type="dxa"/>
          <w:right w:w="28" w:type="dxa"/>
        </w:tblCellMar>
      </w:tblPr>
      <w:tblGrid>
        <w:gridCol w:w="2069"/>
        <w:gridCol w:w="1817"/>
        <w:gridCol w:w="1828"/>
        <w:gridCol w:w="211"/>
        <w:gridCol w:w="826"/>
        <w:gridCol w:w="109"/>
        <w:gridCol w:w="109"/>
        <w:gridCol w:w="109"/>
        <w:gridCol w:w="109"/>
        <w:gridCol w:w="211"/>
        <w:gridCol w:w="82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Plans with projected benefit obligations in excess of plan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obligations in excess of plan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range of assumptions used for the Company’s pension and postretirement benefit plans reflects the different economic environments within the various countries as well as the differences in the attributes of the participants.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was determined using the following weighted-average assumptions:</w:t>
      </w:r>
    </w:p>
    <w:tbl>
      <w:tblPr>
        <w:tblW w:w="5265" w:type="dxa"/>
        <w:jc w:val="left"/>
        <w:tblInd w:w="0" w:type="dxa"/>
        <w:tblLayout w:type="fixed"/>
        <w:tblCellMar>
          <w:top w:w="28" w:type="dxa"/>
          <w:left w:w="28" w:type="dxa"/>
          <w:bottom w:w="28" w:type="dxa"/>
          <w:right w:w="28" w:type="dxa"/>
        </w:tblCellMar>
      </w:tblPr>
      <w:tblGrid>
        <w:gridCol w:w="1204"/>
        <w:gridCol w:w="1056"/>
        <w:gridCol w:w="1069"/>
        <w:gridCol w:w="255"/>
        <w:gridCol w:w="256"/>
        <w:gridCol w:w="271"/>
        <w:gridCol w:w="109"/>
        <w:gridCol w:w="109"/>
        <w:gridCol w:w="109"/>
        <w:gridCol w:w="255"/>
        <w:gridCol w:w="256"/>
        <w:gridCol w:w="316"/>
      </w:tblGrid>
      <w:tr>
        <w:trPr/>
        <w:tc>
          <w:tcPr>
            <w:tcW w:w="120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annual periodic benefit cost was determined using the following weighted average assumptions:</w:t>
      </w:r>
    </w:p>
    <w:tbl>
      <w:tblPr>
        <w:tblW w:w="5356" w:type="dxa"/>
        <w:jc w:val="left"/>
        <w:tblInd w:w="0" w:type="dxa"/>
        <w:tblLayout w:type="fixed"/>
        <w:tblCellMar>
          <w:top w:w="28" w:type="dxa"/>
          <w:left w:w="28" w:type="dxa"/>
          <w:bottom w:w="28" w:type="dxa"/>
          <w:right w:w="28" w:type="dxa"/>
        </w:tblCellMar>
      </w:tblPr>
      <w:tblGrid>
        <w:gridCol w:w="1238"/>
        <w:gridCol w:w="1087"/>
        <w:gridCol w:w="1095"/>
        <w:gridCol w:w="255"/>
        <w:gridCol w:w="256"/>
        <w:gridCol w:w="271"/>
        <w:gridCol w:w="109"/>
        <w:gridCol w:w="109"/>
        <w:gridCol w:w="109"/>
        <w:gridCol w:w="255"/>
        <w:gridCol w:w="256"/>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 strategy is based on an expectation that equity securities will outperform debt securities over the long term. Investments within each asset class are diversified to reduce the impact of losses in single investments. The use of derivative instruments is permitted where appropriate and necessary to achieve overall investment policy objectives and asset class targets. 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pStyle w:val="TextBody"/>
        <w:bidi w:val="0"/>
        <w:spacing w:lineRule="auto" w:line="288" w:before="14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plan assets</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The following table presents plan assets measured at fair value on a recurring basis by investment categories as of November 2, 2024 and October 28, 2023 using the same three-level hierarchy described in Note 2j, </w:t>
      </w:r>
      <w:r>
        <w:rPr>
          <w:rFonts w:ascii="Times New Roman;sans-serif" w:hAnsi="Times New Roman;sans-serif"/>
          <w:b w:val="false"/>
          <w:i/>
          <w:color w:val="000000"/>
          <w:sz w:val="20"/>
        </w:rPr>
        <w:t>Fair Value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of the Notes to Consolidated Financial Statements:</w:t>
      </w:r>
    </w:p>
    <w:tbl>
      <w:tblPr>
        <w:tblW w:w="10205" w:type="dxa"/>
        <w:jc w:val="left"/>
        <w:tblInd w:w="0" w:type="dxa"/>
        <w:tblLayout w:type="fixed"/>
        <w:tblCellMar>
          <w:top w:w="28" w:type="dxa"/>
          <w:left w:w="28" w:type="dxa"/>
          <w:bottom w:w="28" w:type="dxa"/>
          <w:right w:w="28" w:type="dxa"/>
        </w:tblCellMar>
      </w:tblPr>
      <w:tblGrid>
        <w:gridCol w:w="576"/>
        <w:gridCol w:w="238"/>
        <w:gridCol w:w="240"/>
        <w:gridCol w:w="241"/>
        <w:gridCol w:w="795"/>
        <w:gridCol w:w="134"/>
        <w:gridCol w:w="114"/>
        <w:gridCol w:w="114"/>
        <w:gridCol w:w="114"/>
        <w:gridCol w:w="223"/>
        <w:gridCol w:w="736"/>
        <w:gridCol w:w="124"/>
        <w:gridCol w:w="114"/>
        <w:gridCol w:w="109"/>
        <w:gridCol w:w="109"/>
        <w:gridCol w:w="109"/>
        <w:gridCol w:w="109"/>
        <w:gridCol w:w="109"/>
        <w:gridCol w:w="120"/>
        <w:gridCol w:w="120"/>
        <w:gridCol w:w="120"/>
        <w:gridCol w:w="215"/>
        <w:gridCol w:w="711"/>
        <w:gridCol w:w="120"/>
        <w:gridCol w:w="120"/>
        <w:gridCol w:w="120"/>
        <w:gridCol w:w="120"/>
        <w:gridCol w:w="241"/>
        <w:gridCol w:w="795"/>
        <w:gridCol w:w="134"/>
        <w:gridCol w:w="109"/>
        <w:gridCol w:w="109"/>
        <w:gridCol w:w="109"/>
        <w:gridCol w:w="223"/>
        <w:gridCol w:w="736"/>
        <w:gridCol w:w="124"/>
        <w:gridCol w:w="109"/>
        <w:gridCol w:w="109"/>
        <w:gridCol w:w="109"/>
        <w:gridCol w:w="109"/>
        <w:gridCol w:w="109"/>
        <w:gridCol w:w="196"/>
        <w:gridCol w:w="646"/>
        <w:gridCol w:w="164"/>
      </w:tblGrid>
      <w:tr>
        <w:trPr/>
        <w:tc>
          <w:tcPr>
            <w:tcW w:w="5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7"/>
            <w:tcBorders/>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7"/>
            <w:tcBorders/>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 trust funds(1)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Equities(1)</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securities(2)</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(3)</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Funds (4)</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Pooled Funds (5)</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measured at fair value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87,606 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(2)Consists of funds primarily concentrated in non-U.S. debt instruments. The funds are valued using the net asset value method in which an average of the market prices for underlying investments is used to value the fund.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(3)Consists of funds that primarily invest in global real estate and infrastructure funds. The funds are valued using the net asset value method in which an average of the market prices for underlying investments is used to value the fund.</w:t>
      </w:r>
    </w:p>
    <w:p>
      <w:pPr>
        <w:pStyle w:val="TextBody"/>
        <w:bidi w:val="0"/>
        <w:spacing w:lineRule="auto" w:line="276"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(4)Consists of liability driven investment funds that may hold a range of low-risk hedging instruments including but not limited to government bonds, interest rate and inflation swaps, physical inflation-linked and nominal gilts, synthetic gilts, cash and money market instruments. The investment funds are valued at the closing price reported if traded on an active market or at yields currently available on comparable securities of issuers with similar credit ratings.</w:t>
      </w:r>
    </w:p>
    <w:p>
      <w:pPr>
        <w:pStyle w:val="TextBody"/>
        <w:bidi w:val="0"/>
        <w:spacing w:lineRule="auto" w:line="276"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(5)Consists of a fund-based variable insurance policy that declares a fixed return on a quarterly or annual basis. The fair value is the estimated surrender value of the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Estimated future cash flows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Expected fiscal 2025 Company contributions and estimated future benefit payments are as follows:</w:t>
      </w:r>
    </w:p>
    <w:tbl>
      <w:tblPr>
        <w:tblW w:w="4070" w:type="dxa"/>
        <w:jc w:val="left"/>
        <w:tblInd w:w="0" w:type="dxa"/>
        <w:tblLayout w:type="fixed"/>
        <w:tblCellMar>
          <w:top w:w="28" w:type="dxa"/>
          <w:left w:w="28" w:type="dxa"/>
          <w:bottom w:w="28" w:type="dxa"/>
          <w:right w:w="28" w:type="dxa"/>
        </w:tblCellMar>
      </w:tblPr>
      <w:tblGrid>
        <w:gridCol w:w="1082"/>
        <w:gridCol w:w="950"/>
        <w:gridCol w:w="952"/>
        <w:gridCol w:w="211"/>
        <w:gridCol w:w="721"/>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Expected Company Contributions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Expected Benefit Payments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2030 through 2034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reflects the applicable tax rate in effect in the various tax jurisdictions around the world where the Company’s income is earned. The reconciliation of income tax computed at the U.S. federal statutory rates to income tax expense for fiscal 2024, fiscal 2023 and fiscal 2022 is as follows:</w:t>
      </w:r>
    </w:p>
    <w:tbl>
      <w:tblPr>
        <w:tblW w:w="9257" w:type="dxa"/>
        <w:jc w:val="left"/>
        <w:tblInd w:w="0" w:type="dxa"/>
        <w:tblLayout w:type="fixed"/>
        <w:tblCellMar>
          <w:top w:w="28" w:type="dxa"/>
          <w:left w:w="28" w:type="dxa"/>
          <w:bottom w:w="28" w:type="dxa"/>
          <w:right w:w="28" w:type="dxa"/>
        </w:tblCellMar>
      </w:tblPr>
      <w:tblGrid>
        <w:gridCol w:w="1674"/>
        <w:gridCol w:w="1477"/>
        <w:gridCol w:w="1483"/>
        <w:gridCol w:w="211"/>
        <w:gridCol w:w="826"/>
        <w:gridCol w:w="271"/>
        <w:gridCol w:w="109"/>
        <w:gridCol w:w="109"/>
        <w:gridCol w:w="109"/>
        <w:gridCol w:w="211"/>
        <w:gridCol w:w="826"/>
        <w:gridCol w:w="271"/>
        <w:gridCol w:w="109"/>
        <w:gridCol w:w="109"/>
        <w:gridCol w:w="109"/>
        <w:gridCol w:w="211"/>
        <w:gridCol w:w="826"/>
        <w:gridCol w:w="316"/>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tax rate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provision reconciliation:</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income subject to lower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research and development 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attributable to the Tax Cuts and Jobs Act of 2017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effects of international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Windfalls (under ASU 2016-09)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142,067 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350,188 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for fiscal 2024, fiscal 2023 and fiscal 2022 includes the following components:</w:t>
      </w:r>
    </w:p>
    <w:tbl>
      <w:tblPr>
        <w:tblW w:w="7331" w:type="dxa"/>
        <w:jc w:val="left"/>
        <w:tblInd w:w="0" w:type="dxa"/>
        <w:tblLayout w:type="fixed"/>
        <w:tblCellMar>
          <w:top w:w="28" w:type="dxa"/>
          <w:left w:w="28" w:type="dxa"/>
          <w:bottom w:w="28" w:type="dxa"/>
          <w:right w:w="28" w:type="dxa"/>
        </w:tblCellMar>
      </w:tblPr>
      <w:tblGrid>
        <w:gridCol w:w="994"/>
        <w:gridCol w:w="873"/>
        <w:gridCol w:w="877"/>
        <w:gridCol w:w="211"/>
        <w:gridCol w:w="976"/>
        <w:gridCol w:w="109"/>
        <w:gridCol w:w="109"/>
        <w:gridCol w:w="109"/>
        <w:gridCol w:w="109"/>
        <w:gridCol w:w="211"/>
        <w:gridCol w:w="976"/>
        <w:gridCol w:w="109"/>
        <w:gridCol w:w="109"/>
        <w:gridCol w:w="109"/>
        <w:gridCol w:w="109"/>
        <w:gridCol w:w="211"/>
        <w:gridCol w:w="97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Income before income taxes reflects deemed intercompany royalties in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2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for fiscal 2024, fiscal 2023 and fiscal 2022 are as follows:</w:t>
      </w:r>
    </w:p>
    <w:tbl>
      <w:tblPr>
        <w:tblW w:w="6477" w:type="dxa"/>
        <w:jc w:val="left"/>
        <w:tblInd w:w="0" w:type="dxa"/>
        <w:tblLayout w:type="fixed"/>
        <w:tblCellMar>
          <w:top w:w="28" w:type="dxa"/>
          <w:left w:w="28" w:type="dxa"/>
          <w:bottom w:w="28" w:type="dxa"/>
          <w:right w:w="28" w:type="dxa"/>
        </w:tblCellMar>
      </w:tblPr>
      <w:tblGrid>
        <w:gridCol w:w="764"/>
        <w:gridCol w:w="673"/>
        <w:gridCol w:w="678"/>
        <w:gridCol w:w="211"/>
        <w:gridCol w:w="901"/>
        <w:gridCol w:w="109"/>
        <w:gridCol w:w="109"/>
        <w:gridCol w:w="109"/>
        <w:gridCol w:w="109"/>
        <w:gridCol w:w="211"/>
        <w:gridCol w:w="901"/>
        <w:gridCol w:w="109"/>
        <w:gridCol w:w="109"/>
        <w:gridCol w:w="109"/>
        <w:gridCol w:w="109"/>
        <w:gridCol w:w="211"/>
        <w:gridCol w:w="90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350,188 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for fiscal 2023 was impacted by a discrete income tax benefit recorded of $81.7 million resulting from the approval granted by the Joint Committee on Taxation of its federal corporate income tax relief claim which reduced the amount of transition tax owed under the Tax Cuts and Jobs Act.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U.S. tax legislation subjects a U.S. shareholder to tax on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carries other outside basis differences in its subsidiaries, primarily arising from acquisition accounting adjustments and certain undistributed earnings that are considered indefinitely reinvested. As of November 2, 2024, the Company has not recognized deferred income tax on $33.6 billion of outside basis differences because of its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Company’s deferred tax assets and liabilities for fiscal 2024 and fiscal 2023 are as follows:</w:t>
      </w:r>
    </w:p>
    <w:tbl>
      <w:tblPr>
        <w:tblW w:w="6144" w:type="dxa"/>
        <w:jc w:val="left"/>
        <w:tblInd w:w="0" w:type="dxa"/>
        <w:tblLayout w:type="fixed"/>
        <w:tblCellMar>
          <w:top w:w="28" w:type="dxa"/>
          <w:left w:w="28" w:type="dxa"/>
          <w:bottom w:w="28" w:type="dxa"/>
          <w:right w:w="28" w:type="dxa"/>
        </w:tblCellMar>
      </w:tblPr>
      <w:tblGrid>
        <w:gridCol w:w="1204"/>
        <w:gridCol w:w="1059"/>
        <w:gridCol w:w="1067"/>
        <w:gridCol w:w="211"/>
        <w:gridCol w:w="901"/>
        <w:gridCol w:w="109"/>
        <w:gridCol w:w="109"/>
        <w:gridCol w:w="109"/>
        <w:gridCol w:w="109"/>
        <w:gridCol w:w="211"/>
        <w:gridCol w:w="901"/>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compensation and benefits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carryovers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R&amp;D expenses (1)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GILTI tax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Company included the effects of the mandatory capitalization and amortization of research and development expenses which began in fiscal 2023 under the Tax Cuts and Jobs Act.</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 allowances of $343.1 million and $332.5 million as of November 2, 2024 and October 28, 2023, respectively, are primarily for the Company’s state R&amp;D credit carryforwards, foreign net operating losses and international credit carryforwards. The Company believes that it is more-likely-than-not that these credit carryovers will not be realized and as a result has recorded a partial valuation allowance. </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and state net operating losses of $89.1 million will begin to expire in fiscal 2035 while foreign net operating loss carryovers of $145.5 million have no expiration date. There are also $304.8 million of federal and state credit carryovers and $13.7 million of foreign investment tax credit carryovers that begin to expire in the fiscal year ending October 31, 2026.</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2024 and October 28, 2023, the Company had unrealized tax benefits, net of indirect tax benefits, of $162.7 million and $187.4 million, respectively, which if settled in the Company’s favor, would lower the Company’s effective tax rate in the period recorded. Liabilities for unrealized tax benefits are primarily classified as non-current because the Company believes that the ultimate payment or settlement of these liabilities will not occur within the next twelve months. As of November 2, 2024 and October 28, 2023, the Company had liabilities of approximately $73.7 million and $70.7 million, respectively, for interest and penalties, which is included within the provision for income taxes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total amounts of unrealized tax benefits for fiscal 2022 through fiscal 2024:</w:t>
      </w:r>
    </w:p>
    <w:tbl>
      <w:tblPr>
        <w:tblW w:w="6779" w:type="dxa"/>
        <w:jc w:val="left"/>
        <w:tblInd w:w="0" w:type="dxa"/>
        <w:tblLayout w:type="fixed"/>
        <w:tblCellMar>
          <w:top w:w="28" w:type="dxa"/>
          <w:left w:w="28" w:type="dxa"/>
          <w:bottom w:w="28" w:type="dxa"/>
          <w:right w:w="28" w:type="dxa"/>
        </w:tblCellMar>
      </w:tblPr>
      <w:tblGrid>
        <w:gridCol w:w="1776"/>
        <w:gridCol w:w="1558"/>
        <w:gridCol w:w="1570"/>
        <w:gridCol w:w="328"/>
        <w:gridCol w:w="1308"/>
        <w:gridCol w:w="239"/>
      </w:tblGrid>
      <w:tr>
        <w:trPr/>
        <w:tc>
          <w:tcPr>
            <w:tcW w:w="177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Tax Benefits</w:t>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October 30, 2021</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132,521</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the Acquisition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current year</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of applicable statute of limitations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October 29, 2022</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165,327</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current year</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of applicable statute of limitations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October 28, 2023</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187,415</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current year</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prior years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of applicable statute of limitations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November 2, 2024</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162,696</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2024, the Company continued to engage in discussions with tax authorities regarding tax matters in various jurisdictions. It is reasonably possible that the balance of unrealized tax benefits, including accrued interest and penalties, could decrease by up to $140.0 million within the next twelve months due to the completion of federal tax audits, including any administrative appeals. The $140.0 million primarily relates to matters involving federal taxation of international income and cross-border transactions.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numerous audits ongoing at any time throughout the world including: an IRS income tax audit for the fiscal years ended October 30, 2021 (fiscal 2021), November 2, 2019 (fiscal 2019) and November 3, 2018 (fiscal 2018); a pre-Acquisition IRS income tax audit for Maxim’s fiscal years ended June 27, 2015 through August 26, 2021; and various U.S. state and local tax audits and international audits, including an Irish corporate tax audit for fiscal 2019. The Company’s U.S. federal tax returns prior to fiscal 2018 are no longer subject to examination, except for the applicable Maxim pre-Acquisition fiscal years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13.    Revolving Credit Facility</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23, 2021, the Company entered into a Third Amended and Restated Credit Agreement with Bank of America, N.A. as administrative agent and the other banks identified therein as lenders, which was subsequently amended on December 20, 2022 and July 24, 2023 (as amended, the Revolving Credit Agreement). The Revolving Credit Agreement provides for a five year, unsecured, revolving credit facility in an aggregate principal amount not to exceed $2.5 billion (subject to certain terms and conditions).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fiscal 2023, the Company amended the Revolving Credit Agreement, replacing the LIBOR interest rate provisions with interest rate provisions based on a forward-looking term rate based on the Secured Overnight Financing Rate (SOFR) plus a 10 basis point credit spread adjustment. After the amendment, revolving loans under the Revolving Credit Agreement can be Term SOFR Loans or Base Rate Loans (each as defined in the Revolving Credit Agreement) at the Company’s option. Each Term SOFR Loan will bear interest at a rate per annum equal to the applicable adjusted term SOFR plus a margin based on the Company’s Debt Ratings (as defined in the Revolving Credit Agreement) from time to time of between 0.690% and 1.175%. As of November 2, 2024, the Company had no outstanding borrowings under this revolving credit facility but may borrow in the future and use the proceeds for repayment of existing indebtedness, stock repurchases, acquisitions, capital expenditures, working capital and other lawful corporate purposes.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has agreed to pay a facility fee based on the Company’s Debt Ratings from time to time of between 0.060% and 0.200% multiplied by the actual daily amount of the Commitments (as defined in the Revolving Credit Agreement) in effect. The Revolving Credit Agreement also contains a sustainability-linked pricing component which provides for interest rate and facility fee reductions or increases based on the Company meeting or missing targets related to environmental sustainability, specifically greenhouse gas emissions and renewable energy usage. For calendar year 2023, the Company exceeded the target thresholds for greenhouse gas emission and renewable energy usage, which resulted in immaterial adjustments to administrative and interest fees due under the facility. The Revolving Credit Agreement includes a multicurrency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feature for certain specified foreign currencies. The Company will guarantee the obligations of each subsidiary that is named a Designated Borrower under the Revolving Credit Agreement.</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Agreement contains customary representations and warranties, and affirmative and negative covenants and events of default applicable to the Company and its subsidiaries. As of November 2, 2024, the Company was in compliance with these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14.    Debt</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2015, the Company issued $850.0 million aggregate principal amount of 3.9% senior unsecured notes due December 15, 2025 (the December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discounts and issuance costs. Debt discounts and issuance costs will be amortized through interest expense over the term of the 2045 Notes. The 2045 Notes are subordinated to any future secured debt and to the other liabilities of the Company’s subsidiaries. The 2045 Notes were issued pursuant to a base indenture (the ADI Base Indenture) between the Company and The Bank of New York Mellon Trust Company as trustee, as supplemented by a supplemental indenture, which contain certain covenants, events of default and other customary provisions. The covenants applicable to the 2045 Notes limit the Company’s ability to incur, create, assume or guarantee any debt secured by a lien upon a principal property; enter into sale and lease-back transactions with respect to a principal property; and consolidate with or merge into, or transfer or lease all or substantially all of its assets to, any other party. As of November 2, 2024, the Company was in compliance with these covenants. </w:t>
      </w:r>
    </w:p>
    <w:p>
      <w:pPr>
        <w:pStyle w:val="TextBody"/>
        <w:bidi w:val="0"/>
        <w:spacing w:lineRule="auto" w:line="288" w:before="140" w:after="283"/>
        <w:ind w:left="0" w:right="0" w:firstLine="450"/>
        <w:jc w:val="left"/>
        <w:rPr/>
      </w:pPr>
      <w:r>
        <w:rPr>
          <w:rFonts w:ascii="Times New Roman;sans-serif" w:hAnsi="Times New Roman;sans-serif"/>
          <w:b w:val="false"/>
          <w:color w:val="000000"/>
          <w:sz w:val="20"/>
        </w:rPr>
        <w:t xml:space="preserve">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with semi-annual fixed interest payments due on June 5 and December 5 of each year, commencing June 5, 2017. The net proceeds of the offering were $2.1 billion, after discounts and issuance costs. On October 5, 2021, (i) $71.2 million, or 17.80%, of the $400.0 million aggregate principal amount of the 2021 Notes at a price of $1,001.77 for each $1,000 principal amount of 2021 Notes, (ii) $282.7 million, or 51.41%, of the $550.0 million aggregate principal amount of the December 2023 Notes at a price of </w:t>
      </w:r>
      <w:r>
        <w:rPr>
          <w:rFonts w:ascii="Times New Roman;sans-serif" w:hAnsi="Times New Roman;sans-serif"/>
          <w:b w:val="false"/>
          <w:color w:val="000000"/>
          <w:sz w:val="20"/>
          <w:shd w:fill="FFFFFF" w:val="clear"/>
        </w:rPr>
        <w:t>$1,053.78 for each $1,000 principal amount of December 2023 Notes</w:t>
      </w:r>
      <w:r>
        <w:rPr>
          <w:color w:val="000000"/>
        </w:rPr>
        <w:t xml:space="preserve"> </w:t>
      </w:r>
      <w:r>
        <w:rPr>
          <w:rFonts w:ascii="Times New Roman;sans-serif" w:hAnsi="Times New Roman;sans-serif"/>
          <w:b w:val="false"/>
          <w:color w:val="000000"/>
          <w:sz w:val="20"/>
        </w:rPr>
        <w:t xml:space="preserve">and (iii) $105.7 million, or 42.29%, of the $250.0 million aggregate principal amount of the 2036 Notes at a price of </w:t>
      </w:r>
      <w:r>
        <w:rPr>
          <w:rFonts w:ascii="Times New Roman;sans-serif" w:hAnsi="Times New Roman;sans-serif"/>
          <w:b w:val="false"/>
          <w:color w:val="000000"/>
          <w:sz w:val="20"/>
          <w:shd w:fill="FFFFFF" w:val="clear"/>
        </w:rPr>
        <w:t>$1,239.96 for each $1,000 principal amount of 2036 Notes</w:t>
      </w:r>
      <w:r>
        <w:rPr>
          <w:color w:val="000000"/>
        </w:rPr>
        <w:t xml:space="preserve"> </w:t>
      </w:r>
      <w:r>
        <w:rPr>
          <w:rFonts w:ascii="Times New Roman;sans-serif" w:hAnsi="Times New Roman;sans-serif"/>
          <w:b w:val="false"/>
          <w:color w:val="000000"/>
          <w:sz w:val="20"/>
        </w:rPr>
        <w:t xml:space="preserve">were tendered for redemption. On October 20, 2021, the remaining 2021 Notes and December 2023 Notes were redeemed for cash at a redemption price equal to $1,000.98 for each $1,000 principal amount of 2021 Notes and $1,050.17 for each $1,000 principal amount of December 2023 Notes. Debt discounts and issuance costs will be amortized through interest expense over the term of the respective notes. The 2026 Notes and 2036 Notes rank without preference or priority among themselves and equally in right of payment with all other existing and future senior unsecured debt and senior in right of payment to all of the Company’s future subordinated debt. The 2026 Notes and 2036 Notes were issued pursuant to the ADI Base Indenture, as supplemented by a supplemental indenture, which contain covenants similar to those applicable to the 2045 Notes, events of default and other customary provisions. As of November 2, 2024, the Company was in compliance with these covenants.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8, 2020, in an underwritten public offering of green bonds, the Company issued $400.0 million aggregate principal amount of 2.95% senior unsecured notes due April 1, 2025 (the April 2025 Notes), with semi-annual fixed interest payments due on April 1 and October 1 of each year, commencing on October 1, 2020. The Company used the net proceeds of $395.6 million from the green bond offering to finance or refinance new and existing eligible projects involving renewable energy, green buildings, and eco-efficient products, production technologies and processes. Debt discounts and underwriting fees will be amortized through interest expense over the term of the April 2025 Notes. At any time prior to March 1, 2025, the Company may, at its option, redeem some or all of the April 2025 Notes at a redemption price equal to the greater of 100% of the principal amount of the April 2025 Notes being redeemed and the make-whole premium, plus accrued and unpaid interest on the April 2025 Notes being redeemed, if any, to but excluding the date of redemption. The April 2025 Notes are unsecured and rank equally in right of payment with all of the Company’s other existing and future unsecured senior indebtedness. The April 2025 Notes were issued pursuant to the ADI Base Indenture, as supplemented by a supplemental indenture, which contain covenants similar to those applicable to the 2045 Notes, events of default and other customary provisions. As of November 2, 2024, the Company was in compliance with these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Acquisition, $500.0 million aggregate principal amount of Maxim’s 3.375% senior unsecured and unsubordinated notes due March 15, 2023 (the Maxim 2023 Notes) and $500.0 million aggregate principal amount of Maxim’s 3.45% senior unsecured and unsubordinated notes due June 15, 2027 (the Maxim 2027 Notes), were recognized by the Company at fair value as of the Acquisition Date. In November 2021 (fiscal 2022), the Maxim 2023 Notes were redeemed for cash.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5, 2021, in an underwritten public offering, the Company issued $500.0 million aggregate principal amount of floating rate senior notes due October 1, 2024 (the Floating Rate Notes), $750.0 million aggregate principal amount of 1.7% sustainability-linked senior notes due October 1, 2028 (the Sustainability-Linked Senior Notes), $1.0 billion aggregate principal amount of 2.1% senior notes due October 1, 2031 (the 2031 Notes), $750.0 million aggregate principal amount of 2.8% senior notes due October 1, 2041 (the 2041 Notes), and $1.0 billion aggregate principal amount of 2.95% senior notes due October 1, 2051 (the 2051 Notes, and, together with the Floating Rate Notes, the Sustainability-Linked Senior Notes, the 2031 Notes and the 2041 Notes, the Notes). The Floating Rate Notes bore interest at a floating annual rate equal to a benchmark rate, which initially is Compounded SOFR (as defined in the supplemental indenture governing such notes) plus 25 basis points. On October 1, 2024 the Floating Rate Notes were paid in full at maturity. The Sustainability-Linked Senior Notes initially bear interest at a rate of 1.7% per annum and are subject to an increase of an additional 30 basis points from April 1, 2026 to the maturity date unless the Sustainability Performance Target (as defined in the Sustainability-Linked Senior Notes) has been satisfied. Semi-annual fixed interest payments on the Sustainability-Linked Senior Notes, the 2031 Notes, the 2041 Notes and the 2051 Notes are due on April 1 and October 1 of each year, beginning on April 1, 2022.</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August 1, 2028 in the case of the Sustainability-Linked Senior Notes, July 1, 2031 in the case of the 2031 Notes, April 1, 2041 in the case of the 2041 Notes and April 1, 2051 in the case of the 2051 Notes (each, a Par Call Date), the Company may, at its option, redeem some or all of the applicable series of Notes at a redemption price equal to the greater of (i) 100% of the principal amount of such series of Notes being redeemed and (ii) the make-whole redemption price (as described in the supplemental indenture governing such notes). On and after the applicable Par Call Date, the Company may, at its option, redeem some or all of the applicable series of Notes at a redemption price equal to 100% of the principal amount of the Notes being redeemed. In each case, the Company will also pay the accrued and unpaid interest on the Notes being redeemed to, but excluding, the date of redemption. The Notes are unsecured and rank equally in right of payment with all of the Company’s other existing and future unsecured senior indebtedness. Debt discounts and issuance costs will be amortized through interest expense over the term of the respective Notes. The Notes were issued pursuant to an indenture, as supplemented by a supplemental indenture, and the indenture and supplemental indenture contain certain covenants, events of default and other customary provisions. As of November 2, 2024, the Company was in compliance with these covenants.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15, 2022, in an underwritten public offering, the Company issued $300.0 million aggregate principal amount of 4.250% senior notes due October 1, 2032 (the 2032 Notes) with semi-annual fixed interest payments due on April 1 and October 1 of each year, commencing April 1, 2023. The net proceeds of the offering were $296.1 million, after discounts and issuance costs. Prior to July 1, 2032 (three months prior to the maturity date), the Company may, at its option, redeem the 2032 Notes, in whole or in part, at any time and from time to time, at a redemption price equal to the greater of: (1) (a) the sum of the present values of the remaining scheduled payments of principal and interest thereon discounted to the redemption date (assuming the notes matured on July 1, 2032) on a semi-annual basis at the Treasury Rate plus 20 basis points less (b) interest accrued to the date of redemption, and (2) 100% of the principal amount of the notes to be redeemed, plus, in either case, accrued and unpaid interest thereon to the redemption date. On or after July 1, 2032, the Company may, at its option, redeem the 2032 Notes, in whole or in part, at any time and from time to time, at a redemption price equal to 100% of the principal amount of the 2032 Notes being redeemed plus accrued and unpaid interest thereon to the redemption date. The 2032 Notes are unsecured and rank equally in right of payment with all of the Company’s other existing and future unsecured senior indebtedness. The 2032 Notes were issued pursuant to the ADI Base Indenture, as supplemented by a supplemental indenture, which contain covenants similar to those applicable to the 2045 Notes, events of default and other customary provisions. As of November 2, 2024, the Company was in compliance with these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7, 2022, the Company completed an offer to exchange any and all outstanding Maxim 2027 Notes, for new 3.450% Senior Notes due June 15, 2027 to be issued by the Company (the Unregistered 2027 Notes) and cash. Pursuant to the exchange offer, $440.2 million aggregate principal amount of the Maxim 2027 Notes were tendered and subsequently accepted for exchange, and the Company retired and canceled all Maxim 2027 Notes accepted for exchange. In exchange for the tendered Maxim 2027 Notes, the Company issued approximately $440.2 million aggregate principal amount of Unregistered 2027 Notes pursuant to a private exchange offer exempt from, or not subject to, registration under the Securities Act of 1933, as amended (the Securities Act) and $0.5 million in cash. Following settlement of the exchange offer, $59.8 million aggregate principal amount of the Maxim 2027 Notes remained outstanding, The Unregistered 2027 Notes were issued pursuant to the ADI Base Indenture, as supplemented by a supplemental indenture, which contain certain covenants similar to those applicable to the 2045 Notes, events of default and other customary provisions. The Unregistered 2027 Notes bear interest at a rate of 3.450% per annum, with semi-annual fixed interest payments due on June 15 and December 15 of each year, commencing on December 15, 2022 and will mature on June 15, 2027. On April 26, 2023, the Company redeemed for cash the $59.8 million aggregate principal amount of Maxim 2027 Notes that remained outstanding at a redemption price equal to $1,012.55 for each $1,000 principal of the Maxim 2027 Notes and included accrued interest. On September 19, 2023, the Company completed a registered exchange offer in which the Company exchanged the Unregistered 2027 Notes for a like principal amount of new notes registered under the Securities Act with the same interest rates and maturity dates as the Unregistered 2027 Notes (the 2027 Notes). As of October 28, 2023, the Company was in compliance with the covenants contained in the indenture and supplemental indenture governing the 2027 Notes.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14, 2023, the Company established a commercial paper program under which the Company may issue short-term, unsecured commercial paper notes (CP Notes) in amounts up to a maximum aggregate face amount of $2.5 billion outstanding at any time, with maturities up to 397 days from the date of issuance. The CP Notes will be sold under customary market terms in the U.S. commercial paper market at a discount from par or at par and bear interest at rates determined at the time of issuance. The net proceeds of the CP Notes are used for general corporate purposes, including without limitation, repayment of indebtedness, stock repurchases, acquisitions, capital expenditures and working capital. As of November 2, 2024, the Company had $547.7 million of outstanding borrowings under the commercial paper program recorded in the Consolidated Balance Sheets. The carrying value of the outstanding CP Notes approximated fair value at November 2, 2024.</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2024, in an underwritten public offering, the Company issued $550.0 million aggregate principal amount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5.050% senior notes due April 1, 2034 (the 2034 Notes) with semi-annual fixed interest payments due on April 1 and October 1 of each year, commencing October 1, 2024. The net proceeds of the offering were $545.5 million, after discounts and issuance costs. Prior to January 1, 2034 (three months prior to the maturity date of the 2034 Notes), the Company may, at its option, redeem the 2034 Notes, in whole or in part, at any time and from time to time, at a redemption price equal to the greater of: (1) (a) the sum of the present values of the remaining scheduled payments of principal and interest thereon discounted to the redemption date (assuming the 2034 Notes matured on January 1, 2034) on a semi-annual basis at the applicable treasury rate plus 15 basis points less (b) interest accrued to the date of redemption, and (2) 100% of the principal amount of the 2034 Notes to be redeemed, plus, in either case, accrued and unpaid interest thereon to the redemption date. On or after January 1, 2034, the Company may, at its option, redeem the 2034 Notes, in whole or in part, at any time and from time to time, at a redemption price equal to 100% of the principal amount of the 2034 Notes being redeemed plus accrued and unpaid interest thereon to the redemption date. The 2034 Notes are unsecured and rank equally in right of payment with all of the Company’s other existing and future unsecured senior indebtedness. The 2034 Notes were issued pursuant to the ADI Base Indenture, as supplemented by a supplemental indenture, which contain covenants similar to those applicable to the 2045 Notes, events of default and other customary provisions. As of November 2, 2024, the Company was in compliance with these covenants.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2024, in an underwritten public offering, the Company issued $550.0 million aggregate principal amount of 5.300% senior notes due April 1, 2054 (the 2054 Notes) with semi-annual fixed interest payments due on April 1 and October 1 of each year, commencing October 1, 2024. The net proceeds of the offering were $542.3 million, after discounts and issuance costs. Prior to October 1, 2053 (six months prior to the maturity date of the 2054 Notes), the Company may, at its option, redeem the 2054 Notes, in whole or in part, at any time and from time to time, at a redemption price equal to the greater of: (1) (a) the sum of the present values of the remaining scheduled payments of principal and interest thereon discounted to the redemption date (assuming the 2054 Notes matured on October 1, 2053) on a semi-annual basis at the applicable treasury rate plus 15 basis points less (b) interest accrued to the date of redemption, and (2) 100% of the principal amount of the 2054 Notes to be redeemed, plus, in either case, accrued and unpaid interest thereon to the redemption date. On or after October 1, 2053, the Company may, at its option, redeem the 2054 Notes, in whole or in part, at any time and from time to time, at a redemption price equal to 100% of the principal amount of the 2054 Notes being redeemed plus accrued and unpaid interest thereon to the redemption date. The 2054 Notes are unsecured and rank equally in right of payment with all of the Company’s other existing and future unsecured senior indebtedness. The 2054 Notes were issued pursuant to the ADI Base Indenture, as supplemented by a supplemental indenture, which contain covenants similar to those applicable to the 2045 Notes, events of default and other customary provisions. As of November 2, 2024, the Company was in compliance with these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consisted of the following as of November 2, 2024 and October 28, 2023:</w:t>
      </w:r>
    </w:p>
    <w:tbl>
      <w:tblPr>
        <w:tblW w:w="10205" w:type="dxa"/>
        <w:jc w:val="left"/>
        <w:tblInd w:w="0" w:type="dxa"/>
        <w:tblLayout w:type="fixed"/>
        <w:tblCellMar>
          <w:top w:w="28" w:type="dxa"/>
          <w:left w:w="28" w:type="dxa"/>
          <w:bottom w:w="28" w:type="dxa"/>
          <w:right w:w="28" w:type="dxa"/>
        </w:tblCellMar>
      </w:tblPr>
      <w:tblGrid>
        <w:gridCol w:w="840"/>
        <w:gridCol w:w="488"/>
        <w:gridCol w:w="491"/>
        <w:gridCol w:w="211"/>
        <w:gridCol w:w="976"/>
        <w:gridCol w:w="109"/>
        <w:gridCol w:w="109"/>
        <w:gridCol w:w="109"/>
        <w:gridCol w:w="109"/>
        <w:gridCol w:w="549"/>
        <w:gridCol w:w="1876"/>
        <w:gridCol w:w="286"/>
        <w:gridCol w:w="109"/>
        <w:gridCol w:w="109"/>
        <w:gridCol w:w="109"/>
        <w:gridCol w:w="211"/>
        <w:gridCol w:w="976"/>
        <w:gridCol w:w="109"/>
        <w:gridCol w:w="109"/>
        <w:gridCol w:w="109"/>
        <w:gridCol w:w="109"/>
        <w:gridCol w:w="371"/>
        <w:gridCol w:w="1455"/>
        <w:gridCol w:w="276"/>
      </w:tblGrid>
      <w:tr>
        <w:trPr/>
        <w:tc>
          <w:tcPr>
            <w:tcW w:w="8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28, 2023</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discounts, debt issuance costs and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discount and debt issuance costs</w:t>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April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 due December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Notes, due June 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 due October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Notes, due October 2031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Notes, due October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Notes, due April 2034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 Notes, due December 2036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 Notes, due October 2041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2045 Notes, due December 2045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2051 Notes, due October 2051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Notes, due April 2054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due October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April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w:t>
      </w:r>
    </w:p>
    <w:p>
      <w:pPr>
        <w:pStyle w:val="TextBody"/>
        <w:bidi w:val="0"/>
        <w:spacing w:lineRule="auto" w:line="288" w:before="0" w:after="0"/>
        <w:jc w:val="left"/>
        <w:rPr/>
      </w:pPr>
      <w:r>
        <w:rPr>
          <w:rFonts w:ascii="Times New Roman;sans-serif" w:hAnsi="Times New Roman;sans-serif"/>
          <w:b w:val="false"/>
          <w:color w:val="000000"/>
          <w:sz w:val="16"/>
        </w:rPr>
        <w:t xml:space="preserve">(1) Includes fair value adjustment related to interest rate swap related to outstanding debt. See Note 2i, </w:t>
      </w:r>
      <w:r>
        <w:rPr>
          <w:rFonts w:ascii="Times New Roman;sans-serif" w:hAnsi="Times New Roman;sans-serif"/>
          <w:b w:val="false"/>
          <w:i/>
          <w:color w:val="000000"/>
          <w:sz w:val="16"/>
        </w:rPr>
        <w:t xml:space="preserve">Derivative Instruments and Hedge Agreements, </w:t>
      </w:r>
      <w:r>
        <w:rPr>
          <w:rFonts w:ascii="Times New Roman;sans-serif" w:hAnsi="Times New Roman;sans-serif"/>
          <w:b w:val="false"/>
          <w:color w:val="000000"/>
          <w:sz w:val="16"/>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25, 2024, the Board of Directors of the Company declared a cash dividend of $0.92 per outstanding share of common stock. The dividend will be paid on December 20, 2024 to all shareholders of record at the close of business on December 9, 2024 and is expected to total approximately $456.6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(a) </w:t>
      </w:r>
      <w:r>
        <w:rPr>
          <w:rFonts w:ascii="Times New Roman;sans-serif" w:hAnsi="Times New Roman;sans-serif"/>
          <w:b w:val="false"/>
          <w:i/>
          <w:color w:val="000000"/>
          <w:sz w:val="20"/>
        </w:rPr>
        <w:t>Evaluation of Disclosure Controls and Procedures.</w:t>
      </w:r>
      <w:r>
        <w:rPr>
          <w:color w:val="000000"/>
        </w:rPr>
        <w:t> </w:t>
      </w:r>
      <w:r>
        <w:rPr>
          <w:rFonts w:ascii="Times New Roman;sans-serif" w:hAnsi="Times New Roman;sans-serif"/>
          <w:b w:val="false"/>
          <w:color w:val="000000"/>
          <w:sz w:val="20"/>
        </w:rPr>
        <w:t xml:space="preserve">Our management, with the participation of our Chief Executive Officer and Chief Financial Officer, evaluated the effectiveness of Analog’s disclosure controls and procedures as of November 2,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2, 2024, our Chief Executive Officer and Chief Financial Officer concluded that, as of such date, our disclosure controls and procedures were effective at the reasonable assurance level. </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(b) </w:t>
      </w:r>
      <w:r>
        <w:rPr>
          <w:rFonts w:ascii="Times New Roman;sans-serif" w:hAnsi="Times New Roman;sans-serif"/>
          <w:b w:val="false"/>
          <w:i/>
          <w:color w:val="000000"/>
          <w:sz w:val="20"/>
        </w:rPr>
        <w:t>Management</w:t>
      </w:r>
      <w:r>
        <w:rPr>
          <w:color w:val="000000"/>
        </w:rPr>
        <w:t>’</w:t>
      </w:r>
      <w:r>
        <w:rPr>
          <w:rFonts w:ascii="Times New Roman;sans-serif" w:hAnsi="Times New Roman;sans-serif"/>
          <w:b w:val="false"/>
          <w:i/>
          <w:color w:val="000000"/>
          <w:sz w:val="20"/>
        </w:rPr>
        <w:t>s Report on Internal Control Over Financial Reporting.</w:t>
      </w:r>
    </w:p>
    <w:p>
      <w:pPr>
        <w:pStyle w:val="TextBody"/>
        <w:bidi w:val="0"/>
        <w:spacing w:lineRule="auto" w:line="288" w:before="260" w:after="283"/>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assessed the effectiveness of our internal control over financial reporting as of November 2, 2024. In making this assessment, the company’s management used the criteria set forth by the Committee of Sponsoring Organizations of the Treadway Commission (COSO) in Internal Control-Integrated 2013 Framework.</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our management concluded that, as of November 2, 2024, our internal control over financial reporting is effective based on those criteria.</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that audited the financial statements included in this annual report has issued an attestation report on our internal control over financial reporting. This report appears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(c) </w:t>
      </w:r>
      <w:r>
        <w:rPr>
          <w:rFonts w:ascii="Times New Roman;sans-serif" w:hAnsi="Times New Roman;sans-serif"/>
          <w:b w:val="false"/>
          <w:i/>
          <w:color w:val="000000"/>
          <w:sz w:val="20"/>
        </w:rPr>
        <w:t>Attestation Report of the Registered Public Accounting Firm</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Analog Devices,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Analog Devices, Inc.’s internal control over financial reporting as of November 2, 2024, based on criteria established in Internal Control—Integrated Framework issued by the Committee of Sponsoring Organizations of the Treadway Commission (2013 framework) (the COSO criteria). In our opinion, Analog Devices, Inc. (the Company) maintained, in all material respects, effective internal control over financial reporting as of November 2, 2024, based on the COSO criteria.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November 2, 2024 and October 28, 2023, the related consolidated statements of income, comprehensive income, shareholders’ equity and cash flows for each of the three years in the period ended November 2, 2024, and the related notes and schedule listed in the Index at Item 15(a)(2) and our report dated November 26, 2024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(d) </w:t>
      </w:r>
      <w:r>
        <w:rPr>
          <w:rFonts w:ascii="Times New Roman;sans-serif" w:hAnsi="Times New Roman;sans-serif"/>
          <w:b w:val="false"/>
          <w:i/>
          <w:color w:val="000000"/>
          <w:sz w:val="20"/>
        </w:rPr>
        <w:t>Changes in Internal Controls over Financial Reporting.</w:t>
      </w:r>
      <w:r>
        <w:rPr>
          <w:color w:val="000000"/>
        </w:rPr>
        <w:t> </w:t>
      </w:r>
      <w:r>
        <w:rPr>
          <w:rFonts w:ascii="Times New Roman;sans-serif" w:hAnsi="Times New Roman;sans-serif"/>
          <w:b w:val="false"/>
          <w:color w:val="000000"/>
          <w:sz w:val="20"/>
        </w:rPr>
        <w:t>No change in our internal control over financial reporting (as defined in Rules 13a-15(f) and 15d-15(f) under the Securities Exchange Act) occurred during the fiscal quarter ended November 2, 2024 that has materially affected, or is reasonably likely to materially affect, our internal control over financial reporting.</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contracts, instructions or written plans for the sale or purchase of our securities adopted by our directors or officers during the fourth quarter of fiscal 2024 that are intended to satisfy the affirmative defense conditions of Rule 10b5-1(c) under the Exchange Act (Rule 10b5-1 trading arrangement).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9"/>
        <w:gridCol w:w="761"/>
        <w:gridCol w:w="671"/>
        <w:gridCol w:w="494"/>
        <w:gridCol w:w="386"/>
        <w:gridCol w:w="388"/>
        <w:gridCol w:w="1441"/>
        <w:gridCol w:w="1441"/>
        <w:gridCol w:w="1445"/>
        <w:gridCol w:w="662"/>
        <w:gridCol w:w="662"/>
        <w:gridCol w:w="945"/>
      </w:tblGrid>
      <w:tr>
        <w:trPr/>
        <w:tc>
          <w:tcPr>
            <w:tcW w:w="9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Adoption</w:t>
            </w:r>
          </w:p>
        </w:tc>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Duration of Rule 10b5-1 Trading Arrangement</w:t>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Purchased or Sold</w:t>
            </w:r>
          </w:p>
        </w:tc>
      </w:tr>
      <w:tr>
        <w:trPr/>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Richard C. Puccio, Jr.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17, 2024</w:t>
            </w:r>
          </w:p>
        </w:tc>
        <w:tc>
          <w:tcPr>
            <w:tcW w:w="4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Until April 30, 2025, or such earlier date upon which all transactions are completed or expire without execution</w:t>
            </w:r>
          </w:p>
        </w:tc>
        <w:tc>
          <w:tcPr>
            <w:tcW w:w="2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Sale of up to 5,000 shares</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officers or directors terminated a Rule 10b5-1 trading arrangement or adopted or terminated a non-Rule 10b5-1 trading arrangement (as defined in Item 408(c) of Regulation S-K) during the fourth quarter of fiscal 2024.</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2025 proxy statement to be filed with the SEC within 120 days after November 2, 2024 and is incorporated herein by reference.</w:t>
      </w:r>
    </w:p>
    <w:p>
      <w:pPr>
        <w:pStyle w:val="TextBody"/>
        <w:bidi w:val="0"/>
        <w:spacing w:lineRule="auto" w:line="288" w:before="140" w:after="283"/>
        <w:ind w:left="0" w:right="0" w:firstLine="495"/>
        <w:jc w:val="left"/>
        <w:rPr/>
      </w:pPr>
      <w:r>
        <w:rPr>
          <w:rFonts w:ascii="Times New Roman;sans-serif" w:hAnsi="Times New Roman;sans-serif"/>
          <w:b w:val="false"/>
          <w:color w:val="000000"/>
          <w:sz w:val="20"/>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Times New Roman;sans-serif" w:hAnsi="Times New Roman;sans-serif"/>
          <w:b w:val="false"/>
          <w:color w:val="000000"/>
          <w:sz w:val="20"/>
          <w:u w:val="single"/>
        </w:rPr>
        <w:t>www.analog.com</w:t>
      </w:r>
      <w:r>
        <w:rPr>
          <w:rFonts w:ascii="Times New Roman;sans-serif" w:hAnsi="Times New Roman;sans-serif"/>
          <w:b w:val="false"/>
          <w:color w:val="000000"/>
          <w:sz w:val="20"/>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Times New Roman;sans-serif" w:hAnsi="Times New Roman;sans-serif"/>
          <w:b w:val="false"/>
          <w:color w:val="000000"/>
          <w:sz w:val="20"/>
          <w:u w:val="single"/>
        </w:rPr>
        <w:t>www.analog.com.</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2024, we made no material change to the procedures by which shareholders may recommend nominees to our Board of Directors, as described in our 2024 proxy statement.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2025 proxy statement to be filed with the SEC within 120 days after November 2, 2024 and is incorporated herein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2025 proxy statement to be filed with the SEC within 120 days after November 2, 2024 and is incorporated herein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2025 proxy statement to be filed with the SEC within 120 days after November 2, 2024 and is incorporated herein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accounting firm is Ernst &amp; Young, Boston, Massachusetts (PCAOB ID: 42).</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2025 proxy statement to be filed with the SEC within 120 days after November 2, 2024 and is incorporated herein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40" w:after="283"/>
        <w:jc w:val="left"/>
        <w:rPr/>
      </w:pPr>
      <w:r>
        <w:rPr>
          <w:rFonts w:ascii="Times New Roman;sans-serif" w:hAnsi="Times New Roman;sans-serif"/>
          <w:b/>
          <w:color w:val="000000"/>
          <w:sz w:val="20"/>
        </w:rPr>
        <w:t>(a) </w:t>
      </w:r>
      <w:r>
        <w:rPr>
          <w:rFonts w:ascii="Times New Roman;sans-serif" w:hAnsi="Times New Roman;sans-serif"/>
          <w:b w:val="false"/>
          <w:color w:val="000000"/>
          <w:sz w:val="20"/>
        </w:rPr>
        <w:t>The following are filed as part of this Annual Report on Form 10-K:</w:t>
      </w:r>
    </w:p>
    <w:tbl>
      <w:tblPr>
        <w:tblW w:w="2280" w:type="dxa"/>
        <w:jc w:val="left"/>
        <w:tblInd w:w="0" w:type="dxa"/>
        <w:tblLayout w:type="fixed"/>
        <w:tblCellMar>
          <w:top w:w="28" w:type="dxa"/>
          <w:left w:w="28" w:type="dxa"/>
          <w:bottom w:w="28" w:type="dxa"/>
          <w:right w:w="28" w:type="dxa"/>
        </w:tblCellMar>
      </w:tblPr>
      <w:tblGrid>
        <w:gridCol w:w="130"/>
        <w:gridCol w:w="115"/>
        <w:gridCol w:w="115"/>
        <w:gridCol w:w="562"/>
        <w:gridCol w:w="562"/>
        <w:gridCol w:w="796"/>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are included in Item 8 of this Annual Report on 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2788"/>
        <w:gridCol w:w="2762"/>
        <w:gridCol w:w="3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the years ended November 2, 2024, October 28, 2023 and October 29, 2022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November 2, 2024, October 28, 2023 and October 29, 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November 2, 2024 and October 28,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November 2, 2024, October 28, 2023 and October 29, 2022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November 2, 2024, October 28, 2023 and October 29, 2022</w:t>
            </w:r>
          </w:p>
        </w:tc>
      </w:tr>
    </w:tbl>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pStyle w:val="TextBody"/>
        <w:bidi w:val="0"/>
        <w:spacing w:before="0" w:after="0"/>
        <w:ind w:left="0" w:right="0" w:firstLine="495"/>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Exhibits</w:t>
      </w:r>
    </w:p>
    <w:tbl>
      <w:tblPr>
        <w:tblW w:w="10205" w:type="dxa"/>
        <w:jc w:val="center"/>
        <w:tblInd w:w="0" w:type="dxa"/>
        <w:tblLayout w:type="fixed"/>
        <w:tblCellMar>
          <w:top w:w="28" w:type="dxa"/>
          <w:left w:w="28" w:type="dxa"/>
          <w:bottom w:w="28" w:type="dxa"/>
          <w:right w:w="28" w:type="dxa"/>
        </w:tblCellMar>
      </w:tblPr>
      <w:tblGrid>
        <w:gridCol w:w="263"/>
        <w:gridCol w:w="231"/>
        <w:gridCol w:w="233"/>
        <w:gridCol w:w="109"/>
        <w:gridCol w:w="109"/>
        <w:gridCol w:w="109"/>
        <w:gridCol w:w="2945"/>
        <w:gridCol w:w="2901"/>
        <w:gridCol w:w="2931"/>
        <w:gridCol w:w="109"/>
        <w:gridCol w:w="109"/>
        <w:gridCol w:w="156"/>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Articles of Organization of Analog Devices, Inc., as amended</w:t>
              </w:r>
            </w:hyperlink>
            <w:r>
              <w:rPr>
                <w:rFonts w:ascii="Times New Roman;sans-serif" w:hAnsi="Times New Roman;sans-serif"/>
                <w:b w:val="false"/>
                <w:color w:val="000000"/>
                <w:sz w:val="20"/>
              </w:rPr>
              <w:t>, filed as exhibit 3.1 to the Company’s Quarterly Report on Form 10-Q for the fiscal quarter ended May 3, 2008 as filed with the Commission on May 20, 2008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to Restated Articles of Organization of Analog Devices, Inc.</w:t>
              </w:r>
            </w:hyperlink>
            <w:r>
              <w:rPr>
                <w:rFonts w:ascii="Times New Roman;sans-serif" w:hAnsi="Times New Roman;sans-serif"/>
                <w:b w:val="false"/>
                <w:color w:val="000000"/>
                <w:sz w:val="20"/>
              </w:rPr>
              <w:t>, filed as exhibit 3.1 to the Company’s Current Report on Form 8-K as filed with the Commission on December 8, 2008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Analog Devices, Inc.</w:t>
              </w:r>
            </w:hyperlink>
            <w:r>
              <w:rPr>
                <w:rFonts w:ascii="Times New Roman;sans-serif" w:hAnsi="Times New Roman;sans-serif"/>
                <w:b w:val="false"/>
                <w:color w:val="000000"/>
                <w:sz w:val="20"/>
              </w:rPr>
              <w:t>, filed as exhibit 3.1 to the Company’s Current Report on Form 8-K as filed with the Commission on December 8, 2022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Indenture, dated as of June 3, 2013, by and between Analog Devices, Inc. and The Bank of New York Mellon Trust Company, N.A., as trustee</w:t>
              </w:r>
            </w:hyperlink>
            <w:r>
              <w:rPr>
                <w:rFonts w:ascii="Times New Roman;sans-serif" w:hAnsi="Times New Roman;sans-serif"/>
                <w:b w:val="false"/>
                <w:color w:val="000000"/>
                <w:sz w:val="20"/>
              </w:rPr>
              <w:t>, filed as exhibit 4.1 to the Company’s Current Report on Form 8-K as filed with the Commission on June 3, 2013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Supplemental Indenture, dated December 14, 2015, between Analog Devices, Inc. and The Bank of New York Mellon Trust Company, N.A., as trustee</w:t>
              </w:r>
            </w:hyperlink>
            <w:r>
              <w:rPr>
                <w:color w:val="000000"/>
                <w:u w:val="single"/>
              </w:rPr>
              <w:t xml:space="preserve"> </w:t>
            </w:r>
            <w:r>
              <w:rPr>
                <w:rFonts w:ascii="Times New Roman;sans-serif" w:hAnsi="Times New Roman;sans-serif"/>
                <w:b w:val="false"/>
                <w:color w:val="000000"/>
                <w:sz w:val="20"/>
              </w:rPr>
              <w:t>(including the forms of note contained therein), filed as exhibit 4.2 to the Company’s Current Report on Form 8-K as filed with the Commission on December 14, 2015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Supplemental Indenture, dated December 5, 2016,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(including the forms of note contained therein), filed as exhibit 4.2 to the Company’s Current Report on Form 8-K as filed with the Commission on December 5, 2016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Supplemental Indenture, dated April 8, 2020,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(including the form of note contained therein), filed as exhibit 4.2 to the Company’s Current Report on Form 8-K as filed with the Commission on April 8, 2020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Supplemental Indenture, dated October 5, 2021,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(including the forms of note contained therein), filed as exhibit 4.2 to the Company’s Current Report on Form 8-K as filed with the Commission on October 5, 2021 and incorporated herein by reference.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28"/>
        <w:gridCol w:w="231"/>
        <w:gridCol w:w="109"/>
        <w:gridCol w:w="109"/>
        <w:gridCol w:w="109"/>
        <w:gridCol w:w="2937"/>
        <w:gridCol w:w="2892"/>
        <w:gridCol w:w="2921"/>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Supplemental Indenture, dated September 15, 2022,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(including the form of note contained therein), filed as exhibit 4.2 to the Company’s Current Report on Form 8-K as filed with the Commission on September 15,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Supplemental Indenture, dated as of October 7, 2022,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 xml:space="preserve">(including the form of note contained therein), filed as exhibit 4.2 to the Company’s Current Report on Form 8-K as filed with the Commission on October 7, 2022 and incorporated herein by reference.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80"/>
                  <w:sz w:val="20"/>
                  <w:u w:val="single"/>
                </w:rPr>
                <w:t xml:space="preserve">Supplemental Indenture, dated as of </w:t>
              </w:r>
            </w:hyperlink>
            <w:hyperlink r:id="rId14">
              <w:r>
                <w:rPr>
                  <w:rStyle w:val="InternetLink"/>
                  <w:rFonts w:ascii="Times New Roman;sans-serif" w:hAnsi="Times New Roman;sans-serif"/>
                  <w:b w:val="false"/>
                  <w:color w:val="000080"/>
                  <w:sz w:val="20"/>
                  <w:u w:val="single"/>
                </w:rPr>
                <w:t>April 3, 2024</w:t>
              </w:r>
            </w:hyperlink>
            <w:hyperlink r:id="rId15">
              <w:r>
                <w:rPr>
                  <w:rStyle w:val="InternetLink"/>
                  <w:rFonts w:ascii="Times New Roman;sans-serif" w:hAnsi="Times New Roman;sans-serif"/>
                  <w:b w:val="false"/>
                  <w:color w:val="000080"/>
                  <w:sz w:val="20"/>
                  <w:u w:val="single"/>
                </w:rPr>
                <w:t>, between Analog Devices, Inc. and The Bank of New York Mellon Trust Company, N.A., as trustee</w:t>
              </w:r>
            </w:hyperlink>
            <w:r>
              <w:rPr>
                <w:color w:val="000000"/>
              </w:rPr>
              <w:t xml:space="preserve"> </w:t>
            </w:r>
            <w:r>
              <w:rPr>
                <w:rFonts w:ascii="Times New Roman;sans-serif" w:hAnsi="Times New Roman;sans-serif"/>
                <w:b w:val="false"/>
                <w:color w:val="000000"/>
                <w:sz w:val="20"/>
              </w:rPr>
              <w:t xml:space="preserve">(including the form of note contained therein), filed as exhibit 4.2 to the Company’s Current Report on Form 8-K as filed with the Commission on April 3, 2024 and incorporated herein by reference.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Description of the Registrant</w:t>
              </w:r>
            </w:hyperlink>
            <w:hyperlink r:id="rId17">
              <w:r>
                <w:rPr>
                  <w:rStyle w:val="InternetLink"/>
                  <w:rFonts w:ascii="Times New Roman;sans-serif" w:hAnsi="Times New Roman;sans-serif"/>
                  <w:b w:val="false"/>
                  <w:color w:val="000080"/>
                  <w:sz w:val="20"/>
                  <w:u w:val="single"/>
                </w:rPr>
                <w:t>’</w:t>
              </w:r>
            </w:hyperlink>
            <w:hyperlink r:id="rId18">
              <w:r>
                <w:rPr>
                  <w:rStyle w:val="InternetLink"/>
                  <w:rFonts w:ascii="Times New Roman;sans-serif" w:hAnsi="Times New Roman;sans-serif"/>
                  <w:b w:val="false"/>
                  <w:color w:val="000080"/>
                  <w:sz w:val="20"/>
                  <w:u w:val="single"/>
                </w:rPr>
                <w:t>s Securities</w:t>
              </w:r>
            </w:hyperlink>
            <w:r>
              <w:rPr>
                <w:rFonts w:ascii="Times New Roman;sans-serif" w:hAnsi="Times New Roman;sans-serif"/>
                <w:b w:val="false"/>
                <w:color w:val="000000"/>
                <w:sz w:val="20"/>
              </w:rPr>
              <w:t>, filed as exhibit 4.6 to the Company’s Annual Report on Form 10-K for the fiscal year ended November 2, 2019 as filed with the Commission on November 26, 2019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Analog Devices, Inc. Amended and Restated Deferred Compensation Plan</w:t>
              </w:r>
            </w:hyperlink>
            <w:r>
              <w:rPr>
                <w:rFonts w:ascii="Times New Roman;sans-serif" w:hAnsi="Times New Roman;sans-serif"/>
                <w:b w:val="false"/>
                <w:color w:val="000000"/>
                <w:sz w:val="20"/>
              </w:rPr>
              <w:t>, filed as exhibit 10.7 to the Company’s Annual Report on Form 10-K for the fiscal year ended October 28, 2023 as filed with the Commission on November 21,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Trust Agreement for Deferred Compensation Plan dated as of October 1, 2003 between Analog Devices, Inc. and Fidelity Management Trust Company</w:t>
              </w:r>
            </w:hyperlink>
            <w:r>
              <w:rPr>
                <w:rFonts w:ascii="Times New Roman;sans-serif" w:hAnsi="Times New Roman;sans-serif"/>
                <w:b w:val="false"/>
                <w:color w:val="000000"/>
                <w:sz w:val="20"/>
              </w:rPr>
              <w:t>, filed as exhibit 10.28 to the Company’s Annual Report on Form 10-K for the fiscal year ended November 1, 2003 as filed with the Commission on December 23, 2003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First Amendment to Trust Agreement for Deferred Compensation Plan between Analog Devices, Inc. and Fidelity Management Trust Company dated as of January 1, 2005</w:t>
              </w:r>
            </w:hyperlink>
            <w:r>
              <w:rPr>
                <w:rFonts w:ascii="Times New Roman;sans-serif" w:hAnsi="Times New Roman;sans-serif"/>
                <w:b w:val="false"/>
                <w:color w:val="000000"/>
                <w:sz w:val="20"/>
              </w:rPr>
              <w:t>, filed as exhibit 10.3 to the Company’s Annual Report on Form 10-K for the fiscal year ended October 28, 2006 as filed with the Commission on November 20, 2006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Second Amendment to Trust Agreement for Deferred Compensation Plan between Analog Devices, Inc. and Fidelity Management Trust Company dated as of December 10, 2007</w:t>
              </w:r>
            </w:hyperlink>
            <w:r>
              <w:rPr>
                <w:rFonts w:ascii="Times New Roman;sans-serif" w:hAnsi="Times New Roman;sans-serif"/>
                <w:b w:val="false"/>
                <w:color w:val="000000"/>
                <w:sz w:val="20"/>
              </w:rPr>
              <w:t>, filed as exhibit 10.41 to the Company’s Annual Report on Form 10-K for the fiscal year ended November 1, 2008 as filed with the Commission on November 25, 2008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Amended and Restated 2006 Stock Incentive Plan of Analog Devices, Inc.</w:t>
              </w:r>
            </w:hyperlink>
            <w:r>
              <w:rPr>
                <w:rFonts w:ascii="Times New Roman;sans-serif" w:hAnsi="Times New Roman;sans-serif"/>
                <w:b w:val="false"/>
                <w:color w:val="000000"/>
                <w:sz w:val="20"/>
              </w:rPr>
              <w:t>, filed as exhibit 10.1 to the Company’s Quarterly Report on Form 10-Q for the fiscal quarter ended February 1, 2014 as filed with the Commission on February 18, 2014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80"/>
                  <w:sz w:val="20"/>
                  <w:u w:val="single"/>
                </w:rPr>
                <w:t>Form of Global Non-Qualified Stock Option Agreement for Employees for usage under the Company</w:t>
              </w:r>
            </w:hyperlink>
            <w:hyperlink r:id="rId25">
              <w:r>
                <w:rPr>
                  <w:rStyle w:val="InternetLink"/>
                  <w:rFonts w:ascii="Times New Roman;sans-serif" w:hAnsi="Times New Roman;sans-serif"/>
                  <w:b w:val="false"/>
                  <w:color w:val="000080"/>
                  <w:sz w:val="20"/>
                  <w:u w:val="single"/>
                </w:rPr>
                <w:t>’</w:t>
              </w:r>
            </w:hyperlink>
            <w:hyperlink r:id="rId26">
              <w:r>
                <w:rPr>
                  <w:rStyle w:val="InternetLink"/>
                  <w:rFonts w:ascii="Times New Roman;sans-serif" w:hAnsi="Times New Roman;sans-serif"/>
                  <w:b w:val="false"/>
                  <w:color w:val="000080"/>
                  <w:sz w:val="20"/>
                  <w:u w:val="single"/>
                </w:rPr>
                <w:t>s Amended and Restated 2006 Stock Incentive Plan</w:t>
              </w:r>
            </w:hyperlink>
            <w:r>
              <w:rPr>
                <w:rFonts w:ascii="Times New Roman;sans-serif" w:hAnsi="Times New Roman;sans-serif"/>
                <w:b w:val="false"/>
                <w:color w:val="000000"/>
                <w:sz w:val="20"/>
              </w:rPr>
              <w:t>, filed as exhibit 10.1 to the Company’s Quarterly Report on Form 10-Q for the fiscal quarter ended February 2, 2019 as filed with the Commission on February 20, 2019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Form of Non-Qualified Stock Option Agreement for Directors for usage under the Company</w:t>
              </w:r>
            </w:hyperlink>
            <w:hyperlink r:id="rId28">
              <w:r>
                <w:rPr>
                  <w:rStyle w:val="InternetLink"/>
                  <w:rFonts w:ascii="Times New Roman;sans-serif" w:hAnsi="Times New Roman;sans-serif"/>
                  <w:b w:val="false"/>
                  <w:color w:val="000080"/>
                  <w:sz w:val="20"/>
                  <w:u w:val="single"/>
                </w:rPr>
                <w:t>’</w:t>
              </w:r>
            </w:hyperlink>
            <w:hyperlink r:id="rId29">
              <w:r>
                <w:rPr>
                  <w:rStyle w:val="InternetLink"/>
                  <w:rFonts w:ascii="Times New Roman;sans-serif" w:hAnsi="Times New Roman;sans-serif"/>
                  <w:b w:val="false"/>
                  <w:color w:val="000080"/>
                  <w:sz w:val="20"/>
                  <w:u w:val="single"/>
                </w:rPr>
                <w:t>s Amended and Restated 2006 Stock Incentive Plan</w:t>
              </w:r>
            </w:hyperlink>
            <w:r>
              <w:rPr>
                <w:rFonts w:ascii="Times New Roman;sans-serif" w:hAnsi="Times New Roman;sans-serif"/>
                <w:b w:val="false"/>
                <w:color w:val="000000"/>
                <w:sz w:val="20"/>
              </w:rPr>
              <w:t>, filed as exhibit 10.4 to the Company’s Quarterly Report on Form 10-Q for the fiscal quarter ended January 28, 2017 as filed with the Commission on February 15, 2017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Analog Devices, Inc. 2020 Equity Incentive Plan</w:t>
              </w:r>
            </w:hyperlink>
            <w:r>
              <w:rPr>
                <w:rFonts w:ascii="Times New Roman;sans-serif" w:hAnsi="Times New Roman;sans-serif"/>
                <w:b w:val="false"/>
                <w:color w:val="000000"/>
                <w:sz w:val="20"/>
              </w:rPr>
              <w:t>, filed as Appendix B to the Company’s Definitive Proxy Statement on Schedule 14A, as filed with the Commission on January 24, 2020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80"/>
                  <w:sz w:val="20"/>
                  <w:u w:val="single"/>
                </w:rPr>
                <w:t>Form of Global Non-Qualified Stock Option Agreement for Employees for usage under the Company</w:t>
              </w:r>
            </w:hyperlink>
            <w:hyperlink r:id="rId32">
              <w:r>
                <w:rPr>
                  <w:rStyle w:val="InternetLink"/>
                  <w:rFonts w:ascii="Times New Roman;sans-serif" w:hAnsi="Times New Roman;sans-serif"/>
                  <w:b w:val="false"/>
                  <w:color w:val="000080"/>
                  <w:sz w:val="20"/>
                  <w:u w:val="single"/>
                </w:rPr>
                <w:t>’</w:t>
              </w:r>
            </w:hyperlink>
            <w:hyperlink r:id="rId33">
              <w:r>
                <w:rPr>
                  <w:rStyle w:val="InternetLink"/>
                  <w:rFonts w:ascii="Times New Roman;sans-serif" w:hAnsi="Times New Roman;sans-serif"/>
                  <w:b w:val="false"/>
                  <w:color w:val="000080"/>
                  <w:sz w:val="20"/>
                  <w:u w:val="single"/>
                </w:rPr>
                <w:t>s 2020 Equity Incentive Plan</w:t>
              </w:r>
            </w:hyperlink>
            <w:r>
              <w:rPr>
                <w:rFonts w:ascii="Times New Roman;sans-serif" w:hAnsi="Times New Roman;sans-serif"/>
                <w:b w:val="false"/>
                <w:color w:val="000000"/>
                <w:sz w:val="20"/>
              </w:rPr>
              <w:t>, filed as exhibit 10.2 to the Company’s Quarterly Report on Form 10-Q for the fiscal quarter ended February 1, 2020 as filed with the Commission on February 19, 2020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Non-Qualified Performance Stock Option Agreement – CEO Performance Stock Option Award</w:t>
              </w:r>
            </w:hyperlink>
            <w:r>
              <w:rPr>
                <w:rFonts w:ascii="Times New Roman;sans-serif" w:hAnsi="Times New Roman;sans-serif"/>
                <w:b w:val="false"/>
                <w:color w:val="000000"/>
                <w:sz w:val="20"/>
              </w:rPr>
              <w:t>, filed as Exhibit 10.1 to the Company’s Current Report on Form 8-K as filed with the Commission on December 17, 2020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Global Non-Qualified Stock Option Agreement for Employees for usage under the Company’s 2020 Equity Incentive Plan adopted December 8, 2020</w:t>
              </w:r>
            </w:hyperlink>
            <w:r>
              <w:rPr>
                <w:rFonts w:ascii="Times New Roman;sans-serif" w:hAnsi="Times New Roman;sans-serif"/>
                <w:b w:val="false"/>
                <w:color w:val="000000"/>
                <w:sz w:val="20"/>
              </w:rPr>
              <w:t>, filed as exhibit 10.4 to the Company’s Quarterly Report on Form 10-Q for the fiscal quarter ended January 30, 2021 as filed with the Commission on February 17, 2021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Global Restricted Stock Unit Agreement for Employees for usage under the Company’s 2020 Equity Incentive Plan adopted December 8, 2020</w:t>
              </w:r>
            </w:hyperlink>
            <w:r>
              <w:rPr>
                <w:rFonts w:ascii="Times New Roman;sans-serif" w:hAnsi="Times New Roman;sans-serif"/>
                <w:b w:val="false"/>
                <w:color w:val="000000"/>
                <w:sz w:val="20"/>
              </w:rPr>
              <w:t>, filed as exhibit 10.5 to the Company’s Quarterly Report on Form 10-Q for the fiscal quarter ended January 30, 2021 as filed with the Commission on February 17, 2021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27"/>
        <w:gridCol w:w="230"/>
        <w:gridCol w:w="109"/>
        <w:gridCol w:w="109"/>
        <w:gridCol w:w="109"/>
        <w:gridCol w:w="2976"/>
        <w:gridCol w:w="2873"/>
        <w:gridCol w:w="2903"/>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Financial Metric Performance Restricted Stock Unit Agreement for China Employees for usage under the 2020 Equity Stock Incentive Plan adopted December 8, 2020</w:t>
              </w:r>
            </w:hyperlink>
            <w:r>
              <w:rPr>
                <w:rFonts w:ascii="Times New Roman;sans-serif" w:hAnsi="Times New Roman;sans-serif"/>
                <w:b w:val="false"/>
                <w:color w:val="000000"/>
                <w:sz w:val="20"/>
              </w:rPr>
              <w:t>, filed as exhibit 10.8 to the Company’s Quarterly Report on Form 10-Q for the fiscal quarter ended January 30, 2021 as filed with the Commission on February 17, 2021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Form of Global Restricted Stock Unit Agreement for Employees for usage under the Company’s 2020 Equity Incentive Plan adopted December 7, 2021</w:t>
              </w:r>
            </w:hyperlink>
            <w:r>
              <w:rPr>
                <w:rFonts w:ascii="Times New Roman;sans-serif" w:hAnsi="Times New Roman;sans-serif"/>
                <w:b w:val="false"/>
                <w:color w:val="000000"/>
                <w:sz w:val="20"/>
              </w:rPr>
              <w:t>, filed as exhibit 10.2 to the Company’s Quarterly Report on Form 10-Q for the fiscal quarter ended January 29, 2022 as filed with the Commission on February 16, 2022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40">
              <w:r>
                <w:rPr>
                  <w:rStyle w:val="InternetLink"/>
                  <w:rFonts w:ascii="Times New Roman;sans-serif" w:hAnsi="Times New Roman;sans-serif"/>
                  <w:b w:val="false"/>
                  <w:color w:val="000080"/>
                  <w:sz w:val="20"/>
                  <w:u w:val="single"/>
                </w:rPr>
                <w:t>’</w:t>
              </w:r>
            </w:hyperlink>
            <w:hyperlink r:id="rId41">
              <w:r>
                <w:rPr>
                  <w:rStyle w:val="InternetLink"/>
                  <w:rFonts w:ascii="Times New Roman;sans-serif" w:hAnsi="Times New Roman;sans-serif"/>
                  <w:b w:val="false"/>
                  <w:color w:val="000080"/>
                  <w:sz w:val="20"/>
                  <w:u w:val="single"/>
                </w:rPr>
                <w:t>s 2020 Equity Incentive Plan adopted December 7, 2021</w:t>
              </w:r>
            </w:hyperlink>
            <w:r>
              <w:rPr>
                <w:rFonts w:ascii="Times New Roman;sans-serif" w:hAnsi="Times New Roman;sans-serif"/>
                <w:b w:val="false"/>
                <w:color w:val="000000"/>
                <w:sz w:val="20"/>
              </w:rPr>
              <w:t>, filed as exhibit 10.4 to the Company’s Quarterly Report on Form 10-Q for the fiscal quarter ended January 29, 2022 as filed with the Commission on February 16, 2022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Financial Metric Performance Restricted Stock Unit Agreement for Employees for usage under the Company's 2020 Equity Incentive Plan adopted December 7, 2021</w:t>
              </w:r>
            </w:hyperlink>
            <w:r>
              <w:rPr>
                <w:rFonts w:ascii="Times New Roman;sans-serif" w:hAnsi="Times New Roman;sans-serif"/>
                <w:b w:val="false"/>
                <w:color w:val="000000"/>
                <w:sz w:val="20"/>
              </w:rPr>
              <w:t>, filed as exhibit 10.5 to the Company’s Quarterly Report on Form 10-Q for the fiscal quarter ended January 29, 2022 as filed with the Commission on February 16, 2022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Form of EVP Global Restricted Stock Unit Agreement for Employees for usage under the Company’s 2020 Equity Incentive Plan adopted March 7, 2022</w:t>
              </w:r>
            </w:hyperlink>
            <w:r>
              <w:rPr>
                <w:rFonts w:ascii="Times New Roman;sans-serif" w:hAnsi="Times New Roman;sans-serif"/>
                <w:b w:val="false"/>
                <w:color w:val="000000"/>
                <w:sz w:val="20"/>
              </w:rPr>
              <w:t>, filed as exhibit 10.1 to the Company’s Quarterly Report on Form 10-Q for the fiscal quarter ended April 30, 2022 as filed with the Commission on May 18,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80"/>
                  <w:sz w:val="20"/>
                  <w:u w:val="single"/>
                </w:rPr>
                <w:t>Form of EVP Performance Restricted Stock Unit Agreement for Employees for usage under the Company</w:t>
              </w:r>
            </w:hyperlink>
            <w:hyperlink r:id="rId45">
              <w:r>
                <w:rPr>
                  <w:rStyle w:val="InternetLink"/>
                  <w:rFonts w:ascii="Times New Roman;sans-serif" w:hAnsi="Times New Roman;sans-serif"/>
                  <w:b w:val="false"/>
                  <w:color w:val="000080"/>
                  <w:sz w:val="20"/>
                  <w:u w:val="single"/>
                </w:rPr>
                <w:t>’</w:t>
              </w:r>
            </w:hyperlink>
            <w:hyperlink r:id="rId46">
              <w:r>
                <w:rPr>
                  <w:rStyle w:val="InternetLink"/>
                  <w:rFonts w:ascii="Times New Roman;sans-serif" w:hAnsi="Times New Roman;sans-serif"/>
                  <w:b w:val="false"/>
                  <w:color w:val="000080"/>
                  <w:sz w:val="20"/>
                  <w:u w:val="single"/>
                </w:rPr>
                <w:t>s 2020 Equity Incentive Plan adopted March 7, 2022</w:t>
              </w:r>
            </w:hyperlink>
            <w:r>
              <w:rPr>
                <w:rFonts w:ascii="Times New Roman;sans-serif" w:hAnsi="Times New Roman;sans-serif"/>
                <w:b w:val="false"/>
                <w:color w:val="000000"/>
                <w:sz w:val="20"/>
              </w:rPr>
              <w:t>, filed as exhibit 10.2 to the Company’s Quarterly Report on Form 10-Q for the fiscal quarter ended April 30, 2022 as filed with the Commission on May 18,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48">
              <w:r>
                <w:rPr>
                  <w:rStyle w:val="InternetLink"/>
                  <w:rFonts w:ascii="Times New Roman;sans-serif" w:hAnsi="Times New Roman;sans-serif"/>
                  <w:b w:val="false"/>
                  <w:color w:val="000080"/>
                  <w:sz w:val="20"/>
                  <w:u w:val="single"/>
                </w:rPr>
                <w:t>’</w:t>
              </w:r>
            </w:hyperlink>
            <w:hyperlink r:id="rId49">
              <w:r>
                <w:rPr>
                  <w:rStyle w:val="InternetLink"/>
                  <w:rFonts w:ascii="Times New Roman;sans-serif" w:hAnsi="Times New Roman;sans-serif"/>
                  <w:b w:val="false"/>
                  <w:color w:val="000080"/>
                  <w:sz w:val="20"/>
                  <w:u w:val="single"/>
                </w:rPr>
                <w:t>s 2020 Equity Incentive Plan adopted April 4, 2022</w:t>
              </w:r>
            </w:hyperlink>
            <w:r>
              <w:rPr>
                <w:rFonts w:ascii="Times New Roman;sans-serif" w:hAnsi="Times New Roman;sans-serif"/>
                <w:b w:val="false"/>
                <w:color w:val="000000"/>
                <w:sz w:val="20"/>
              </w:rPr>
              <w:t>, filed as exhibit 10.3 to the Company’s Quarterly Report on Form 10-Q for the fiscal quarter ended April 30, 2022 as filed with the Commission on May 18, 2022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80"/>
                  <w:sz w:val="20"/>
                  <w:u w:val="single"/>
                </w:rPr>
                <w:t>Form of Executive Relative Total Shareholder Return Performance Restricted Stock Unit Agreement for Employees for usage under the Company</w:t>
              </w:r>
            </w:hyperlink>
            <w:hyperlink r:id="rId51">
              <w:r>
                <w:rPr>
                  <w:rStyle w:val="InternetLink"/>
                  <w:rFonts w:ascii="Times New Roman;sans-serif" w:hAnsi="Times New Roman;sans-serif"/>
                  <w:b w:val="false"/>
                  <w:color w:val="000080"/>
                  <w:sz w:val="20"/>
                  <w:u w:val="single"/>
                </w:rPr>
                <w:t>’</w:t>
              </w:r>
            </w:hyperlink>
            <w:hyperlink r:id="rId52">
              <w:r>
                <w:rPr>
                  <w:rStyle w:val="InternetLink"/>
                  <w:rFonts w:ascii="Times New Roman;sans-serif" w:hAnsi="Times New Roman;sans-serif"/>
                  <w:b w:val="false"/>
                  <w:color w:val="000080"/>
                  <w:sz w:val="20"/>
                  <w:u w:val="single"/>
                </w:rPr>
                <w:t>s 2020 Equity Incentive Plan adopted June 6, 2022</w:t>
              </w:r>
            </w:hyperlink>
            <w:r>
              <w:rPr>
                <w:rFonts w:ascii="Times New Roman;sans-serif" w:hAnsi="Times New Roman;sans-serif"/>
                <w:b w:val="false"/>
                <w:color w:val="000000"/>
                <w:sz w:val="20"/>
              </w:rPr>
              <w:t>, filed as exhibit 10.1 to the Company’s Quarterly Report on Form 10-Q for the fiscal quarter ended July 30, 2022 as filed with the Commission on August 17,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80"/>
                  <w:sz w:val="20"/>
                  <w:u w:val="single"/>
                </w:rPr>
                <w:t>Form of Executive Financial Performance Restricted Stock Unit Agreement for Employees for usage under the Company</w:t>
              </w:r>
            </w:hyperlink>
            <w:hyperlink r:id="rId54">
              <w:r>
                <w:rPr>
                  <w:rStyle w:val="InternetLink"/>
                  <w:rFonts w:ascii="Times New Roman;sans-serif" w:hAnsi="Times New Roman;sans-serif"/>
                  <w:b w:val="false"/>
                  <w:color w:val="000080"/>
                  <w:sz w:val="20"/>
                  <w:u w:val="single"/>
                </w:rPr>
                <w:t>’</w:t>
              </w:r>
            </w:hyperlink>
            <w:hyperlink r:id="rId55">
              <w:r>
                <w:rPr>
                  <w:rStyle w:val="InternetLink"/>
                  <w:rFonts w:ascii="Times New Roman;sans-serif" w:hAnsi="Times New Roman;sans-serif"/>
                  <w:b w:val="false"/>
                  <w:color w:val="000080"/>
                  <w:sz w:val="20"/>
                  <w:u w:val="single"/>
                </w:rPr>
                <w:t>s 2020 Equity Incentive Plan adopted June 6, 2022</w:t>
              </w:r>
            </w:hyperlink>
            <w:r>
              <w:rPr>
                <w:rFonts w:ascii="Times New Roman;sans-serif" w:hAnsi="Times New Roman;sans-serif"/>
                <w:b w:val="false"/>
                <w:color w:val="000000"/>
                <w:sz w:val="20"/>
              </w:rPr>
              <w:t>, filed as exhibit 10.2 to the Company’s Quarterly Report on Form 10-Q for the fiscal quarter ended July 30, 2022 as filed with the Commission on August 17,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80"/>
                  <w:sz w:val="20"/>
                  <w:u w:val="single"/>
                </w:rPr>
                <w:t>Form of Global Non-Qualified Stock Option Agreement for Employees for usage under the Company</w:t>
              </w:r>
            </w:hyperlink>
            <w:hyperlink r:id="rId57">
              <w:r>
                <w:rPr>
                  <w:rStyle w:val="InternetLink"/>
                  <w:rFonts w:ascii="Times New Roman;sans-serif" w:hAnsi="Times New Roman;sans-serif"/>
                  <w:b w:val="false"/>
                  <w:color w:val="000080"/>
                  <w:sz w:val="20"/>
                  <w:u w:val="single"/>
                </w:rPr>
                <w:t>’</w:t>
              </w:r>
            </w:hyperlink>
            <w:hyperlink r:id="rId58">
              <w:r>
                <w:rPr>
                  <w:rStyle w:val="InternetLink"/>
                  <w:rFonts w:ascii="Times New Roman;sans-serif" w:hAnsi="Times New Roman;sans-serif"/>
                  <w:b w:val="false"/>
                  <w:color w:val="000080"/>
                  <w:sz w:val="20"/>
                  <w:u w:val="single"/>
                </w:rPr>
                <w:t>s 2020 Equity Incentive Plan adopted December 5, 2022</w:t>
              </w:r>
            </w:hyperlink>
            <w:r>
              <w:rPr>
                <w:rFonts w:ascii="Times New Roman;sans-serif" w:hAnsi="Times New Roman;sans-serif"/>
                <w:b w:val="false"/>
                <w:color w:val="000000"/>
                <w:sz w:val="20"/>
              </w:rPr>
              <w:t>, filed as exhibit 10.4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80"/>
                  <w:sz w:val="20"/>
                  <w:u w:val="single"/>
                </w:rPr>
                <w:t>Form of Global Restricted Stock Unit Agreement for Employees for usage under the Company</w:t>
              </w:r>
            </w:hyperlink>
            <w:hyperlink r:id="rId60">
              <w:r>
                <w:rPr>
                  <w:rStyle w:val="InternetLink"/>
                  <w:rFonts w:ascii="Times New Roman;sans-serif" w:hAnsi="Times New Roman;sans-serif"/>
                  <w:b w:val="false"/>
                  <w:color w:val="000080"/>
                  <w:sz w:val="20"/>
                  <w:u w:val="single"/>
                </w:rPr>
                <w:t>’</w:t>
              </w:r>
            </w:hyperlink>
            <w:hyperlink r:id="rId61">
              <w:r>
                <w:rPr>
                  <w:rStyle w:val="InternetLink"/>
                  <w:rFonts w:ascii="Times New Roman;sans-serif" w:hAnsi="Times New Roman;sans-serif"/>
                  <w:b w:val="false"/>
                  <w:color w:val="000080"/>
                  <w:sz w:val="20"/>
                  <w:u w:val="single"/>
                </w:rPr>
                <w:t>s 2020 Equity Incentive Plan adopted December 5, 2022</w:t>
              </w:r>
            </w:hyperlink>
            <w:r>
              <w:rPr>
                <w:rFonts w:ascii="Times New Roman;sans-serif" w:hAnsi="Times New Roman;sans-serif"/>
                <w:b w:val="false"/>
                <w:color w:val="000000"/>
                <w:sz w:val="20"/>
              </w:rPr>
              <w:t>, filed as exhibit 10.5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80"/>
                  <w:sz w:val="20"/>
                  <w:u w:val="single"/>
                </w:rPr>
                <w:t>Form of Financial Metric Performance Restricted Stock Unit Agreement for Employees for usage under the Company</w:t>
              </w:r>
            </w:hyperlink>
            <w:hyperlink r:id="rId63">
              <w:r>
                <w:rPr>
                  <w:rStyle w:val="InternetLink"/>
                  <w:rFonts w:ascii="Times New Roman;sans-serif" w:hAnsi="Times New Roman;sans-serif"/>
                  <w:b w:val="false"/>
                  <w:color w:val="000080"/>
                  <w:sz w:val="20"/>
                  <w:u w:val="single"/>
                </w:rPr>
                <w:t>’</w:t>
              </w:r>
            </w:hyperlink>
            <w:hyperlink r:id="rId64">
              <w:r>
                <w:rPr>
                  <w:rStyle w:val="InternetLink"/>
                  <w:rFonts w:ascii="Times New Roman;sans-serif" w:hAnsi="Times New Roman;sans-serif"/>
                  <w:b w:val="false"/>
                  <w:color w:val="000080"/>
                  <w:sz w:val="20"/>
                  <w:u w:val="single"/>
                </w:rPr>
                <w:t>s 2020 Equity Incentive Plan adopted December 5, 2022</w:t>
              </w:r>
            </w:hyperlink>
            <w:r>
              <w:rPr>
                <w:rFonts w:ascii="Times New Roman;sans-serif" w:hAnsi="Times New Roman;sans-serif"/>
                <w:b w:val="false"/>
                <w:color w:val="000000"/>
                <w:sz w:val="20"/>
              </w:rPr>
              <w:t>, filed as exhibit 10.7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66">
              <w:r>
                <w:rPr>
                  <w:rStyle w:val="InternetLink"/>
                  <w:rFonts w:ascii="Times New Roman;sans-serif" w:hAnsi="Times New Roman;sans-serif"/>
                  <w:b w:val="false"/>
                  <w:color w:val="000080"/>
                  <w:sz w:val="20"/>
                  <w:u w:val="single"/>
                </w:rPr>
                <w:t>’</w:t>
              </w:r>
            </w:hyperlink>
            <w:hyperlink r:id="rId67">
              <w:r>
                <w:rPr>
                  <w:rStyle w:val="InternetLink"/>
                  <w:rFonts w:ascii="Times New Roman;sans-serif" w:hAnsi="Times New Roman;sans-serif"/>
                  <w:b w:val="false"/>
                  <w:color w:val="000080"/>
                  <w:sz w:val="20"/>
                  <w:u w:val="single"/>
                </w:rPr>
                <w:t>s 2020 Equity Incentive Plan adopted December 5, 2022</w:t>
              </w:r>
            </w:hyperlink>
            <w:r>
              <w:rPr>
                <w:rFonts w:ascii="Times New Roman;sans-serif" w:hAnsi="Times New Roman;sans-serif"/>
                <w:b w:val="false"/>
                <w:color w:val="000000"/>
                <w:sz w:val="20"/>
              </w:rPr>
              <w:t>, filed as exhibit 10.8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69">
              <w:r>
                <w:rPr>
                  <w:rStyle w:val="InternetLink"/>
                  <w:rFonts w:ascii="Times New Roman;sans-serif" w:hAnsi="Times New Roman;sans-serif"/>
                  <w:b w:val="false"/>
                  <w:color w:val="000080"/>
                  <w:sz w:val="20"/>
                  <w:u w:val="single"/>
                </w:rPr>
                <w:t>’</w:t>
              </w:r>
            </w:hyperlink>
            <w:hyperlink r:id="rId70">
              <w:r>
                <w:rPr>
                  <w:rStyle w:val="InternetLink"/>
                  <w:rFonts w:ascii="Times New Roman;sans-serif" w:hAnsi="Times New Roman;sans-serif"/>
                  <w:b w:val="false"/>
                  <w:color w:val="000080"/>
                  <w:sz w:val="20"/>
                  <w:u w:val="single"/>
                </w:rPr>
                <w:t>s 2020 Equity Incentive Plan adopted April 3, 2023</w:t>
              </w:r>
            </w:hyperlink>
            <w:r>
              <w:rPr>
                <w:rFonts w:ascii="Times New Roman;sans-serif" w:hAnsi="Times New Roman;sans-serif"/>
                <w:b w:val="false"/>
                <w:color w:val="000000"/>
                <w:sz w:val="20"/>
              </w:rPr>
              <w:t>, filed as exhibit 10.1 to the Company’s Quarterly Report on Form 10-Q for the fiscal quarter ended April 29, 2023 as filed with the Commission on May 24,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RSU Equity Award Conversion Agreement</w:t>
              </w:r>
            </w:hyperlink>
            <w:r>
              <w:rPr>
                <w:rFonts w:ascii="Times New Roman;sans-serif" w:hAnsi="Times New Roman;sans-serif"/>
                <w:b w:val="false"/>
                <w:color w:val="000000"/>
                <w:sz w:val="20"/>
              </w:rPr>
              <w:t>, filed as exhibit 10.9 to the Company’s Quarterly Report on Form 10-Q for the fiscal quarter ended January 28, 2023 as filed with the Commission on February 15,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27"/>
        <w:gridCol w:w="229"/>
        <w:gridCol w:w="109"/>
        <w:gridCol w:w="109"/>
        <w:gridCol w:w="109"/>
        <w:gridCol w:w="2909"/>
        <w:gridCol w:w="2909"/>
        <w:gridCol w:w="2935"/>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80"/>
                  <w:sz w:val="20"/>
                  <w:u w:val="single"/>
                </w:rPr>
                <w:t>Form of Restricted Stock Unit Agreement for Non-Employee Directors for usage under the Company</w:t>
              </w:r>
            </w:hyperlink>
            <w:hyperlink r:id="rId73">
              <w:r>
                <w:rPr>
                  <w:rStyle w:val="InternetLink"/>
                  <w:rFonts w:ascii="Times New Roman;sans-serif" w:hAnsi="Times New Roman;sans-serif"/>
                  <w:b w:val="false"/>
                  <w:color w:val="000080"/>
                  <w:sz w:val="20"/>
                  <w:u w:val="single"/>
                </w:rPr>
                <w:t>’</w:t>
              </w:r>
            </w:hyperlink>
            <w:hyperlink r:id="rId74">
              <w:r>
                <w:rPr>
                  <w:rStyle w:val="InternetLink"/>
                  <w:rFonts w:ascii="Times New Roman;sans-serif" w:hAnsi="Times New Roman;sans-serif"/>
                  <w:b w:val="false"/>
                  <w:color w:val="000080"/>
                  <w:sz w:val="20"/>
                  <w:u w:val="single"/>
                </w:rPr>
                <w:t>s 2020 Equity Incentive Plan adopted December 11, 2023</w:t>
              </w:r>
            </w:hyperlink>
            <w:r>
              <w:rPr>
                <w:rFonts w:ascii="Times New Roman;sans-serif" w:hAnsi="Times New Roman;sans-serif"/>
                <w:b w:val="false"/>
                <w:color w:val="000000"/>
                <w:sz w:val="20"/>
              </w:rPr>
              <w:t>, filed as exhibit 10.5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80"/>
                  <w:sz w:val="20"/>
                  <w:u w:val="single"/>
                </w:rPr>
                <w:t>Form of Global Non-Qualified Stock Option Agreement for Employees for usage under the Company</w:t>
              </w:r>
            </w:hyperlink>
            <w:hyperlink r:id="rId76">
              <w:r>
                <w:rPr>
                  <w:rStyle w:val="InternetLink"/>
                  <w:rFonts w:ascii="Times New Roman;sans-serif" w:hAnsi="Times New Roman;sans-serif"/>
                  <w:b w:val="false"/>
                  <w:color w:val="000080"/>
                  <w:sz w:val="20"/>
                  <w:u w:val="single"/>
                </w:rPr>
                <w:t>’</w:t>
              </w:r>
            </w:hyperlink>
            <w:hyperlink r:id="rId77">
              <w:r>
                <w:rPr>
                  <w:rStyle w:val="InternetLink"/>
                  <w:rFonts w:ascii="Times New Roman;sans-serif" w:hAnsi="Times New Roman;sans-serif"/>
                  <w:b w:val="false"/>
                  <w:color w:val="000080"/>
                  <w:sz w:val="20"/>
                  <w:u w:val="single"/>
                </w:rPr>
                <w:t xml:space="preserve">s 2020 Equity Incentive Plan adopted December </w:t>
              </w:r>
            </w:hyperlink>
            <w:hyperlink r:id="rId78">
              <w:r>
                <w:rPr>
                  <w:rStyle w:val="InternetLink"/>
                  <w:rFonts w:ascii="Times New Roman;sans-serif" w:hAnsi="Times New Roman;sans-serif"/>
                  <w:b w:val="false"/>
                  <w:color w:val="000080"/>
                  <w:sz w:val="20"/>
                  <w:u w:val="single"/>
                </w:rPr>
                <w:t>11</w:t>
              </w:r>
            </w:hyperlink>
            <w:hyperlink r:id="rId79">
              <w:r>
                <w:rPr>
                  <w:rStyle w:val="InternetLink"/>
                  <w:rFonts w:ascii="Times New Roman;sans-serif" w:hAnsi="Times New Roman;sans-serif"/>
                  <w:b w:val="false"/>
                  <w:color w:val="000080"/>
                  <w:sz w:val="20"/>
                  <w:u w:val="single"/>
                </w:rPr>
                <w:t>, 202</w:t>
              </w:r>
            </w:hyperlink>
            <w:hyperlink r:id="rId80">
              <w:r>
                <w:rPr>
                  <w:rStyle w:val="InternetLink"/>
                  <w:rFonts w:ascii="Times New Roman;sans-serif" w:hAnsi="Times New Roman;sans-serif"/>
                  <w:b w:val="false"/>
                  <w:color w:val="000080"/>
                  <w:sz w:val="20"/>
                  <w:u w:val="single"/>
                </w:rPr>
                <w:t>3</w:t>
              </w:r>
            </w:hyperlink>
            <w:r>
              <w:rPr>
                <w:rFonts w:ascii="Times New Roman;sans-serif" w:hAnsi="Times New Roman;sans-serif"/>
                <w:b w:val="false"/>
                <w:color w:val="000000"/>
                <w:sz w:val="20"/>
              </w:rPr>
              <w:t>, filed as exhibit 10.3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80"/>
                  <w:sz w:val="20"/>
                  <w:u w:val="single"/>
                </w:rPr>
                <w:t>Form of Global Restricted Stock Unit Agreement for Employees for usage under the Company</w:t>
              </w:r>
            </w:hyperlink>
            <w:hyperlink r:id="rId82">
              <w:r>
                <w:rPr>
                  <w:rStyle w:val="InternetLink"/>
                  <w:rFonts w:ascii="Times New Roman;sans-serif" w:hAnsi="Times New Roman;sans-serif"/>
                  <w:b w:val="false"/>
                  <w:color w:val="000080"/>
                  <w:sz w:val="20"/>
                  <w:u w:val="single"/>
                </w:rPr>
                <w:t>’</w:t>
              </w:r>
            </w:hyperlink>
            <w:hyperlink r:id="rId83">
              <w:r>
                <w:rPr>
                  <w:rStyle w:val="InternetLink"/>
                  <w:rFonts w:ascii="Times New Roman;sans-serif" w:hAnsi="Times New Roman;sans-serif"/>
                  <w:b w:val="false"/>
                  <w:color w:val="000080"/>
                  <w:sz w:val="20"/>
                  <w:u w:val="single"/>
                </w:rPr>
                <w:t>s 2020 Equity Incentive Plan adopted December 11, 2023</w:t>
              </w:r>
            </w:hyperlink>
            <w:r>
              <w:rPr>
                <w:rFonts w:ascii="Times New Roman;sans-serif" w:hAnsi="Times New Roman;sans-serif"/>
                <w:b w:val="false"/>
                <w:color w:val="000000"/>
                <w:sz w:val="20"/>
              </w:rPr>
              <w:t>, filed as exhibit 10.4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80"/>
                  <w:sz w:val="20"/>
                  <w:u w:val="single"/>
                </w:rPr>
                <w:t>Form of Financial Metric Performance Restricted Stock Unit Agreement for Employees for usage under the Company</w:t>
              </w:r>
            </w:hyperlink>
            <w:hyperlink r:id="rId85">
              <w:r>
                <w:rPr>
                  <w:rStyle w:val="InternetLink"/>
                  <w:rFonts w:ascii="Times New Roman;sans-serif" w:hAnsi="Times New Roman;sans-serif"/>
                  <w:b w:val="false"/>
                  <w:color w:val="000080"/>
                  <w:sz w:val="20"/>
                  <w:u w:val="single"/>
                </w:rPr>
                <w:t>’</w:t>
              </w:r>
            </w:hyperlink>
            <w:hyperlink r:id="rId86">
              <w:r>
                <w:rPr>
                  <w:rStyle w:val="InternetLink"/>
                  <w:rFonts w:ascii="Times New Roman;sans-serif" w:hAnsi="Times New Roman;sans-serif"/>
                  <w:b w:val="false"/>
                  <w:color w:val="000080"/>
                  <w:sz w:val="20"/>
                  <w:u w:val="single"/>
                </w:rPr>
                <w:t>s 2020 Equity Incentive Plan adopted December 11, 2023</w:t>
              </w:r>
            </w:hyperlink>
            <w:r>
              <w:rPr>
                <w:rFonts w:ascii="Times New Roman;sans-serif" w:hAnsi="Times New Roman;sans-serif"/>
                <w:b w:val="false"/>
                <w:color w:val="000000"/>
                <w:sz w:val="20"/>
              </w:rPr>
              <w:t>, filed as exhibit 10.6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88">
              <w:r>
                <w:rPr>
                  <w:rStyle w:val="InternetLink"/>
                  <w:rFonts w:ascii="Times New Roman;sans-serif" w:hAnsi="Times New Roman;sans-serif"/>
                  <w:b w:val="false"/>
                  <w:color w:val="000080"/>
                  <w:sz w:val="20"/>
                  <w:u w:val="single"/>
                </w:rPr>
                <w:t>’</w:t>
              </w:r>
            </w:hyperlink>
            <w:hyperlink r:id="rId89">
              <w:r>
                <w:rPr>
                  <w:rStyle w:val="InternetLink"/>
                  <w:rFonts w:ascii="Times New Roman;sans-serif" w:hAnsi="Times New Roman;sans-serif"/>
                  <w:b w:val="false"/>
                  <w:color w:val="000080"/>
                  <w:sz w:val="20"/>
                  <w:u w:val="single"/>
                </w:rPr>
                <w:t>s 2020 Equity Incentive Plan adopted December 11, 2023</w:t>
              </w:r>
            </w:hyperlink>
            <w:r>
              <w:rPr>
                <w:rFonts w:ascii="Times New Roman;sans-serif" w:hAnsi="Times New Roman;sans-serif"/>
                <w:b w:val="false"/>
                <w:color w:val="000000"/>
                <w:sz w:val="20"/>
              </w:rPr>
              <w:t>, filed as exhibit 10.7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80"/>
                  <w:sz w:val="20"/>
                  <w:u w:val="single"/>
                </w:rPr>
                <w:t>Form of Relative Total Shareholder Return Performance Restricted Stock Unit Agreement for Employees for usage under the Company</w:t>
              </w:r>
            </w:hyperlink>
            <w:hyperlink r:id="rId91">
              <w:r>
                <w:rPr>
                  <w:rStyle w:val="InternetLink"/>
                  <w:rFonts w:ascii="Times New Roman;sans-serif" w:hAnsi="Times New Roman;sans-serif"/>
                  <w:b w:val="false"/>
                  <w:color w:val="000080"/>
                  <w:sz w:val="20"/>
                  <w:u w:val="single"/>
                </w:rPr>
                <w:t>’</w:t>
              </w:r>
            </w:hyperlink>
            <w:hyperlink r:id="rId92">
              <w:r>
                <w:rPr>
                  <w:rStyle w:val="InternetLink"/>
                  <w:rFonts w:ascii="Times New Roman;sans-serif" w:hAnsi="Times New Roman;sans-serif"/>
                  <w:b w:val="false"/>
                  <w:color w:val="000080"/>
                  <w:sz w:val="20"/>
                  <w:u w:val="single"/>
                </w:rPr>
                <w:t>s 2020 Equity Incentive Plan adopted April 3, 2023</w:t>
              </w:r>
            </w:hyperlink>
            <w:r>
              <w:rPr>
                <w:rFonts w:ascii="Times New Roman;sans-serif" w:hAnsi="Times New Roman;sans-serif"/>
                <w:b w:val="false"/>
                <w:color w:val="000000"/>
                <w:sz w:val="20"/>
              </w:rPr>
              <w:t>, filed as exhibit 10.1 to the Company’s Quarterly Report on Form 10-Q for the fiscal quarter ended April 29, 2023 as filed with the Commission on May 24,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Amended and Restated 1996 Stock Incentive Plan</w:t>
              </w:r>
            </w:hyperlink>
            <w:r>
              <w:rPr>
                <w:rFonts w:ascii="Times New Roman;sans-serif" w:hAnsi="Times New Roman;sans-serif"/>
                <w:b w:val="false"/>
                <w:color w:val="000000"/>
                <w:sz w:val="20"/>
              </w:rPr>
              <w:t>, filed as exhibit 10.36 to the Company’s Annual Report on Form 10-K for the fiscal year ended October 30, 2021 as filed with the Commission on December 3, 2021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Form of Global Restricted Stock Unit Agreement for usage under the Amended and Restated 1996 Stock Incentive Plan</w:t>
              </w:r>
            </w:hyperlink>
            <w:r>
              <w:rPr>
                <w:rFonts w:ascii="Times New Roman;sans-serif" w:hAnsi="Times New Roman;sans-serif"/>
                <w:b w:val="false"/>
                <w:color w:val="000000"/>
                <w:sz w:val="20"/>
              </w:rPr>
              <w:t>, filed as exhibit 10.37 to the Company’s Annual Report on Form 10-K for the fiscal year ended October 30, 2021 as filed with the Commission on December 3, 2021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Form of Global Non-Qualified Stock Option Agreement for usage under the Amended and Restated 1996 Stock Incentive Plan</w:t>
              </w:r>
            </w:hyperlink>
            <w:r>
              <w:rPr>
                <w:rFonts w:ascii="Times New Roman;sans-serif" w:hAnsi="Times New Roman;sans-serif"/>
                <w:b w:val="false"/>
                <w:color w:val="000000"/>
                <w:sz w:val="20"/>
              </w:rPr>
              <w:t>, filed as exhibit 10.38 to the Company’s Annual Report on Form 10-K for the fiscal year ended October 30, 2021 as filed with the Commission on December 3, 2021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Form of Global Restricted Stock Unit Agreement for Employees for usage under the Company’s 1996 Stock Incentive Plan adopted December 7, 2021</w:t>
              </w:r>
            </w:hyperlink>
            <w:r>
              <w:rPr>
                <w:rFonts w:ascii="Times New Roman;sans-serif" w:hAnsi="Times New Roman;sans-serif"/>
                <w:b w:val="false"/>
                <w:color w:val="000000"/>
                <w:sz w:val="20"/>
              </w:rPr>
              <w:t>, filed as exhibit 10.3 to the Company’s Quarterly Report on Form 10-Q for the fiscal quarter ended January 29, 2022 as filed with the Commission on February 16, 2022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80"/>
                  <w:sz w:val="20"/>
                  <w:u w:val="single"/>
                </w:rPr>
                <w:t>Form of Global Non-Qualified Stock Option Agreement for usage under the Company</w:t>
              </w:r>
            </w:hyperlink>
            <w:hyperlink r:id="rId98">
              <w:r>
                <w:rPr>
                  <w:rStyle w:val="InternetLink"/>
                  <w:rFonts w:ascii="Times New Roman;sans-serif" w:hAnsi="Times New Roman;sans-serif"/>
                  <w:b w:val="false"/>
                  <w:color w:val="000080"/>
                  <w:sz w:val="20"/>
                  <w:u w:val="single"/>
                </w:rPr>
                <w:t>’</w:t>
              </w:r>
            </w:hyperlink>
            <w:hyperlink r:id="rId99">
              <w:r>
                <w:rPr>
                  <w:rStyle w:val="InternetLink"/>
                  <w:rFonts w:ascii="Times New Roman;sans-serif" w:hAnsi="Times New Roman;sans-serif"/>
                  <w:b w:val="false"/>
                  <w:color w:val="000080"/>
                  <w:sz w:val="20"/>
                  <w:u w:val="single"/>
                </w:rPr>
                <w:t>s Amended and Restated 1996 Stock Incentive Plan adopted December 5, 2022</w:t>
              </w:r>
            </w:hyperlink>
            <w:r>
              <w:rPr>
                <w:rFonts w:ascii="Times New Roman;sans-serif" w:hAnsi="Times New Roman;sans-serif"/>
                <w:b w:val="false"/>
                <w:color w:val="000000"/>
                <w:sz w:val="20"/>
              </w:rPr>
              <w:t>, filed as exhibit 10.2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80"/>
                  <w:sz w:val="20"/>
                  <w:u w:val="single"/>
                </w:rPr>
                <w:t>Form of Global Restricted Stock Unit Agreement for Employees for usage under the Company</w:t>
              </w:r>
            </w:hyperlink>
            <w:hyperlink r:id="rId101">
              <w:r>
                <w:rPr>
                  <w:rStyle w:val="InternetLink"/>
                  <w:rFonts w:ascii="Times New Roman;sans-serif" w:hAnsi="Times New Roman;sans-serif"/>
                  <w:b w:val="false"/>
                  <w:color w:val="000080"/>
                  <w:sz w:val="20"/>
                  <w:u w:val="single"/>
                </w:rPr>
                <w:t>’</w:t>
              </w:r>
            </w:hyperlink>
            <w:hyperlink r:id="rId102">
              <w:r>
                <w:rPr>
                  <w:rStyle w:val="InternetLink"/>
                  <w:rFonts w:ascii="Times New Roman;sans-serif" w:hAnsi="Times New Roman;sans-serif"/>
                  <w:b w:val="false"/>
                  <w:color w:val="000080"/>
                  <w:sz w:val="20"/>
                  <w:u w:val="single"/>
                </w:rPr>
                <w:t>s Amended and Restated 1996 Stock Incentive Plan adopted December 5, 2022</w:t>
              </w:r>
            </w:hyperlink>
            <w:r>
              <w:rPr>
                <w:rFonts w:ascii="Times New Roman;sans-serif" w:hAnsi="Times New Roman;sans-serif"/>
                <w:b w:val="false"/>
                <w:color w:val="000000"/>
                <w:sz w:val="20"/>
              </w:rPr>
              <w:t>, filed as exhibit 10.3 to the Company’s Quarterly Report on Form 10-Q for the fiscal quarter ended January 28, 2023 as filed with the Commission on February 15, 2023 and incorporated herein by reference.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80"/>
                  <w:sz w:val="20"/>
                  <w:u w:val="single"/>
                </w:rPr>
                <w:t>Form of Global Non-Qualified Stock Option Agreement for usage under the Company</w:t>
              </w:r>
            </w:hyperlink>
            <w:hyperlink r:id="rId104">
              <w:r>
                <w:rPr>
                  <w:rStyle w:val="InternetLink"/>
                  <w:rFonts w:ascii="Times New Roman;sans-serif" w:hAnsi="Times New Roman;sans-serif"/>
                  <w:b w:val="false"/>
                  <w:color w:val="000080"/>
                  <w:sz w:val="20"/>
                  <w:u w:val="single"/>
                </w:rPr>
                <w:t>’</w:t>
              </w:r>
            </w:hyperlink>
            <w:hyperlink r:id="rId105">
              <w:r>
                <w:rPr>
                  <w:rStyle w:val="InternetLink"/>
                  <w:rFonts w:ascii="Times New Roman;sans-serif" w:hAnsi="Times New Roman;sans-serif"/>
                  <w:b w:val="false"/>
                  <w:color w:val="000080"/>
                  <w:sz w:val="20"/>
                  <w:u w:val="single"/>
                </w:rPr>
                <w:t>s Amended and Restated 1996 Stock Incentive Plan adopted December 11, 2023</w:t>
              </w:r>
            </w:hyperlink>
            <w:r>
              <w:rPr>
                <w:rFonts w:ascii="Times New Roman;sans-serif" w:hAnsi="Times New Roman;sans-serif"/>
                <w:b w:val="false"/>
                <w:color w:val="000000"/>
                <w:sz w:val="20"/>
              </w:rPr>
              <w:t>, filed as exhibit 10.1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80"/>
                  <w:sz w:val="20"/>
                  <w:u w:val="single"/>
                </w:rPr>
                <w:t>Form of Global Restricted Stock Unit Agreement for Employees for usage under the Company</w:t>
              </w:r>
            </w:hyperlink>
            <w:hyperlink r:id="rId107">
              <w:r>
                <w:rPr>
                  <w:rStyle w:val="InternetLink"/>
                  <w:rFonts w:ascii="Times New Roman;sans-serif" w:hAnsi="Times New Roman;sans-serif"/>
                  <w:b w:val="false"/>
                  <w:color w:val="000080"/>
                  <w:sz w:val="20"/>
                  <w:u w:val="single"/>
                </w:rPr>
                <w:t>’</w:t>
              </w:r>
            </w:hyperlink>
            <w:hyperlink r:id="rId108">
              <w:r>
                <w:rPr>
                  <w:rStyle w:val="InternetLink"/>
                  <w:rFonts w:ascii="Times New Roman;sans-serif" w:hAnsi="Times New Roman;sans-serif"/>
                  <w:b w:val="false"/>
                  <w:color w:val="000080"/>
                  <w:sz w:val="20"/>
                  <w:u w:val="single"/>
                </w:rPr>
                <w:t>s Amended and Restated 1996 Stock Incentive Plan adopted December 11, 2023</w:t>
              </w:r>
            </w:hyperlink>
            <w:r>
              <w:rPr>
                <w:rFonts w:ascii="Times New Roman;sans-serif" w:hAnsi="Times New Roman;sans-serif"/>
                <w:b w:val="false"/>
                <w:color w:val="000000"/>
                <w:sz w:val="20"/>
              </w:rPr>
              <w:t>, filed as exhibit 10.2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ans-serif" w:hAnsi="Times New Roman;sans-serif"/>
                  <w:b w:val="false"/>
                  <w:color w:val="0000FF"/>
                  <w:sz w:val="20"/>
                  <w:u w:val="single"/>
                </w:rPr>
                <w:t>Form of Employee Retention Agreement</w:t>
              </w:r>
            </w:hyperlink>
            <w:r>
              <w:rPr>
                <w:rFonts w:ascii="Times New Roman;sans-serif" w:hAnsi="Times New Roman;sans-serif"/>
                <w:b w:val="false"/>
                <w:color w:val="000000"/>
                <w:sz w:val="20"/>
              </w:rPr>
              <w:t>, filed as exhibit 10.1 to the Company’s Quarterly Report on Form 10-Q for the fiscal quarter ended May 5, 2012 as filed with the Commission on May 22, 2012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ans-serif" w:hAnsi="Times New Roman;sans-serif"/>
                  <w:b w:val="false"/>
                  <w:color w:val="0000FF"/>
                  <w:sz w:val="20"/>
                  <w:u w:val="single"/>
                </w:rPr>
                <w:t>Employee Change in Control Severance Policy of Analog Devices, Inc., as amended</w:t>
              </w:r>
            </w:hyperlink>
            <w:r>
              <w:rPr>
                <w:rFonts w:ascii="Times New Roman;sans-serif" w:hAnsi="Times New Roman;sans-serif"/>
                <w:b w:val="false"/>
                <w:color w:val="000000"/>
                <w:sz w:val="20"/>
              </w:rPr>
              <w:t>, filed as exhibit 10.20 to the Company’s Annual Report on Form 10-K for the fiscal year ended October 30, 1999 as filed with the Commission on January 28, 2000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3"/>
        <w:gridCol w:w="227"/>
        <w:gridCol w:w="229"/>
        <w:gridCol w:w="109"/>
        <w:gridCol w:w="109"/>
        <w:gridCol w:w="109"/>
        <w:gridCol w:w="3030"/>
        <w:gridCol w:w="2847"/>
        <w:gridCol w:w="2877"/>
        <w:gridCol w:w="109"/>
        <w:gridCol w:w="109"/>
        <w:gridCol w:w="157"/>
      </w:tblGrid>
      <w:tr>
        <w:trPr/>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ans-serif" w:hAnsi="Times New Roman;sans-serif"/>
                  <w:b w:val="false"/>
                  <w:color w:val="0000FF"/>
                  <w:sz w:val="20"/>
                  <w:u w:val="single"/>
                </w:rPr>
                <w:t>Senior Management Change in Control Severance Policy of Analog Devices, Inc., as amended</w:t>
              </w:r>
            </w:hyperlink>
            <w:r>
              <w:rPr>
                <w:rFonts w:ascii="Times New Roman;sans-serif" w:hAnsi="Times New Roman;sans-serif"/>
                <w:b w:val="false"/>
                <w:color w:val="000000"/>
                <w:sz w:val="20"/>
              </w:rPr>
              <w:t>, filed as exhibit 10.21 to the Company’s Annual Report on Form 10-K for the fiscal year ended October 30, 1999 as filed with the Commission on January 28, 2000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ans-serif" w:hAnsi="Times New Roman;sans-serif"/>
                  <w:b w:val="false"/>
                  <w:color w:val="0000FF"/>
                  <w:sz w:val="20"/>
                  <w:u w:val="single"/>
                </w:rPr>
                <w:t>Form of Indemnification Agreement for Directors and Officers</w:t>
              </w:r>
            </w:hyperlink>
            <w:r>
              <w:rPr>
                <w:rFonts w:ascii="Times New Roman;sans-serif" w:hAnsi="Times New Roman;sans-serif"/>
                <w:b w:val="false"/>
                <w:color w:val="000000"/>
                <w:sz w:val="20"/>
              </w:rPr>
              <w:t>, filed as exhibit 10.30 to the Company’s Annual Report on Form 10-K for the fiscal year ended November 1, 2008 as filed with the Commission on November 25, 2008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ans-serif" w:hAnsi="Times New Roman;sans-serif"/>
                  <w:b w:val="false"/>
                  <w:color w:val="0000FF"/>
                  <w:sz w:val="20"/>
                  <w:u w:val="single"/>
                </w:rPr>
                <w:t>Third Amended and Restated Credit Agreement, dated as of June 23, 2021, among Analog Devices, Inc., as Borrower, Bank of America, N.A. as Administrative Agent, Swing Line Lender and L/C Issuer, and each lender from time to time party thereto</w:t>
              </w:r>
            </w:hyperlink>
            <w:r>
              <w:rPr>
                <w:rFonts w:ascii="Times New Roman;sans-serif" w:hAnsi="Times New Roman;sans-serif"/>
                <w:b w:val="false"/>
                <w:color w:val="000000"/>
                <w:sz w:val="20"/>
              </w:rPr>
              <w:t>, filed as exhibit 10.1 to the Company’s Current Report on Form 8-K as filed with the Commission on June 23, 2021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imes New Roman;sans-serif" w:hAnsi="Times New Roman;sans-serif"/>
                  <w:b w:val="false"/>
                  <w:color w:val="0000FF"/>
                  <w:sz w:val="20"/>
                  <w:u w:val="single"/>
                </w:rPr>
                <w:t>Amendment No. 1 to Third Amended and Restated Credit Agreement, dated as of December 20, 2022</w:t>
              </w:r>
            </w:hyperlink>
            <w:r>
              <w:rPr>
                <w:rFonts w:ascii="Times New Roman;sans-serif" w:hAnsi="Times New Roman;sans-serif"/>
                <w:b w:val="false"/>
                <w:color w:val="000000"/>
                <w:sz w:val="20"/>
              </w:rPr>
              <w:t>, filed as exhibit 10.1 to the Company’s Quarterly Report on Form 10-Q for the fiscal quarter ended January 28, 2023 as filed with the Commission on February 15,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ans-serif" w:hAnsi="Times New Roman;sans-serif"/>
                  <w:b w:val="false"/>
                  <w:color w:val="0000FF"/>
                  <w:sz w:val="20"/>
                  <w:u w:val="single"/>
                </w:rPr>
                <w:t>Amendment No. 2 to Third Amended and Restated Credit Agreement, dated as of July 24, 2023</w:t>
              </w:r>
            </w:hyperlink>
            <w:r>
              <w:rPr>
                <w:rFonts w:ascii="Times New Roman;sans-serif" w:hAnsi="Times New Roman;sans-serif"/>
                <w:b w:val="false"/>
                <w:color w:val="000000"/>
                <w:sz w:val="20"/>
              </w:rPr>
              <w:t>, filed as exhibit 10.1 to the Company’s Quarterly Report on Form 10-Q for the fiscal quarter ended July 29, 2023 as filed with the Commission on August 23,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Times New Roman;sans-serif" w:hAnsi="Times New Roman;sans-serif"/>
                  <w:b w:val="false"/>
                  <w:color w:val="0000FF"/>
                  <w:sz w:val="20"/>
                  <w:u w:val="single"/>
                </w:rPr>
                <w:t>Analog Devices, Inc. Amended &amp; Restated 2022 Employee Stock Purchase Plan</w:t>
              </w:r>
            </w:hyperlink>
            <w:r>
              <w:rPr>
                <w:rFonts w:ascii="Times New Roman;sans-serif" w:hAnsi="Times New Roman;sans-serif"/>
                <w:b w:val="false"/>
                <w:color w:val="000000"/>
                <w:sz w:val="20"/>
              </w:rPr>
              <w:t>, filed as exhibit 10.63 to the Company’s Annual Report on Form 10-K for the fiscal year ended October 28, 2023 as filed with the Commission on November 21,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ans-serif" w:hAnsi="Times New Roman;sans-serif"/>
                  <w:b w:val="false"/>
                  <w:color w:val="0000FF"/>
                  <w:sz w:val="20"/>
                  <w:u w:val="single"/>
                </w:rPr>
                <w:t>Offer Letter for Gregory Bryant dated December 14, 2021</w:t>
              </w:r>
            </w:hyperlink>
            <w:r>
              <w:rPr>
                <w:rFonts w:ascii="Times New Roman;sans-serif" w:hAnsi="Times New Roman;sans-serif"/>
                <w:b w:val="false"/>
                <w:color w:val="000000"/>
                <w:sz w:val="20"/>
              </w:rPr>
              <w:t>, filed as exhibit 10.4 to the Company’s Quarterly Report on Form 10-Q for the fiscal quarter ended April 30, 2022 as filed with the Commission on May 18, 2022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Times New Roman;sans-serif" w:hAnsi="Times New Roman;sans-serif"/>
                  <w:b w:val="false"/>
                  <w:color w:val="0000FF"/>
                  <w:sz w:val="20"/>
                  <w:u w:val="single"/>
                </w:rPr>
                <w:t>Executive Performance Incentive Plan effective May 1, 2022</w:t>
              </w:r>
            </w:hyperlink>
            <w:r>
              <w:rPr>
                <w:rFonts w:ascii="Times New Roman;sans-serif" w:hAnsi="Times New Roman;sans-serif"/>
                <w:b w:val="false"/>
                <w:color w:val="000000"/>
                <w:sz w:val="20"/>
              </w:rPr>
              <w:t>, filed as exhibit 10.6 to the Company’s Quarterly Report on Form 10-Q for the fiscal quarter ended April 30, 2022 as filed with the Commission on May 18, 2022 and incorporated by reference herein.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2-executiveperfo.htm">
              <w:r>
                <w:rPr>
                  <w:rStyle w:val="InternetLink"/>
                  <w:rFonts w:ascii="Times New Roman;sans-serif" w:hAnsi="Times New Roman;sans-serif"/>
                  <w:b w:val="false"/>
                  <w:color w:val="000080"/>
                  <w:sz w:val="20"/>
                  <w:u w:val="single"/>
                </w:rPr>
                <w:t>Executive Performance Incentive Plan effective November 3, 2024</w:t>
              </w:r>
            </w:hyperlink>
            <w:hyperlink w:anchor="exhibit1052-executiveperfo.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ans-serif" w:hAnsi="Times New Roman;sans-serif"/>
                  <w:b w:val="false"/>
                  <w:color w:val="0000FF"/>
                  <w:sz w:val="20"/>
                  <w:u w:val="single"/>
                </w:rPr>
                <w:t>Maxim Integrated Products, Inc. Form of Global Restricted Stock Unit Agreement effective July 12, 2020</w:t>
              </w:r>
            </w:hyperlink>
            <w:r>
              <w:rPr>
                <w:rFonts w:ascii="Times New Roman;sans-serif" w:hAnsi="Times New Roman;sans-serif"/>
                <w:b w:val="false"/>
                <w:color w:val="000000"/>
                <w:sz w:val="20"/>
              </w:rPr>
              <w:t>, filed as exhibit 10.28 to Maxim Integrated Products, Inc.’s Annual Report on Form 10-K for the fiscal year ended June 27, 2020 as filed with the Commission on August 19, 2020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ans-serif" w:hAnsi="Times New Roman;sans-serif"/>
                  <w:b w:val="false"/>
                  <w:color w:val="0000FF"/>
                  <w:sz w:val="20"/>
                  <w:u w:val="single"/>
                </w:rPr>
                <w:t>Maxim Integrated Products, Inc. Form of Global Restricted Stock Unit Agreement</w:t>
              </w:r>
            </w:hyperlink>
            <w:r>
              <w:rPr>
                <w:rFonts w:ascii="Times New Roman;sans-serif" w:hAnsi="Times New Roman;sans-serif"/>
                <w:b w:val="false"/>
                <w:color w:val="000000"/>
                <w:sz w:val="20"/>
              </w:rPr>
              <w:t>, filed as exhibit 10.5 to Maxim Integrated Products, Inc.’s Quarterly Report on Form 10-Q for the fiscal quarter ended September 26, 2020 as filed with the Commission on October 28, 2020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ans-serif" w:hAnsi="Times New Roman;sans-serif"/>
                  <w:b w:val="false"/>
                  <w:color w:val="000080"/>
                  <w:sz w:val="20"/>
                  <w:u w:val="single"/>
                </w:rPr>
                <w:t xml:space="preserve">Offer Letter for </w:t>
              </w:r>
            </w:hyperlink>
            <w:hyperlink r:id="rId122">
              <w:r>
                <w:rPr>
                  <w:rStyle w:val="InternetLink"/>
                  <w:rFonts w:ascii="Times New Roman;sans-serif" w:hAnsi="Times New Roman;sans-serif"/>
                  <w:b w:val="false"/>
                  <w:color w:val="000080"/>
                  <w:sz w:val="20"/>
                  <w:u w:val="single"/>
                </w:rPr>
                <w:t>Richard C. Puccio, Jr.</w:t>
              </w:r>
            </w:hyperlink>
            <w:hyperlink r:id="rId123">
              <w:r>
                <w:rPr>
                  <w:rStyle w:val="InternetLink"/>
                  <w:rFonts w:ascii="Times New Roman;sans-serif" w:hAnsi="Times New Roman;sans-serif"/>
                  <w:b w:val="false"/>
                  <w:color w:val="000080"/>
                  <w:sz w:val="20"/>
                  <w:u w:val="single"/>
                </w:rPr>
                <w:t xml:space="preserve"> dated </w:t>
              </w:r>
            </w:hyperlink>
            <w:hyperlink r:id="rId124">
              <w:r>
                <w:rPr>
                  <w:rStyle w:val="InternetLink"/>
                  <w:rFonts w:ascii="Times New Roman;sans-serif" w:hAnsi="Times New Roman;sans-serif"/>
                  <w:b w:val="false"/>
                  <w:color w:val="000080"/>
                  <w:sz w:val="20"/>
                  <w:u w:val="single"/>
                </w:rPr>
                <w:t>January 17</w:t>
              </w:r>
            </w:hyperlink>
            <w:hyperlink r:id="rId125">
              <w:r>
                <w:rPr>
                  <w:rStyle w:val="InternetLink"/>
                  <w:rFonts w:ascii="Times New Roman;sans-serif" w:hAnsi="Times New Roman;sans-serif"/>
                  <w:b w:val="false"/>
                  <w:color w:val="000080"/>
                  <w:sz w:val="20"/>
                  <w:u w:val="single"/>
                </w:rPr>
                <w:t>,</w:t>
              </w:r>
            </w:hyperlink>
            <w:hyperlink r:id="rId126">
              <w:r>
                <w:rPr>
                  <w:rStyle w:val="InternetLink"/>
                  <w:rFonts w:ascii="Times New Roman;sans-serif" w:hAnsi="Times New Roman;sans-serif"/>
                  <w:b w:val="false"/>
                  <w:color w:val="000080"/>
                  <w:sz w:val="20"/>
                  <w:u w:val="single"/>
                </w:rPr>
                <w:t xml:space="preserve"> 2024</w:t>
              </w:r>
            </w:hyperlink>
            <w:r>
              <w:rPr>
                <w:rFonts w:ascii="Times New Roman;sans-serif" w:hAnsi="Times New Roman;sans-serif"/>
                <w:b w:val="false"/>
                <w:color w:val="000000"/>
                <w:sz w:val="20"/>
              </w:rPr>
              <w:t>, filed as exhibit 10.8 to the Company’s Quarterly Report on Form 10-Q for the fiscal quarter ended February 3, 2024 as filed with the Commission on February 21, 2024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6-nakamuraofferl.htm">
              <w:r>
                <w:rPr>
                  <w:rStyle w:val="InternetLink"/>
                  <w:rFonts w:ascii="Times New Roman;sans-serif" w:hAnsi="Times New Roman;sans-serif"/>
                  <w:b w:val="false"/>
                  <w:color w:val="0000FF"/>
                  <w:sz w:val="20"/>
                  <w:u w:val="single"/>
                </w:rPr>
                <w:t>Offer Letter for Katsu Nakamura dated November 1,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57-formoffinancia.htm">
              <w:r>
                <w:rPr>
                  <w:rStyle w:val="InternetLink"/>
                  <w:rFonts w:ascii="Times New Roman;sans-serif" w:hAnsi="Times New Roman;sans-serif"/>
                  <w:b w:val="false"/>
                  <w:color w:val="000080"/>
                  <w:sz w:val="20"/>
                  <w:u w:val="single"/>
                </w:rPr>
                <w:t>Form of Financial Metric Performance Restricted Stock Unit Agreement for Employees for usage under the Company</w:t>
              </w:r>
            </w:hyperlink>
            <w:hyperlink w:anchor="exhibit1057-formoffinancia.htm">
              <w:r>
                <w:rPr>
                  <w:rStyle w:val="InternetLink"/>
                  <w:rFonts w:ascii="Times New Roman;sans-serif" w:hAnsi="Times New Roman;sans-serif"/>
                  <w:b w:val="false"/>
                  <w:color w:val="000080"/>
                  <w:sz w:val="20"/>
                  <w:u w:val="single"/>
                </w:rPr>
                <w:t>’</w:t>
              </w:r>
            </w:hyperlink>
            <w:hyperlink w:anchor="exhibit1057-formoffinancia.htm">
              <w:r>
                <w:rPr>
                  <w:rStyle w:val="InternetLink"/>
                  <w:rFonts w:ascii="Times New Roman;sans-serif" w:hAnsi="Times New Roman;sans-serif"/>
                  <w:b w:val="false"/>
                  <w:color w:val="000080"/>
                  <w:sz w:val="20"/>
                  <w:u w:val="single"/>
                </w:rPr>
                <w:t>s 2020 Equity Incentive Plan adopted September 10,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8martincotterofferlet.htm">
              <w:r>
                <w:rPr>
                  <w:rStyle w:val="InternetLink"/>
                  <w:rFonts w:ascii="Times New Roman;sans-serif" w:hAnsi="Times New Roman;sans-serif"/>
                  <w:b w:val="false"/>
                  <w:color w:val="000080"/>
                  <w:sz w:val="20"/>
                  <w:u w:val="single"/>
                </w:rPr>
                <w:t xml:space="preserve">Offer Letter for </w:t>
              </w:r>
            </w:hyperlink>
            <w:hyperlink w:anchor="ex1058martincotterofferlet.htm">
              <w:r>
                <w:rPr>
                  <w:rStyle w:val="InternetLink"/>
                  <w:rFonts w:ascii="Times New Roman;sans-serif" w:hAnsi="Times New Roman;sans-serif"/>
                  <w:b w:val="false"/>
                  <w:color w:val="000080"/>
                  <w:sz w:val="20"/>
                  <w:u w:val="single"/>
                </w:rPr>
                <w:t>Martin Cotter</w:t>
              </w:r>
            </w:hyperlink>
            <w:hyperlink w:anchor="ex1058martincotterofferlet.htm">
              <w:r>
                <w:rPr>
                  <w:rStyle w:val="InternetLink"/>
                  <w:rFonts w:ascii="Times New Roman;sans-serif" w:hAnsi="Times New Roman;sans-serif"/>
                  <w:b w:val="false"/>
                  <w:color w:val="000080"/>
                  <w:sz w:val="20"/>
                  <w:u w:val="single"/>
                </w:rPr>
                <w:t xml:space="preserve"> dated November </w:t>
              </w:r>
            </w:hyperlink>
            <w:hyperlink w:anchor="ex1058martincotterofferlet.htm">
              <w:r>
                <w:rPr>
                  <w:rStyle w:val="InternetLink"/>
                  <w:rFonts w:ascii="Times New Roman;sans-serif" w:hAnsi="Times New Roman;sans-serif"/>
                  <w:b w:val="false"/>
                  <w:color w:val="000080"/>
                  <w:sz w:val="20"/>
                  <w:u w:val="single"/>
                </w:rPr>
                <w:t>20</w:t>
              </w:r>
            </w:hyperlink>
            <w:hyperlink w:anchor="ex1058martincotterofferlet.htm">
              <w:r>
                <w:rPr>
                  <w:rStyle w:val="InternetLink"/>
                  <w:rFonts w:ascii="Times New Roman;sans-serif" w:hAnsi="Times New Roman;sans-serif"/>
                  <w:b w:val="false"/>
                  <w:color w:val="000080"/>
                  <w:sz w:val="20"/>
                  <w:u w:val="single"/>
                </w:rPr>
                <w:t>,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adixinsidertradi.htm">
              <w:r>
                <w:rPr>
                  <w:rStyle w:val="InternetLink"/>
                  <w:rFonts w:ascii="Times New Roman;sans-serif" w:hAnsi="Times New Roman;sans-serif"/>
                  <w:b w:val="false"/>
                  <w:color w:val="0000FF"/>
                  <w:sz w:val="20"/>
                  <w:u w:val="single"/>
                </w:rPr>
                <w:t>Analog Devices, Inc. Insider Trading Policy.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21subsidiaries.htm">
              <w:r>
                <w:rPr>
                  <w:rStyle w:val="InternetLink"/>
                  <w:rFonts w:ascii="Times New Roman;sans-serif" w:hAnsi="Times New Roman;sans-serif"/>
                  <w:b w:val="false"/>
                  <w:color w:val="0000FF"/>
                  <w:sz w:val="20"/>
                  <w:u w:val="single"/>
                </w:rPr>
                <w:t>Subsidiaries of the Company.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23xconsent.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311.htm">
              <w:r>
                <w:rPr>
                  <w:rStyle w:val="InternetLink"/>
                  <w:rFonts w:ascii="Times New Roman;sans-serif" w:hAnsi="Times New Roman;sans-serif"/>
                  <w:b w:val="false"/>
                  <w:color w:val="0000FF"/>
                  <w:sz w:val="20"/>
                  <w:u w:val="single"/>
                </w:rPr>
                <w:t>Certification Pursuant to Rule 13a-14(a) and 15d-14(a) of the Exchange Act, as Adopted Pursuant to Section 302 of the Sarbanes-Oxley Act of 2002 (Chief Executive Officer).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312.htm">
              <w:r>
                <w:rPr>
                  <w:rStyle w:val="InternetLink"/>
                  <w:rFonts w:ascii="Times New Roman;sans-serif" w:hAnsi="Times New Roman;sans-serif"/>
                  <w:b w:val="false"/>
                  <w:color w:val="000080"/>
                  <w:sz w:val="20"/>
                  <w:u w:val="single"/>
                </w:rPr>
                <w:t>Certification Pursuant to Rule 13a-14(a) and 15d-14(a) of the Exchange Act, as Adopted Pursuant to Section 302 of the Sarbanes-Oxley Act of 2002 (</w:t>
              </w:r>
            </w:hyperlink>
            <w:hyperlink w:anchor="adify2410k-ex312.htm">
              <w:r>
                <w:rPr>
                  <w:rStyle w:val="InternetLink"/>
                  <w:rFonts w:ascii="Times New Roman;sans-serif" w:hAnsi="Times New Roman;sans-serif"/>
                  <w:b w:val="false"/>
                  <w:color w:val="000080"/>
                  <w:sz w:val="20"/>
                  <w:u w:val="single"/>
                </w:rPr>
                <w:t>Chief Financial Officer).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321.htm">
              <w:r>
                <w:rPr>
                  <w:rStyle w:val="InternetLink"/>
                  <w:rFonts w:ascii="Times New Roman;sans-serif" w:hAnsi="Times New Roman;sans-serif"/>
                  <w:b w:val="false"/>
                  <w:color w:val="0000FF"/>
                  <w:sz w:val="20"/>
                  <w:u w:val="single"/>
                </w:rPr>
                <w:t>Certification Pursuant to 18 U.S.C. Section 1350 (Chief Executive Officer).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ify2410k-ex322.htm">
              <w:r>
                <w:rPr>
                  <w:rStyle w:val="InternetLink"/>
                  <w:rFonts w:ascii="Times New Roman;sans-serif" w:hAnsi="Times New Roman;sans-serif"/>
                  <w:b w:val="false"/>
                  <w:color w:val="000080"/>
                  <w:sz w:val="20"/>
                  <w:u w:val="single"/>
                </w:rPr>
                <w:t>Certification Pursuant to 18 U.S.C. Section 1350 (</w:t>
              </w:r>
            </w:hyperlink>
            <w:hyperlink w:anchor="adify2410k-ex322.htm">
              <w:r>
                <w:rPr>
                  <w:rStyle w:val="InternetLink"/>
                  <w:rFonts w:ascii="Times New Roman;sans-serif" w:hAnsi="Times New Roman;sans-serif"/>
                  <w:b w:val="false"/>
                  <w:color w:val="000080"/>
                  <w:sz w:val="20"/>
                  <w:u w:val="single"/>
                </w:rPr>
                <w:t>Chief Financial Officer).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ans-serif" w:hAnsi="Times New Roman;sans-serif"/>
                  <w:b w:val="false"/>
                  <w:color w:val="0000FF"/>
                  <w:sz w:val="20"/>
                  <w:u w:val="single"/>
                </w:rPr>
                <w:t>Analog Devices, Inc. Compensation Recovery Policy</w:t>
              </w:r>
            </w:hyperlink>
            <w:r>
              <w:rPr>
                <w:rFonts w:ascii="Times New Roman;sans-serif" w:hAnsi="Times New Roman;sans-serif"/>
                <w:b w:val="false"/>
                <w:color w:val="000000"/>
                <w:sz w:val="20"/>
              </w:rPr>
              <w:t>, filed as exhibit 97 to the Company’s Annual Report on Form 10-K for the fiscal year ended October 28, 2023 as filed with the Commission on November 21, 2023 and incorporated herein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4"/>
        <w:gridCol w:w="275"/>
        <w:gridCol w:w="278"/>
        <w:gridCol w:w="109"/>
        <w:gridCol w:w="109"/>
        <w:gridCol w:w="109"/>
        <w:gridCol w:w="2887"/>
        <w:gridCol w:w="2856"/>
        <w:gridCol w:w="2892"/>
        <w:gridCol w:w="109"/>
        <w:gridCol w:w="109"/>
        <w:gridCol w:w="158"/>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Labels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w:t>
      </w:r>
    </w:p>
    <w:tbl>
      <w:tblPr>
        <w:tblW w:w="10205" w:type="dxa"/>
        <w:jc w:val="left"/>
        <w:tblInd w:w="0" w:type="dxa"/>
        <w:tblLayout w:type="fixed"/>
        <w:tblCellMar>
          <w:top w:w="28" w:type="dxa"/>
          <w:left w:w="28" w:type="dxa"/>
          <w:bottom w:w="28" w:type="dxa"/>
          <w:right w:w="28" w:type="dxa"/>
        </w:tblCellMar>
      </w:tblPr>
      <w:tblGrid>
        <w:gridCol w:w="129"/>
        <w:gridCol w:w="114"/>
        <w:gridCol w:w="114"/>
        <w:gridCol w:w="109"/>
        <w:gridCol w:w="109"/>
        <w:gridCol w:w="109"/>
        <w:gridCol w:w="2810"/>
        <w:gridCol w:w="2793"/>
        <w:gridCol w:w="3918"/>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 or arrangements required to be filed as an Exhibit pursuant to Item 15(b) of Form 10-K.</w:t>
            </w:r>
          </w:p>
        </w:tc>
      </w:tr>
      <w:tr>
        <w:trPr/>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Submitted electronically herewith.</w:t>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before="380" w:after="283"/>
        <w:jc w:val="center"/>
        <w:rPr/>
      </w:pPr>
      <w:r>
        <w:rPr/>
      </w:r>
    </w:p>
    <w:p>
      <w:pPr>
        <w:pStyle w:val="TextBody"/>
        <w:bidi w:val="0"/>
        <w:spacing w:lineRule="auto" w:line="288" w:before="380" w:after="283"/>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NOVEMBER 2,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STATEMENT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November 2, 2024, October 28, 2023 and October 29, 2022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(dollar amounts in thousands)</w:t>
      </w:r>
    </w:p>
    <w:tbl>
      <w:tblPr>
        <w:tblW w:w="10205" w:type="dxa"/>
        <w:jc w:val="center"/>
        <w:tblInd w:w="0" w:type="dxa"/>
        <w:tblLayout w:type="fixed"/>
        <w:tblCellMar>
          <w:top w:w="28" w:type="dxa"/>
          <w:left w:w="28" w:type="dxa"/>
          <w:bottom w:w="28" w:type="dxa"/>
          <w:right w:w="28" w:type="dxa"/>
        </w:tblCellMar>
      </w:tblPr>
      <w:tblGrid>
        <w:gridCol w:w="856"/>
        <w:gridCol w:w="754"/>
        <w:gridCol w:w="762"/>
        <w:gridCol w:w="109"/>
        <w:gridCol w:w="109"/>
        <w:gridCol w:w="109"/>
        <w:gridCol w:w="315"/>
        <w:gridCol w:w="1236"/>
        <w:gridCol w:w="163"/>
        <w:gridCol w:w="109"/>
        <w:gridCol w:w="109"/>
        <w:gridCol w:w="109"/>
        <w:gridCol w:w="490"/>
        <w:gridCol w:w="1676"/>
        <w:gridCol w:w="253"/>
        <w:gridCol w:w="109"/>
        <w:gridCol w:w="109"/>
        <w:gridCol w:w="109"/>
        <w:gridCol w:w="211"/>
        <w:gridCol w:w="659"/>
        <w:gridCol w:w="109"/>
        <w:gridCol w:w="109"/>
        <w:gridCol w:w="109"/>
        <w:gridCol w:w="109"/>
        <w:gridCol w:w="109"/>
        <w:gridCol w:w="109"/>
        <w:gridCol w:w="211"/>
        <w:gridCol w:w="826"/>
        <w:gridCol w:w="158"/>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(Reductions) Charged to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End of Period</w:t>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Allowance for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October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October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339,105 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332,464 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November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332,464 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10,615 </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60" w:after="283"/>
        <w:ind w:left="0" w:right="0" w:firstLine="495"/>
        <w:jc w:val="left"/>
        <w:rPr/>
      </w:pPr>
      <w:r>
        <w:rPr/>
      </w:r>
    </w:p>
    <w:tbl>
      <w:tblPr>
        <w:tblW w:w="8535" w:type="dxa"/>
        <w:jc w:val="right"/>
        <w:tblInd w:w="0" w:type="dxa"/>
        <w:tblLayout w:type="fixed"/>
        <w:tblCellMar>
          <w:top w:w="28" w:type="dxa"/>
          <w:left w:w="28" w:type="dxa"/>
          <w:bottom w:w="28" w:type="dxa"/>
          <w:right w:w="28" w:type="dxa"/>
        </w:tblCellMar>
      </w:tblPr>
      <w:tblGrid>
        <w:gridCol w:w="797"/>
        <w:gridCol w:w="702"/>
        <w:gridCol w:w="706"/>
        <w:gridCol w:w="109"/>
        <w:gridCol w:w="109"/>
        <w:gridCol w:w="109"/>
        <w:gridCol w:w="351"/>
        <w:gridCol w:w="351"/>
        <w:gridCol w:w="351"/>
        <w:gridCol w:w="1435"/>
        <w:gridCol w:w="1435"/>
        <w:gridCol w:w="208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DEVICES,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Roche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Roche</w:t>
              <w:br/>
              <w:t>Chief Executive Officer and Chair of the Board of Directors</w:t>
              <w:br/>
              <w:t>(Principal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this report has been signed below by the following persons on behalf of the registrant and in the capacities and on the dates indicated.</w:t>
      </w:r>
    </w:p>
    <w:tbl>
      <w:tblPr>
        <w:tblW w:w="9443"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1628"/>
        <w:gridCol w:w="1628"/>
        <w:gridCol w:w="1649"/>
        <w:gridCol w:w="109"/>
        <w:gridCol w:w="109"/>
        <w:gridCol w:w="109"/>
        <w:gridCol w:w="512"/>
        <w:gridCol w:w="512"/>
        <w:gridCol w:w="731"/>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Roche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 of the Board of Directors</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Roche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 xml:space="preserve">/s/ </w:t>
            </w:r>
            <w:r>
              <w:rPr>
                <w:rFonts w:ascii="Times New Roman;sans-serif" w:hAnsi="Times New Roman;sans-serif"/>
                <w:b w:val="false"/>
                <w:color w:val="000000"/>
                <w:sz w:val="20"/>
              </w:rPr>
              <w:t>Richard C. Puccio,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Richard C. Puccio,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Sondel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Vice President and Chief </w:t>
              <w:br/>
              <w:t>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Sondel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André Andonian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André Andonian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A. Champy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A. Champy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H. Frank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H.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Laurie H. Glimcher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Laurie H. Glimcher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M. Golz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M. Golz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B.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B.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Stephen M.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M.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Mercedes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Mercedes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Ray Stata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Ray Stata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Susie Wee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26,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Susie Wee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drawing>
          <wp:inline distT="0" distB="0" distL="0" distR="0">
            <wp:extent cx="1285875" cy="809625"/>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128"/>
                    <a:stretch>
                      <a:fillRect/>
                    </a:stretch>
                  </pic:blipFill>
                  <pic:spPr bwMode="auto">
                    <a:xfrm>
                      <a:off x="0" y="0"/>
                      <a:ext cx="1285875" cy="809625"/>
                    </a:xfrm>
                    <a:prstGeom prst="rect">
                      <a:avLst/>
                    </a:prstGeom>
                  </pic:spPr>
                </pic:pic>
              </a:graphicData>
            </a:graphic>
          </wp:inline>
        </w:drawing>
      </w:r>
    </w:p>
    <w:p>
      <w:pPr>
        <w:pStyle w:val="TextBody"/>
        <w:bidi w:val="0"/>
        <w:spacing w:lineRule="auto" w:line="304"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ADI Executive Performance Incentive Plan</w:t>
      </w:r>
    </w:p>
    <w:p>
      <w:pPr>
        <w:pStyle w:val="TextBody"/>
        <w:bidi w:val="0"/>
        <w:spacing w:before="0" w:after="0"/>
        <w:jc w:val="center"/>
        <w:rPr/>
      </w:pPr>
      <w:r>
        <w:rPr/>
      </w:r>
    </w:p>
    <w:p>
      <w:pPr>
        <w:pStyle w:val="TextBody"/>
        <w:bidi w:val="0"/>
        <w:spacing w:lineRule="auto" w:line="304" w:before="0" w:after="0"/>
        <w:ind w:left="0" w:right="0" w:firstLine="975"/>
        <w:jc w:val="left"/>
        <w:rPr>
          <w:rFonts w:ascii="Times New Roman;sans-serif" w:hAnsi="Times New Roman;sans-serif"/>
          <w:b w:val="false"/>
          <w:color w:val="000000"/>
          <w:sz w:val="22"/>
        </w:rPr>
      </w:pPr>
      <w:r>
        <w:rPr>
          <w:rFonts w:ascii="Times New Roman;sans-serif" w:hAnsi="Times New Roman;sans-serif"/>
          <w:b w:val="false"/>
          <w:color w:val="000000"/>
          <w:sz w:val="22"/>
        </w:rPr>
        <w:t>On September 10, 2024, the Compensation and Talent Committee of the Board of Directors of Analog Devices, Inc. (the “Company”) approved the terms of the ADI Executive Performance Incentive Plan effective November 3, 2024. The Chief Executive Officer and the direct reports of the Chief Executive Officer who are Senior Vice President levels and above will participate in the ADI Executive Performance Incentive Plan. Bonus payments under the ADI Executive Performance Incentive Plan are calculated and paid as follows:</w:t>
      </w:r>
    </w:p>
    <w:p>
      <w:pPr>
        <w:pStyle w:val="TextBody"/>
        <w:bidi w:val="0"/>
        <w:spacing w:before="0" w:after="0"/>
        <w:ind w:left="0" w:right="0" w:firstLine="975"/>
        <w:jc w:val="left"/>
        <w:rPr/>
      </w:pPr>
      <w:r>
        <w:rPr/>
      </w:r>
    </w:p>
    <w:p>
      <w:pPr>
        <w:pStyle w:val="TextBody"/>
        <w:bidi w:val="0"/>
        <w:spacing w:lineRule="auto" w:line="304"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 Each participant’s Bonus Target is obtained by multiplying his or her Base Salary by his or her Individual Target Bonus Percentage:</w:t>
      </w:r>
    </w:p>
    <w:p>
      <w:pPr>
        <w:pStyle w:val="TextBody"/>
        <w:bidi w:val="0"/>
        <w:spacing w:before="0" w:after="0"/>
        <w:ind w:left="0" w:right="0" w:firstLine="495"/>
        <w:jc w:val="left"/>
        <w:rPr/>
      </w:pPr>
      <w:r>
        <w:rPr/>
      </w:r>
    </w:p>
    <w:p>
      <w:pPr>
        <w:pStyle w:val="TextBody"/>
        <w:bidi w:val="0"/>
        <w:spacing w:lineRule="auto" w:line="304" w:before="0" w:after="0"/>
        <w:ind w:left="0" w:right="0" w:hanging="360"/>
        <w:jc w:val="left"/>
        <w:rPr/>
      </w:pPr>
      <w:r>
        <w:rPr>
          <w:color w:val="000000"/>
        </w:rPr>
        <w:t>•</w:t>
      </w:r>
      <w:r>
        <w:rPr>
          <w:rFonts w:ascii="Times New Roman;sans-serif" w:hAnsi="Times New Roman;sans-serif"/>
          <w:b w:val="false"/>
          <w:color w:val="000000"/>
          <w:sz w:val="22"/>
        </w:rPr>
        <w:t>Base Salary – the individual’s base pay during the applicable bonus period.</w:t>
      </w:r>
    </w:p>
    <w:p>
      <w:pPr>
        <w:pStyle w:val="TextBody"/>
        <w:bidi w:val="0"/>
        <w:spacing w:before="0" w:after="0"/>
        <w:jc w:val="left"/>
        <w:rPr/>
      </w:pPr>
      <w:r>
        <w:rPr/>
      </w:r>
    </w:p>
    <w:p>
      <w:pPr>
        <w:pStyle w:val="TextBody"/>
        <w:bidi w:val="0"/>
        <w:spacing w:lineRule="auto" w:line="304" w:before="0" w:after="0"/>
        <w:ind w:left="0" w:right="0" w:hanging="360"/>
        <w:jc w:val="left"/>
        <w:rPr/>
      </w:pPr>
      <w:r>
        <w:rPr>
          <w:color w:val="000000"/>
        </w:rPr>
        <w:t>•</w:t>
      </w:r>
      <w:r>
        <w:rPr>
          <w:rFonts w:ascii="Times New Roman;sans-serif" w:hAnsi="Times New Roman;sans-serif"/>
          <w:b w:val="false"/>
          <w:color w:val="000000"/>
          <w:sz w:val="22"/>
        </w:rPr>
        <w:t>Individual Target Bonus Percentage — a percentage of the individual’s Base Salary, determined individually for each participant by the Compensation and Talent Committee up to 200%, in the Compensation and Talent Committee’s sole discretion.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2. Each participant’s Bonus Target is then multiplied by the Bonus Payout Factor. The Bonus Payout Factor is equal to (A) 50% of the Bonus Payout Factor (as shown in the table below) based on the Company’s operating profit before tax (OPBT) as a percentage of revenue (OPBT margin) for the applicable fiscal year plus (B) 50% of the Bonus Payout Factor (as shown in the table below) based on the Company’s revenue growth for the applicable fiscal year compared to the prior fiscal year.</w:t>
      </w:r>
      <w:r>
        <w:rPr>
          <w:color w:val="000000"/>
        </w:rPr>
        <w:t xml:space="preserve">  </w:t>
      </w:r>
      <w:r>
        <w:rPr>
          <w:rFonts w:ascii="Times New Roman;sans-serif" w:hAnsi="Times New Roman;sans-serif"/>
          <w:b w:val="false"/>
          <w:color w:val="000000"/>
          <w:sz w:val="22"/>
        </w:rPr>
        <w:t xml:space="preserve">For purposes of the ADI Executive Performance Incentive Plan, revenue will be measured on a sell-in basis (commonly referred to as POA revenue). The calculations of revenue growth and OPBT as a percentage of revenue are adjustable by the Compensation and Talent Committee in its sole discretion to take account of special items, including but not limited to: restructuring-related expense, acquisition- or disposition-related items, non-recurring royalty payments or receipts, and other similar non-cash or non-recurring items. If OPBT margin is equal to or less than 40% of revenue for the applicable fiscal year, the Bonus Payout Factor shall be zero for that fiscal year, even if the Company has revenue growth for that fiscal year. The Bonus Payout Factor can range from 0% to 250%, provided that the Bonus Payout Factor for the fiscal year does not exceed the annualized bonus payout factor under the ADI Corporate Bonus Plan reached by calculating the average of the payout factors for the four quarters of the fiscal year. In such case, the Bonus Payout Factor under this ADI Executive Performance Incentive Plan shall be reduced to the annualized bonus payout factor under the ADI Corporate Bonus Plan. </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1"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75"/>
        <w:jc w:val="left"/>
        <w:rPr/>
      </w:pPr>
      <w:r>
        <w:rPr/>
      </w:r>
    </w:p>
    <w:p>
      <w:pPr>
        <w:pStyle w:val="TextBody"/>
        <w:bidi w:val="0"/>
        <w:spacing w:lineRule="auto" w:line="30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Bonus Payout Factor tables apply under the ADI Executive Performance Incentive Plan:</w:t>
      </w:r>
    </w:p>
    <w:p>
      <w:pPr>
        <w:pStyle w:val="TextBody"/>
        <w:bidi w:val="0"/>
        <w:spacing w:before="0" w:after="0"/>
        <w:ind w:left="0" w:right="0" w:firstLine="975"/>
        <w:jc w:val="left"/>
        <w:rPr/>
      </w:pPr>
      <w:r>
        <w:rPr/>
      </w:r>
    </w:p>
    <w:tbl>
      <w:tblPr>
        <w:tblW w:w="10205" w:type="dxa"/>
        <w:jc w:val="left"/>
        <w:tblInd w:w="0" w:type="dxa"/>
        <w:tblLayout w:type="fixed"/>
        <w:tblCellMar>
          <w:top w:w="28" w:type="dxa"/>
          <w:left w:w="28" w:type="dxa"/>
          <w:bottom w:w="28" w:type="dxa"/>
          <w:right w:w="28" w:type="dxa"/>
        </w:tblCellMar>
      </w:tblPr>
      <w:tblGrid>
        <w:gridCol w:w="1038"/>
        <w:gridCol w:w="879"/>
        <w:gridCol w:w="827"/>
        <w:gridCol w:w="675"/>
        <w:gridCol w:w="662"/>
        <w:gridCol w:w="590"/>
        <w:gridCol w:w="310"/>
        <w:gridCol w:w="310"/>
        <w:gridCol w:w="310"/>
        <w:gridCol w:w="904"/>
        <w:gridCol w:w="904"/>
        <w:gridCol w:w="818"/>
        <w:gridCol w:w="616"/>
        <w:gridCol w:w="602"/>
        <w:gridCol w:w="760"/>
      </w:tblGrid>
      <w:tr>
        <w:trPr/>
        <w:tc>
          <w:tcPr>
            <w:tcW w:w="10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FFFFFF"/>
              <w:left w:val="single" w:sz="4" w:space="0" w:color="FFFFFF"/>
              <w:bottom w:val="single" w:sz="4" w:space="0" w:color="000000"/>
              <w:right w:val="single" w:sz="4" w:space="0" w:color="FFFFFF"/>
            </w:tcBorders>
            <w:tcMar>
              <w:top w:w="30" w:type="dxa"/>
              <w:bottom w:w="30" w:type="dxa"/>
            </w:tcMar>
            <w:vAlign w:val="center"/>
          </w:tcPr>
          <w:p>
            <w:pPr>
              <w:pStyle w:val="TableContents"/>
              <w:bidi w:val="0"/>
              <w:spacing w:lineRule="auto" w:line="300" w:before="0" w:after="283"/>
              <w:jc w:val="center"/>
              <w:rPr>
                <w:rFonts w:ascii="Arial;sans-serif" w:hAnsi="Arial;sans-serif"/>
                <w:b/>
                <w:color w:val="000000"/>
                <w:sz w:val="26"/>
              </w:rPr>
            </w:pPr>
            <w:r>
              <w:rPr>
                <w:rFonts w:ascii="Arial;sans-serif" w:hAnsi="Arial;sans-serif"/>
                <w:b/>
                <w:color w:val="000000"/>
                <w:sz w:val="26"/>
              </w:rPr>
              <w:t>ADI Executive Performance Incentive Plan Targets</w:t>
            </w:r>
          </w:p>
        </w:tc>
      </w:tr>
      <w:tr>
        <w:trPr/>
        <w:tc>
          <w:tcPr>
            <w:tcW w:w="4671" w:type="dxa"/>
            <w:gridSpan w:val="6"/>
            <w:tcBorders>
              <w:top w:val="single" w:sz="4" w:space="0" w:color="000000"/>
              <w:left w:val="single" w:sz="4" w:space="0" w:color="000000"/>
            </w:tcBorders>
            <w:shd w:fill="1F4E79"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OPBT Margin</w:t>
            </w:r>
          </w:p>
        </w:tc>
        <w:tc>
          <w:tcPr>
            <w:tcW w:w="930" w:type="dxa"/>
            <w:gridSpan w:val="3"/>
            <w:tcBorders>
              <w:top w:val="single" w:sz="4" w:space="0" w:color="FFFFFF"/>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6"/>
            <w:tcBorders>
              <w:top w:val="single" w:sz="4" w:space="0" w:color="000000"/>
              <w:left w:val="single" w:sz="4" w:space="0" w:color="000000"/>
              <w:right w:val="single" w:sz="4" w:space="0" w:color="000000"/>
            </w:tcBorders>
            <w:shd w:fill="1F4E79" w:val="clear"/>
            <w:tcMar>
              <w:top w:w="30" w:type="dxa"/>
              <w:bottom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REVENUE</w:t>
            </w:r>
          </w:p>
        </w:tc>
      </w:tr>
      <w:tr>
        <w:trPr/>
        <w:tc>
          <w:tcPr>
            <w:tcW w:w="2744" w:type="dxa"/>
            <w:gridSpan w:val="3"/>
            <w:tcBorders>
              <w:top w:val="single" w:sz="4" w:space="0" w:color="000000"/>
              <w:left w:val="single" w:sz="4" w:space="0" w:color="000000"/>
            </w:tcBorders>
            <w:shd w:fill="1F4E79"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 xml:space="preserve">OPBT Margin for the Fiscal Year </w:t>
            </w:r>
          </w:p>
        </w:tc>
        <w:tc>
          <w:tcPr>
            <w:tcW w:w="1927" w:type="dxa"/>
            <w:gridSpan w:val="3"/>
            <w:tcBorders>
              <w:top w:val="single" w:sz="4" w:space="0" w:color="000000"/>
              <w:left w:val="single" w:sz="4" w:space="0" w:color="000000"/>
            </w:tcBorders>
            <w:shd w:fill="1F4E79"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Annual Payout Factor</w:t>
            </w:r>
          </w:p>
        </w:tc>
        <w:tc>
          <w:tcPr>
            <w:tcW w:w="930" w:type="dxa"/>
            <w:gridSpan w:val="3"/>
            <w:tcBorders>
              <w:top w:val="single" w:sz="4" w:space="0" w:color="FFFFFF"/>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4" w:space="0" w:color="000000"/>
              <w:left w:val="single" w:sz="4" w:space="0" w:color="000000"/>
            </w:tcBorders>
            <w:shd w:fill="1F4E79"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YTY Growth for the Fiscal Year</w:t>
            </w:r>
          </w:p>
        </w:tc>
        <w:tc>
          <w:tcPr>
            <w:tcW w:w="1978" w:type="dxa"/>
            <w:gridSpan w:val="3"/>
            <w:tcBorders>
              <w:top w:val="single" w:sz="4" w:space="0" w:color="000000"/>
              <w:left w:val="single" w:sz="4" w:space="0" w:color="000000"/>
              <w:right w:val="single" w:sz="4" w:space="0" w:color="000000"/>
            </w:tcBorders>
            <w:shd w:fill="1F4E79" w:val="clear"/>
            <w:tcMar>
              <w:top w:w="30" w:type="dxa"/>
              <w:bottom w:w="0" w:type="dxa"/>
            </w:tcMar>
            <w:vAlign w:val="center"/>
          </w:tcPr>
          <w:p>
            <w:pPr>
              <w:pStyle w:val="TableContents"/>
              <w:bidi w:val="0"/>
              <w:spacing w:lineRule="auto" w:line="300" w:before="0" w:after="283"/>
              <w:jc w:val="center"/>
              <w:rPr>
                <w:rFonts w:ascii="Arial;sans-serif" w:hAnsi="Arial;sans-serif"/>
                <w:b/>
                <w:color w:val="FFFFFF"/>
                <w:sz w:val="22"/>
              </w:rPr>
            </w:pPr>
            <w:r>
              <w:rPr>
                <w:rFonts w:ascii="Arial;sans-serif" w:hAnsi="Arial;sans-serif"/>
                <w:b/>
                <w:color w:val="FFFFFF"/>
                <w:sz w:val="22"/>
              </w:rPr>
              <w:t>Annual Payout Factor</w:t>
            </w:r>
          </w:p>
        </w:tc>
      </w:tr>
      <w:tr>
        <w:trPr/>
        <w:tc>
          <w:tcPr>
            <w:tcW w:w="27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color w:val="000000"/>
              </w:rPr>
            </w:pPr>
            <w:r>
              <w:rPr>
                <w:color w:val="000000"/>
              </w:rPr>
              <w:t xml:space="preserve">≤ </w:t>
            </w:r>
            <w:r>
              <w:rPr>
                <w:rFonts w:ascii="Arial;sans-serif" w:hAnsi="Arial;sans-serif"/>
                <w:b w:val="false"/>
                <w:color w:val="000000"/>
                <w:sz w:val="22"/>
              </w:rPr>
              <w:t>40.0 %</w:t>
            </w:r>
          </w:p>
        </w:tc>
        <w:tc>
          <w:tcPr>
            <w:tcW w:w="19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0</w:t>
            </w:r>
          </w:p>
        </w:tc>
        <w:tc>
          <w:tcPr>
            <w:tcW w:w="930" w:type="dxa"/>
            <w:gridSpan w:val="3"/>
            <w:tcBorders>
              <w:top w:val="single" w:sz="4" w:space="0" w:color="FFFFFF"/>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color w:val="000000"/>
              </w:rPr>
            </w:pPr>
            <w:r>
              <w:rPr>
                <w:color w:val="000000"/>
              </w:rPr>
              <w:t xml:space="preserve">≤ </w:t>
            </w:r>
            <w:r>
              <w:rPr>
                <w:rFonts w:ascii="Arial;sans-serif" w:hAnsi="Arial;sans-serif"/>
                <w:b w:val="false"/>
                <w:color w:val="000000"/>
                <w:sz w:val="22"/>
              </w:rPr>
              <w:t>0 %</w:t>
            </w:r>
          </w:p>
        </w:tc>
        <w:tc>
          <w:tcPr>
            <w:tcW w:w="19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0</w:t>
            </w:r>
          </w:p>
        </w:tc>
      </w:tr>
      <w:tr>
        <w:trPr/>
        <w:tc>
          <w:tcPr>
            <w:tcW w:w="274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42.0 %</w:t>
            </w:r>
          </w:p>
        </w:tc>
        <w:tc>
          <w:tcPr>
            <w:tcW w:w="192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1.0 x</w:t>
            </w:r>
          </w:p>
        </w:tc>
        <w:tc>
          <w:tcPr>
            <w:tcW w:w="930" w:type="dxa"/>
            <w:gridSpan w:val="3"/>
            <w:tcBorders>
              <w:top w:val="single" w:sz="4" w:space="0" w:color="FFFFFF"/>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8.0 %</w:t>
            </w:r>
          </w:p>
        </w:tc>
        <w:tc>
          <w:tcPr>
            <w:tcW w:w="1978"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1.0 x</w:t>
            </w:r>
          </w:p>
        </w:tc>
      </w:tr>
      <w:tr>
        <w:trPr/>
        <w:tc>
          <w:tcPr>
            <w:tcW w:w="27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45.0 %</w:t>
            </w:r>
          </w:p>
        </w:tc>
        <w:tc>
          <w:tcPr>
            <w:tcW w:w="19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2.0 x</w:t>
            </w:r>
          </w:p>
        </w:tc>
        <w:tc>
          <w:tcPr>
            <w:tcW w:w="930" w:type="dxa"/>
            <w:gridSpan w:val="3"/>
            <w:tcBorders>
              <w:top w:val="single" w:sz="4" w:space="0" w:color="FFFFFF"/>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15.0 %</w:t>
            </w:r>
          </w:p>
        </w:tc>
        <w:tc>
          <w:tcPr>
            <w:tcW w:w="19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2.0 x</w:t>
            </w:r>
          </w:p>
        </w:tc>
      </w:tr>
      <w:tr>
        <w:trPr/>
        <w:tc>
          <w:tcPr>
            <w:tcW w:w="27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color w:val="000000"/>
              </w:rPr>
            </w:pPr>
            <w:r>
              <w:rPr>
                <w:color w:val="000000"/>
              </w:rPr>
              <w:t xml:space="preserve">≥ </w:t>
            </w:r>
            <w:r>
              <w:rPr>
                <w:rFonts w:ascii="Arial;sans-serif" w:hAnsi="Arial;sans-serif"/>
                <w:b w:val="false"/>
                <w:color w:val="000000"/>
                <w:sz w:val="22"/>
              </w:rPr>
              <w:t>50.0 %</w:t>
            </w:r>
          </w:p>
        </w:tc>
        <w:tc>
          <w:tcPr>
            <w:tcW w:w="19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2.5 x</w:t>
            </w:r>
          </w:p>
        </w:tc>
        <w:tc>
          <w:tcPr>
            <w:tcW w:w="930" w:type="dxa"/>
            <w:gridSpan w:val="3"/>
            <w:tcBorders>
              <w:top w:val="single" w:sz="4" w:space="0" w:color="FFFFFF"/>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color w:val="000000"/>
              </w:rPr>
            </w:pPr>
            <w:r>
              <w:rPr>
                <w:color w:val="000000"/>
              </w:rPr>
              <w:t xml:space="preserve">≥ </w:t>
            </w:r>
            <w:r>
              <w:rPr>
                <w:rFonts w:ascii="Arial;sans-serif" w:hAnsi="Arial;sans-serif"/>
                <w:b w:val="false"/>
                <w:color w:val="000000"/>
                <w:sz w:val="22"/>
              </w:rPr>
              <w:t>22%</w:t>
            </w:r>
          </w:p>
        </w:tc>
        <w:tc>
          <w:tcPr>
            <w:tcW w:w="197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2.5x</w:t>
            </w:r>
          </w:p>
        </w:tc>
      </w:tr>
      <w:tr>
        <w:trPr/>
        <w:tc>
          <w:tcPr>
            <w:tcW w:w="10205" w:type="dxa"/>
            <w:gridSpan w:val="15"/>
            <w:tcBorders>
              <w:top w:val="single" w:sz="4" w:space="0" w:color="000000"/>
              <w:left w:val="single" w:sz="4" w:space="0" w:color="FFFFFF"/>
              <w:bottom w:val="single" w:sz="4" w:space="0" w:color="FFFFFF"/>
              <w:right w:val="single" w:sz="4" w:space="0" w:color="FFFFFF"/>
            </w:tcBorders>
            <w:tcMar>
              <w:top w:w="30" w:type="dxa"/>
              <w:bottom w:w="30" w:type="dxa"/>
            </w:tcMar>
            <w:vAlign w:val="center"/>
          </w:tcPr>
          <w:p>
            <w:pPr>
              <w:pStyle w:val="TableContents"/>
              <w:bidi w:val="0"/>
              <w:spacing w:before="0" w:after="160"/>
              <w:jc w:val="center"/>
              <w:rPr/>
            </w:pPr>
            <w:r>
              <w:rPr/>
            </w:r>
          </w:p>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If OPBT margin &lt;= 40% the entire bonus will pay at 0% regardless of revenue attainment</w:t>
            </w:r>
          </w:p>
        </w:tc>
      </w:tr>
    </w:tbl>
    <w:p>
      <w:pPr>
        <w:pStyle w:val="TextBody"/>
        <w:bidi w:val="0"/>
        <w:spacing w:before="0" w:after="0"/>
        <w:ind w:left="0" w:right="0" w:firstLine="975"/>
        <w:jc w:val="left"/>
        <w:rPr/>
      </w:pPr>
      <w:r>
        <w:rPr/>
      </w:r>
    </w:p>
    <w:p>
      <w:pPr>
        <w:pStyle w:val="TextBody"/>
        <w:bidi w:val="0"/>
        <w:spacing w:before="0" w:after="0"/>
        <w:jc w:val="left"/>
        <w:rPr/>
      </w:pPr>
      <w:r>
        <w:rPr/>
      </w:r>
    </w:p>
    <w:p>
      <w:pPr>
        <w:pStyle w:val="TextBody"/>
        <w:bidi w:val="0"/>
        <w:spacing w:lineRule="auto" w:line="304" w:before="0" w:after="0"/>
        <w:ind w:left="0" w:right="0" w:firstLine="975"/>
        <w:jc w:val="left"/>
        <w:rPr/>
      </w:pPr>
      <w:r>
        <w:rPr>
          <w:rFonts w:ascii="Times New Roman;sans-serif" w:hAnsi="Times New Roman;sans-serif"/>
          <w:b w:val="false"/>
          <w:color w:val="000000"/>
          <w:sz w:val="14"/>
        </w:rPr>
        <w:t xml:space="preserve">1 </w:t>
      </w:r>
      <w:r>
        <w:rPr>
          <w:rFonts w:ascii="Times New Roman;sans-serif" w:hAnsi="Times New Roman;sans-serif"/>
          <w:b w:val="false"/>
          <w:color w:val="000000"/>
          <w:sz w:val="22"/>
        </w:rPr>
        <w:t>In order to facilitate a comparison of fiscal years for purposes of the revenue growth element of the plan, all 53-week fiscal years will be normalized to a 52-week fiscal year.</w:t>
      </w:r>
    </w:p>
    <w:p>
      <w:pPr>
        <w:pStyle w:val="TextBody"/>
        <w:bidi w:val="0"/>
        <w:spacing w:before="0" w:after="0"/>
        <w:ind w:left="0" w:right="0" w:firstLine="975"/>
        <w:jc w:val="left"/>
        <w:rPr/>
      </w:pPr>
      <w:r>
        <w:rPr/>
      </w:r>
    </w:p>
    <w:p>
      <w:pPr>
        <w:pStyle w:val="TextBody"/>
        <w:bidi w:val="0"/>
        <w:spacing w:lineRule="auto" w:line="304" w:before="0" w:after="0"/>
        <w:ind w:left="0" w:right="0" w:firstLine="975"/>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Bonus Payout Factor is determined on a fiscal annual basis and will be linearly interpolated between the values specified in the tables above. For example, if OPBT margin for a fiscal year is 43.5% of revenue (which would result in a Bonus Payout Factor of 150% for that element) and revenue growth for the fiscal year compared to the prior fiscal year was 4.0% (which would result in a Bonus Payout Factor of 50% for that element), then the Bonus Payout Factor for the fiscal year would be 100% which is the sum of 50% of the OPBT payout factor of 150% and 50% of the revenue growth payout factor of 50%. </w:t>
      </w:r>
    </w:p>
    <w:p>
      <w:pPr>
        <w:pStyle w:val="TextBody"/>
        <w:bidi w:val="0"/>
        <w:spacing w:before="0" w:after="0"/>
        <w:ind w:left="0" w:right="0" w:firstLine="975"/>
        <w:jc w:val="left"/>
        <w:rPr/>
      </w:pPr>
      <w:r>
        <w:rPr/>
      </w:r>
    </w:p>
    <w:p>
      <w:pPr>
        <w:pStyle w:val="TextBody"/>
        <w:bidi w:val="0"/>
        <w:spacing w:lineRule="auto" w:line="304" w:before="0" w:after="0"/>
        <w:ind w:left="0" w:right="0" w:firstLine="975"/>
        <w:jc w:val="left"/>
        <w:rPr>
          <w:rFonts w:ascii="Times New Roman;sans-serif" w:hAnsi="Times New Roman;sans-serif"/>
          <w:b w:val="false"/>
          <w:color w:val="000000"/>
          <w:sz w:val="22"/>
        </w:rPr>
      </w:pPr>
      <w:r>
        <w:rPr>
          <w:rFonts w:ascii="Times New Roman;sans-serif" w:hAnsi="Times New Roman;sans-serif"/>
          <w:b w:val="false"/>
          <w:color w:val="000000"/>
          <w:sz w:val="22"/>
        </w:rPr>
        <w:t>A participant’s bonus payment for a fiscal year shall be equal to the product obtained by multiplying a participant’s Bonus Target for the fiscal year by the Bonus Payout Factor for that fiscal year. Each participant’s bonus payment can range from zero to 250% of their Bonus Target, provided that the Bonus Payout Factor for the fiscal year does not exceed the annualized bonus payout factor under the ADI Corporate Bonus Plan reached by calculating the average of the payout factors for the four quarters of the fiscal year. In such case, the Bonus Payout Factor under this ADI Executive Performance Incentive Plan shall be reduced to the annualized bonus payout factor under the ADI Corporate Bonus Plan.</w:t>
      </w:r>
    </w:p>
    <w:p>
      <w:pPr>
        <w:pStyle w:val="TextBody"/>
        <w:bidi w:val="0"/>
        <w:spacing w:before="0" w:after="0"/>
        <w:ind w:left="0" w:right="0" w:firstLine="975"/>
        <w:jc w:val="left"/>
        <w:rPr/>
      </w:pPr>
      <w:r>
        <w:rPr/>
      </w:r>
    </w:p>
    <w:p>
      <w:pPr>
        <w:pStyle w:val="TextBody"/>
        <w:bidi w:val="0"/>
        <w:spacing w:lineRule="auto" w:line="288"/>
        <w:ind w:left="0" w:right="0" w:firstLine="63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 The ADI Executive Performance Incentive Plan is a discretionary plan, and the Compensation and Talent Committee reserves the right to modify it or reduce a Bonus Payout Factor (including the right not to make bonus payments at all) or terminate it at any time, with or without notice, subject to and in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2"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accordance with applicable local law. After the Bonus Payout Factor is determined in accordance with the criteria set forth above, it may be further adjusted in the Company’s sole and absolute discretion in order to calculate the bonus payout.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deciding whether to adjust the Bonus Payout Factor and the level of such adjustment, the Company may take into account additional factors which include but are not limited to, extraordinary events or circumstances, changes in economic conditions, applicable laws, or accounting principles, discontinued operations, recapitalization, restructurings, reorganizations, mergers or acquisitions, divestitures, other similar corporate transaction or any other events which impact or is anticipated to impact the Company’s current or future business. The Bonus Payout Factor in accordance with the formulas above is not guaranteed.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Plan remains in effect until otherwise changed, amended, suspended, or terminated by the Company in accordance with applicable law. Executives eligible to participate in this Plan are not eligible to participate in the ADI Corporate Bonus Plan. </w:t>
      </w:r>
    </w:p>
    <w:p>
      <w:pPr>
        <w:pStyle w:val="TextBody"/>
        <w:bidi w:val="0"/>
        <w:spacing w:before="0" w:after="0"/>
        <w:ind w:left="0" w:right="0" w:firstLine="495"/>
        <w:jc w:val="left"/>
        <w:rPr/>
      </w:pPr>
      <w:r>
        <w:rPr/>
      </w:r>
    </w:p>
    <w:p>
      <w:pPr>
        <w:pStyle w:val="TextBody"/>
        <w:bidi w:val="0"/>
        <w:spacing w:lineRule="auto" w:line="304"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 Bonus payments, if any, under the ADI Executive Performance Incentive Plan will be calculated at the end of each fiscal year and distributed after the end of the fiscal year on or before December 31.</w:t>
      </w:r>
    </w:p>
    <w:p>
      <w:pPr>
        <w:pStyle w:val="TextBody"/>
        <w:bidi w:val="0"/>
        <w:spacing w:before="0" w:after="0"/>
        <w:ind w:left="0" w:right="0" w:firstLine="495"/>
        <w:jc w:val="left"/>
        <w:rPr/>
      </w:pPr>
      <w:r>
        <w:rPr/>
      </w:r>
    </w:p>
    <w:p>
      <w:pPr>
        <w:pStyle w:val="TextBody"/>
        <w:bidi w:val="0"/>
        <w:spacing w:lineRule="auto" w:line="304"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 Participants are eligible for a bonus payment if they are actively employed by the Company on the applicable bonus payment date. This means no bonus payment is earned until the payout date, which is determined by the Compensation and Talent Committee, at its sole discretion. Bonus payments, if any, are prorated based on start date. If a participant's role changes, which results in a Target Bonus Percentage change during the bonus period, the bonus payment for the fiscal quarter in which the job change takes effect will be based on the original Target Bonus Percentage. The new Target Bonus Percentage will be applied to calculations of the Target Bonus Percentage starting the first full fiscal quarter following the effective date of the change.</w:t>
      </w:r>
    </w:p>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 Any payments under the ADI Executive Performance Incentive Plan will be subject to recovery in accordance with any clawback policy, including without limitation the Company’s Compensation Recovery Policy, as amended from time to time (if applicable to the participant), or any other policy which the Company may be required to adopt.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xml:space="preserve">         </w:t>
      </w:r>
      <w:r>
        <w:rPr>
          <w:rFonts w:ascii="Calibri;sans-serif" w:hAnsi="Calibri;sans-serif"/>
          <w:b/>
          <w:color w:val="000000"/>
          <w:sz w:val="20"/>
        </w:rPr>
        <w:t>Exhibit 10.56</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3"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1.2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November 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Katsu Nakamura</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Dear Katsu,</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It is a great pleasure to offer you the role of Senior Vice President, Chief Customer Officer. You will be reporting to the Chief Executive Officer, Vincent Roche (“CEO”), at our Wilmington, MA location. </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2"/>
        </w:rPr>
        <w:t xml:space="preserve">Your start date in your new role on </w:t>
      </w:r>
      <w:r>
        <w:rPr>
          <w:rFonts w:ascii="Calibri;sans-serif" w:hAnsi="Calibri;sans-serif"/>
          <w:b/>
          <w:color w:val="000000"/>
          <w:sz w:val="22"/>
        </w:rPr>
        <w:t>November 3</w:t>
      </w:r>
      <w:r>
        <w:rPr>
          <w:rFonts w:ascii="Calibri;sans-serif" w:hAnsi="Calibri;sans-serif"/>
          <w:b/>
          <w:color w:val="000000"/>
          <w:sz w:val="14"/>
        </w:rPr>
        <w:t>rd</w:t>
      </w:r>
      <w:r>
        <w:rPr>
          <w:rFonts w:ascii="Calibri;sans-serif" w:hAnsi="Calibri;sans-serif"/>
          <w:b/>
          <w:color w:val="000000"/>
          <w:sz w:val="22"/>
        </w:rPr>
        <w:t>, 2024</w:t>
      </w:r>
      <w:r>
        <w:rPr>
          <w:rFonts w:ascii="Calibri;sans-serif" w:hAnsi="Calibri;sans-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I am pleased to advise you of the following adjustments to your compensation.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Cash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color w:val="000000"/>
          <w:sz w:val="22"/>
        </w:rPr>
        <w:t xml:space="preserve">Base Salary. </w:t>
      </w:r>
      <w:r>
        <w:rPr>
          <w:rFonts w:ascii="Calibri;sans-serif" w:hAnsi="Calibri;sans-serif"/>
          <w:b w:val="false"/>
          <w:color w:val="000000"/>
          <w:sz w:val="22"/>
        </w:rPr>
        <w:t>You will be paid at the bi-weekly rate of $19,230.77, which is annualized at $500,000.</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color w:val="000000"/>
          <w:sz w:val="22"/>
        </w:rPr>
        <w:t xml:space="preserve">Bonus. </w:t>
      </w:r>
      <w:r>
        <w:rPr>
          <w:rFonts w:ascii="Calibri;sans-serif" w:hAnsi="Calibri;sans-serif"/>
          <w:b w:val="false"/>
          <w:color w:val="000000"/>
          <w:sz w:val="22"/>
        </w:rPr>
        <w:t>You will participate in the Executive Performance Incentive Plan (the “Plan”). Your bonus target under the Plan will be 100% of your base salary. Your eligibility for a Bonus payment and the terms of the bonus are governed by the Plan, as it may be amended from time to time by our Board of Directors or the Compensation and Talent Committee of the Board.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Equity Compensation.</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22"/>
        </w:rPr>
        <w:t>Ongoing Equity Grants (Focal Equity Awards)</w:t>
      </w:r>
      <w:r>
        <w:rPr>
          <w:rFonts w:ascii="Calibri;sans-serif" w:hAnsi="Calibri;sans-serif"/>
          <w:b w:val="false"/>
          <w:color w:val="000000"/>
          <w:sz w:val="22"/>
        </w:rPr>
        <w:t>. At the Company’s next focal program in Fiscal Year 2025, you will be recommended for an equity award(s) having an aggregate grant date value of $3.0 million. The equity award(s) will be comprised of the same types of equity received by other executives reporting to the CEO. The timing and structure of the awards is subject to review and approval by the Compensation and Talent Committee who has full discretion in determining the composition of annual executive equity awards. There is no guarantee that the value or composition of equity awards in ADI’s Fiscal Year 2026 (or in subsequent years) will be the same as what is described for Fiscal Year 2025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Relocation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 Company will facilitate your repatriation from Japan back to Massachusetts, USA per the terms of your current international assignment under the Company’s relocation policy. Your repatriation will need to be completed within 6 months of the effective date of your new role.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As a member of ADI’s executive leadership team, ADI will offer you its standard agreements with executives, including a Retention Agreement and Indemnification Agreement, each as approved by the Board of Directors and/or the Compensation and Talent Committee of the Board.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Subject to confirmation by our Board of Directors, the position you are being offered would qualify you as a "Section 16 officer" of ADI. </w:t>
      </w:r>
    </w:p>
    <w:p>
      <w:pPr>
        <w:pStyle w:val="TextBody"/>
        <w:bidi w:val="0"/>
        <w:spacing w:before="0" w:after="0"/>
        <w:jc w:val="left"/>
        <w:rPr/>
      </w:pPr>
      <w:r>
        <w:rPr/>
      </w:r>
    </w:p>
    <w:p>
      <w:pPr>
        <w:pStyle w:val="TextBody"/>
        <w:bidi w:val="0"/>
        <w:spacing w:lineRule="auto" w:line="288"/>
        <w:jc w:val="left"/>
        <w:rPr>
          <w:rFonts w:ascii="Calibri;sans-serif" w:hAnsi="Calibri;sans-serif"/>
          <w:b w:val="false"/>
          <w:color w:val="000000"/>
          <w:sz w:val="22"/>
        </w:rPr>
      </w:pPr>
      <w:r>
        <w:rPr>
          <w:rFonts w:ascii="Calibri;sans-serif" w:hAnsi="Calibri;sans-serif"/>
          <w:b w:val="false"/>
          <w:color w:val="000000"/>
          <w:sz w:val="22"/>
        </w:rPr>
        <w:t xml:space="preserve">Further, you will be subject to our executive stock ownership guidelines, which are subject to review by our Board of Directors from time to time. Under the executive stock ownership guidelines, you will be expected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4"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to own at least a number of ADI shares having a value equal to three times your base salary, valued at the current market value of ADI shares. Shares counted toward these guidelines include any shares you hold directly, or that are beneficially held by you, any vested or unvested time-based RSUs and unvested performance-based RSUs whose performance has been certified by the Compensation and Talent Committee.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Your employment relationship with ADI will be on an “at will” basis. This means either you or ADI may terminate the employment relationship at any time, for any reason, or without a reason, and without prior notice.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This offer letter is not a contract guaranteeing employment for any specified period of time. ADI reserves the right to amend or terminate any of the above-described programs, plans or policies at any time and from time to time. This means that policies, compensation, and benefits applicable to its executives and employees generally may be amended or terminated at ADI’s discretion.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Other than the agreements signed contemporaneously herewith, this letter sets forth the complete and sole understanding between the parties regarding your employment and supersedes any and all other offers, agreements or understandings, whether oral or written, between you and the Company.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 believe you will be an excellent addition to the ADI executive leadership team and look forward to working with us in that capacity. We are certain you will find this new role both challenging and rewarding.</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Sincerely,</w:t>
      </w:r>
    </w:p>
    <w:p>
      <w:pPr>
        <w:pStyle w:val="TextBody"/>
        <w:bidi w:val="0"/>
        <w:spacing w:before="0" w:after="0"/>
        <w:jc w:val="left"/>
        <w:rPr/>
      </w:pPr>
      <w:r>
        <w:rPr/>
      </w:r>
    </w:p>
    <w:tbl>
      <w:tblPr>
        <w:tblW w:w="4065" w:type="dxa"/>
        <w:jc w:val="left"/>
        <w:tblInd w:w="0" w:type="dxa"/>
        <w:tblLayout w:type="fixed"/>
        <w:tblCellMar>
          <w:top w:w="28" w:type="dxa"/>
          <w:left w:w="28" w:type="dxa"/>
          <w:bottom w:w="28" w:type="dxa"/>
          <w:right w:w="28" w:type="dxa"/>
        </w:tblCellMar>
      </w:tblPr>
      <w:tblGrid>
        <w:gridCol w:w="1300"/>
        <w:gridCol w:w="1140"/>
        <w:gridCol w:w="1625"/>
      </w:tblGrid>
      <w:tr>
        <w:trPr/>
        <w:tc>
          <w:tcPr>
            <w:tcW w:w="1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Mariya Trickett</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Mariya Trickett</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Senior Vice President &amp; Chief People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I accept the above offer.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784" w:type="dxa"/>
        <w:jc w:val="left"/>
        <w:tblInd w:w="0" w:type="dxa"/>
        <w:tblLayout w:type="fixed"/>
        <w:tblCellMar>
          <w:top w:w="28" w:type="dxa"/>
          <w:left w:w="28" w:type="dxa"/>
          <w:bottom w:w="28" w:type="dxa"/>
          <w:right w:w="28" w:type="dxa"/>
        </w:tblCellMar>
      </w:tblPr>
      <w:tblGrid>
        <w:gridCol w:w="374"/>
        <w:gridCol w:w="330"/>
        <w:gridCol w:w="331"/>
        <w:gridCol w:w="639"/>
        <w:gridCol w:w="639"/>
        <w:gridCol w:w="641"/>
        <w:gridCol w:w="109"/>
        <w:gridCol w:w="109"/>
        <w:gridCol w:w="109"/>
        <w:gridCol w:w="194"/>
        <w:gridCol w:w="194"/>
        <w:gridCol w:w="196"/>
        <w:gridCol w:w="562"/>
        <w:gridCol w:w="562"/>
        <w:gridCol w:w="795"/>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Katsu Nakamura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Date:</w:t>
            </w:r>
          </w:p>
        </w:tc>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Calibri;sans-serif" w:hAnsi="Calibri;sans-serif"/>
                <w:b w:val="false"/>
                <w:color w:val="000000"/>
                <w:sz w:val="22"/>
              </w:rPr>
              <w:t>November 3, 2024</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Katsu Nakamura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180"/>
        <w:jc w:val="right"/>
        <w:rPr>
          <w:rFonts w:ascii="Times New Roman;sans-serif" w:hAnsi="Times New Roman;sans-serif"/>
          <w:b/>
          <w:color w:val="000000"/>
          <w:sz w:val="20"/>
        </w:rPr>
      </w:pPr>
      <w:r>
        <w:rPr>
          <w:rFonts w:ascii="Times New Roman;sans-serif" w:hAnsi="Times New Roman;sans-serif"/>
          <w:b/>
          <w:color w:val="000000"/>
          <w:sz w:val="20"/>
        </w:rPr>
        <w:t>Exhibit 10.57</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5"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Private &amp; Confidential (Addressee Only)</w:t>
      </w:r>
    </w:p>
    <w:p>
      <w:pPr>
        <w:pStyle w:val="TextBody"/>
        <w:bidi w:val="0"/>
        <w:spacing w:before="9"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Participant Name</w:t>
        <w:br/>
        <w:t>Employee ID</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Grant ID: Client Grant ID</w:t>
      </w:r>
    </w:p>
    <w:p>
      <w:pPr>
        <w:pStyle w:val="TextBody"/>
        <w:bidi w:val="0"/>
        <w:spacing w:before="4" w:after="283"/>
        <w:jc w:val="both"/>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color w:val="000000"/>
          <w:sz w:val="18"/>
          <w:u w:val="single"/>
        </w:rPr>
        <w:t>Performance Restricted Stock Unit</w:t>
      </w:r>
      <w:r>
        <w:rPr>
          <w:rFonts w:ascii="Times New Roman;sans-serif" w:hAnsi="Times New Roman;sans-serif"/>
          <w:b w:val="false"/>
          <w:color w:val="000000"/>
          <w:sz w:val="18"/>
        </w:rPr>
        <w:t>.</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Subject to the terms and conditions of the Plan and this Agreement, the Company has granted to the Participant that number of Performance RSUs (the “Award”) effective on the Date of Grant set forth below:</w:t>
      </w:r>
    </w:p>
    <w:p>
      <w:pPr>
        <w:pStyle w:val="TextBody"/>
        <w:bidi w:val="0"/>
        <w:spacing w:lineRule="auto" w:line="288" w:before="0" w:after="0"/>
        <w:jc w:val="both"/>
        <w:rPr>
          <w:rFonts w:ascii="Times New Roman;sans-serif" w:hAnsi="Times New Roman;sans-serif"/>
          <w:b/>
          <w:color w:val="0000CC"/>
          <w:sz w:val="18"/>
        </w:rPr>
      </w:pPr>
      <w:r>
        <w:rPr>
          <w:rFonts w:ascii="Times New Roman;sans-serif" w:hAnsi="Times New Roman;sans-serif"/>
          <w:b/>
          <w:color w:val="0000CC"/>
          <w:sz w:val="18"/>
        </w:rPr>
        <w:t>Date of Grant:     Grant Date</w:t>
      </w:r>
    </w:p>
    <w:p>
      <w:pPr>
        <w:pStyle w:val="TextBody"/>
        <w:bidi w:val="0"/>
        <w:spacing w:lineRule="auto" w:line="288" w:before="0" w:after="0"/>
        <w:jc w:val="both"/>
        <w:rPr>
          <w:rFonts w:ascii="Times New Roman;sans-serif" w:hAnsi="Times New Roman;sans-serif"/>
          <w:b/>
          <w:color w:val="0000CC"/>
          <w:sz w:val="18"/>
        </w:rPr>
      </w:pPr>
      <w:r>
        <w:rPr>
          <w:rFonts w:ascii="Times New Roman;sans-serif" w:hAnsi="Times New Roman;sans-serif"/>
          <w:b/>
          <w:color w:val="0000CC"/>
          <w:sz w:val="18"/>
        </w:rPr>
        <w:t>Number of Performance RSUs (“Initial Grant Number”):    Number of Awards Granted</w:t>
      </w:r>
    </w:p>
    <w:p>
      <w:pPr>
        <w:pStyle w:val="TextBody"/>
        <w:bidi w:val="0"/>
        <w:spacing w:lineRule="auto" w:line="288" w:before="0" w:after="0"/>
        <w:jc w:val="both"/>
        <w:rPr>
          <w:rFonts w:ascii="Times New Roman;sans-serif" w:hAnsi="Times New Roman;sans-serif"/>
          <w:b/>
          <w:color w:val="0000CC"/>
          <w:sz w:val="18"/>
        </w:rPr>
      </w:pPr>
      <w:r>
        <w:rPr>
          <w:rFonts w:ascii="Times New Roman;sans-serif" w:hAnsi="Times New Roman;sans-serif"/>
          <w:b/>
          <w:color w:val="0000CC"/>
          <w:sz w:val="18"/>
        </w:rPr>
        <w:t>Vesting Date:     Cliff Vesting Date</w:t>
      </w:r>
    </w:p>
    <w:p>
      <w:pPr>
        <w:pStyle w:val="TextBody"/>
        <w:bidi w:val="0"/>
        <w:spacing w:lineRule="auto" w:line="288" w:before="240" w:after="180"/>
        <w:jc w:val="both"/>
        <w:rPr/>
      </w:pPr>
      <w:r>
        <w:rPr>
          <w:rFonts w:ascii="Times New Roman;sans-serif" w:hAnsi="Times New Roman;sans-serif"/>
          <w:b w:val="false"/>
          <w:color w:val="000000"/>
          <w:sz w:val="18"/>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sans-serif" w:hAnsi="Times New Roman;sans-serif"/>
          <w:b/>
          <w:i/>
          <w:color w:val="000000"/>
          <w:sz w:val="18"/>
        </w:rPr>
        <w:t>must accept</w:t>
      </w:r>
      <w:r>
        <w:rPr>
          <w:color w:val="000000"/>
        </w:rPr>
        <w:t xml:space="preserve"> </w:t>
      </w:r>
      <w:r>
        <w:rPr>
          <w:rFonts w:ascii="Times New Roman;sans-serif" w:hAnsi="Times New Roman;sans-serif"/>
          <w:b w:val="false"/>
          <w:color w:val="000000"/>
          <w:sz w:val="18"/>
        </w:rPr>
        <w:t xml:space="preserve">this Agreement no later than Grant Custom 4 or </w:t>
      </w:r>
      <w:r>
        <w:rPr>
          <w:rFonts w:ascii="Times New Roman;sans-serif" w:hAnsi="Times New Roman;sans-serif"/>
          <w:b/>
          <w:i/>
          <w:color w:val="000000"/>
          <w:sz w:val="18"/>
        </w:rPr>
        <w:t>this Award shall terminate and will become null and void</w:t>
      </w:r>
      <w:r>
        <w:rPr>
          <w:rFonts w:ascii="Times New Roman;sans-serif" w:hAnsi="Times New Roman;sans-serif"/>
          <w:b w:val="false"/>
          <w:color w:val="000000"/>
          <w:sz w:val="18"/>
        </w:rPr>
        <w:t>. For purposes of this Agreement, the Participant is deemed to reside in the country where his or her Employer is located. In addition, if the Participant resides in Israel, written consent may be required by Grant Custom 3, the Participant should refer to Appendix B for details.</w:t>
      </w:r>
    </w:p>
    <w:p>
      <w:pPr>
        <w:pStyle w:val="TextBody"/>
        <w:bidi w:val="0"/>
        <w:spacing w:lineRule="auto" w:line="288" w:before="24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pStyle w:val="TextBody"/>
        <w:bidi w:val="0"/>
        <w:spacing w:lineRule="auto" w:line="288" w:before="24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color w:val="000000"/>
          <w:sz w:val="18"/>
          <w:u w:val="single"/>
        </w:rPr>
        <w:t>Vesting and Conversion</w:t>
      </w:r>
      <w:r>
        <w:rPr>
          <w:rFonts w:ascii="Times New Roman;sans-serif" w:hAnsi="Times New Roman;sans-serif"/>
          <w:b w:val="false"/>
          <w:color w:val="000000"/>
          <w:sz w:val="18"/>
        </w:rPr>
        <w:t>.</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(b)In the event the Participant’s employment with the Company or the Employer (as defined in Section 2(e)) is terminated either by the Participant, the Company, or the Employer for any reason or no reason (other than due to death or Disability), then in each </w:t>
      </w:r>
    </w:p>
    <w:p>
      <w:pPr>
        <w:pStyle w:val="TextBody"/>
        <w:bidi w:val="0"/>
        <w:spacing w:before="0" w:after="18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47040"/>
                <wp:effectExtent l="0" t="0" r="0" b="0"/>
                <wp:wrapNone/>
                <wp:docPr id="106" name="Frame104"/>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such case, all of the Unvested Performance RSUs as of the date of termination shall terminate and be cancelled immediately and automatically and the Participant shall have no further rights with respect to such Unvested Performance RSUs.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(c)In the event of the Participant’s death prior to the end of the Performance Period, the Unvested Performance RSUs shall vest immediately upon death based on an attainment level equal to 100% for the Performance Period.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 xml:space="preserve">(d)In the event the Participant becomes </w:t>
      </w:r>
      <w:r>
        <w:rPr>
          <w:rFonts w:ascii="Times New Roman;sans-serif" w:hAnsi="Times New Roman;sans-serif"/>
          <w:b w:val="false"/>
          <w:color w:val="000000"/>
          <w:sz w:val="18"/>
          <w:u w:val="single"/>
        </w:rPr>
        <w:t>Disabled</w:t>
      </w:r>
      <w:r>
        <w:rPr>
          <w:color w:val="000000"/>
        </w:rPr>
        <w:t xml:space="preserve"> </w:t>
      </w:r>
      <w:r>
        <w:rPr>
          <w:rFonts w:ascii="Times New Roman;sans-serif" w:hAnsi="Times New Roman;sans-serif"/>
          <w:b w:val="false"/>
          <w:color w:val="000000"/>
          <w:sz w:val="18"/>
        </w:rPr>
        <w:t>prior to the end of the Performance Period, the Unvested Performance RSUs shall vest immediately as of the date the Participant is determined to be Disabled (regardless of whether the Participant terminates employment prior to the Vesting Date) based on an attainment level equal to 100% for the Performance Period.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shall have the meaning set forth in Section 409(a)(2)(C) of the Code.</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(e)For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(f)For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color w:val="000000"/>
          <w:sz w:val="18"/>
          <w:u w:val="single"/>
        </w:rPr>
        <w:t>Restrictions on Transfer</w:t>
      </w:r>
      <w:r>
        <w:rPr>
          <w:rFonts w:ascii="Times New Roman;sans-serif" w:hAnsi="Times New Roman;sans-serif"/>
          <w:b w:val="false"/>
          <w:color w:val="000000"/>
          <w:sz w:val="18"/>
        </w:rPr>
        <w:t>.</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 Participant shall not sell, assign, transfer, pledge or otherwise encumber any Performance RSUs, either voluntarily or by operation of law.</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color w:val="000000"/>
          <w:sz w:val="18"/>
          <w:u w:val="single"/>
        </w:rPr>
        <w:t>Not a Shareholder</w:t>
      </w:r>
      <w:r>
        <w:rPr>
          <w:rFonts w:ascii="Times New Roman;sans-serif" w:hAnsi="Times New Roman;sans-serif"/>
          <w:b w:val="false"/>
          <w:color w:val="000000"/>
          <w:sz w:val="18"/>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color w:val="000000"/>
          <w:sz w:val="18"/>
          <w:u w:val="single"/>
        </w:rPr>
        <w:t>Provisions of the Plan</w:t>
      </w:r>
      <w:r>
        <w:rPr>
          <w:rFonts w:ascii="Times New Roman;sans-serif" w:hAnsi="Times New Roman;sans-serif"/>
          <w:b w:val="false"/>
          <w:color w:val="000000"/>
          <w:sz w:val="18"/>
        </w:rPr>
        <w:t xml:space="preserve">. The Performance RSUs and Shares, including the grant and issuance thereof, are subject to the provisions of the Plan. A copy of the Plan prospectus is available on the Company’s Intranet at </w:t>
      </w:r>
      <w:r>
        <w:rPr>
          <w:rFonts w:ascii="Times New Roman;sans-serif" w:hAnsi="Times New Roman;sans-serif"/>
          <w:b w:val="false"/>
          <w:color w:val="0000FF"/>
          <w:sz w:val="18"/>
          <w:u w:val="single"/>
        </w:rPr>
        <w:t>https://thecircuit.web.analog.com/Pages/CircuitHome.aspx</w:t>
      </w:r>
      <w:r>
        <w:rPr>
          <w:rFonts w:ascii="Times New Roman;sans-serif" w:hAnsi="Times New Roman;sans-serif"/>
          <w:b w:val="false"/>
          <w:color w:val="000000"/>
          <w:sz w:val="18"/>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sans-serif" w:hAnsi="Times New Roman;sans-serif"/>
          <w:b w:val="false"/>
          <w:color w:val="0000FF"/>
          <w:sz w:val="18"/>
          <w:u w:val="single"/>
        </w:rPr>
        <w:t>Stock_Plan_Admin@Analog.com</w:t>
      </w:r>
      <w:r>
        <w:rPr>
          <w:rFonts w:ascii="Times New Roman;sans-serif" w:hAnsi="Times New Roman;sans-serif"/>
          <w:b w:val="false"/>
          <w:color w:val="000000"/>
          <w:sz w:val="18"/>
        </w:rPr>
        <w: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6.</w:t>
      </w:r>
      <w:r>
        <w:rPr>
          <w:rFonts w:ascii="Times New Roman;sans-serif" w:hAnsi="Times New Roman;sans-serif"/>
          <w:b w:val="false"/>
          <w:color w:val="000000"/>
          <w:sz w:val="18"/>
          <w:u w:val="single"/>
        </w:rPr>
        <w:t>Withholding Taxes</w:t>
      </w:r>
      <w:r>
        <w:rPr>
          <w:rFonts w:ascii="Times New Roman;sans-serif" w:hAnsi="Times New Roman;sans-serif"/>
          <w:b w:val="false"/>
          <w:color w:val="000000"/>
          <w:sz w:val="18"/>
        </w:rPr>
        <w:t>.</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w:t>
      </w:r>
    </w:p>
    <w:p>
      <w:pPr>
        <w:pStyle w:val="TextBody"/>
        <w:bidi w:val="0"/>
        <w:spacing w:before="0" w:after="18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47040"/>
                <wp:effectExtent l="0" t="0" r="0" b="0"/>
                <wp:wrapNone/>
                <wp:docPr id="107" name="Frame105"/>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(ii)the Company may, in its discretion, withhold any amount necessary to pay the Tax-Related Items from the Participant’s salary or other amounts payable to the Participant; or</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(iii)the Company may withhold from proceeds of the sale of Shares either through a voluntary sale or through a mandatory sale arranged by the Company</w:t>
      </w:r>
      <w:r>
        <w:rPr>
          <w:color w:val="000000"/>
        </w:rPr>
        <w:t xml:space="preserve"> </w:t>
      </w:r>
      <w:r>
        <w:rPr>
          <w:rFonts w:ascii="Times New Roman;sans-serif" w:hAnsi="Times New Roman;sans-serif"/>
          <w:b w:val="false"/>
          <w:color w:val="000000"/>
          <w:sz w:val="18"/>
        </w:rPr>
        <w:t>(on the Participant’s behalf pursuant to this authorization).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(iv)any other method determined by the Company, to the extent permitted under the Plan and applicable laws.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7.</w:t>
      </w:r>
      <w:r>
        <w:rPr>
          <w:rFonts w:ascii="Times New Roman;sans-serif" w:hAnsi="Times New Roman;sans-serif"/>
          <w:b w:val="false"/>
          <w:color w:val="000000"/>
          <w:sz w:val="18"/>
          <w:u w:val="single"/>
        </w:rPr>
        <w:t>Option of Company to Deliver Cash</w:t>
      </w:r>
      <w:r>
        <w:rPr>
          <w:rFonts w:ascii="Times New Roman;sans-serif" w:hAnsi="Times New Roman;sans-serif"/>
          <w:b w:val="false"/>
          <w:color w:val="000000"/>
          <w:sz w:val="18"/>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pStyle w:val="TextBody"/>
        <w:bidi w:val="0"/>
        <w:spacing w:before="0" w:after="18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47040"/>
                <wp:effectExtent l="0" t="0" r="0" b="0"/>
                <wp:wrapNone/>
                <wp:docPr id="108" name="Frame106"/>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8.</w:t>
      </w:r>
      <w:r>
        <w:rPr>
          <w:rFonts w:ascii="Times New Roman;sans-serif" w:hAnsi="Times New Roman;sans-serif"/>
          <w:b w:val="false"/>
          <w:color w:val="000000"/>
          <w:sz w:val="18"/>
          <w:u w:val="single"/>
        </w:rPr>
        <w:t>Repatriation and Other Legal Requirements</w:t>
      </w:r>
      <w:r>
        <w:rPr>
          <w:rFonts w:ascii="Times New Roman;sans-serif" w:hAnsi="Times New Roman;sans-serif"/>
          <w:b w:val="false"/>
          <w:color w:val="000000"/>
          <w:sz w:val="18"/>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9.</w:t>
      </w:r>
      <w:r>
        <w:rPr>
          <w:rFonts w:ascii="Times New Roman;sans-serif" w:hAnsi="Times New Roman;sans-serif"/>
          <w:b w:val="false"/>
          <w:color w:val="000000"/>
          <w:sz w:val="18"/>
          <w:u w:val="single"/>
        </w:rPr>
        <w:t>Miscellaneous</w:t>
      </w:r>
      <w:r>
        <w:rPr>
          <w:rFonts w:ascii="Times New Roman;sans-serif" w:hAnsi="Times New Roman;sans-serif"/>
          <w:b w:val="false"/>
          <w:color w:val="000000"/>
          <w:sz w:val="18"/>
        </w:rPr>
        <w: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(a)</w:t>
      </w:r>
      <w:r>
        <w:rPr>
          <w:rFonts w:ascii="Times New Roman;sans-serif" w:hAnsi="Times New Roman;sans-serif"/>
          <w:b w:val="false"/>
          <w:color w:val="000000"/>
          <w:sz w:val="18"/>
          <w:u w:val="single"/>
        </w:rPr>
        <w:t>No Rights to Employment</w:t>
      </w:r>
      <w:r>
        <w:rPr>
          <w:rFonts w:ascii="Times New Roman;sans-serif" w:hAnsi="Times New Roman;sans-serif"/>
          <w:b w:val="false"/>
          <w:color w:val="000000"/>
          <w:sz w:val="18"/>
        </w:rPr>
        <w:t xml:space="preserve">.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(b)</w:t>
      </w:r>
      <w:r>
        <w:rPr>
          <w:rFonts w:ascii="Times New Roman;sans-serif" w:hAnsi="Times New Roman;sans-serif"/>
          <w:b w:val="false"/>
          <w:color w:val="000000"/>
          <w:sz w:val="18"/>
          <w:u w:val="single"/>
        </w:rPr>
        <w:t>Discretionary Nature</w:t>
      </w:r>
      <w:r>
        <w:rPr>
          <w:rFonts w:ascii="Times New Roman;sans-serif" w:hAnsi="Times New Roman;sans-serif"/>
          <w:b w:val="false"/>
          <w:color w:val="000000"/>
          <w:sz w:val="18"/>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(c)</w:t>
      </w:r>
      <w:r>
        <w:rPr>
          <w:rFonts w:ascii="Times New Roman;sans-serif" w:hAnsi="Times New Roman;sans-serif"/>
          <w:b w:val="false"/>
          <w:color w:val="000000"/>
          <w:sz w:val="18"/>
          <w:u w:val="single"/>
        </w:rPr>
        <w:t>Exclusion from Termination Indemnities and Other Benefits</w:t>
      </w:r>
      <w:r>
        <w:rPr>
          <w:rFonts w:ascii="Times New Roman;sans-serif" w:hAnsi="Times New Roman;sans-serif"/>
          <w:b w:val="false"/>
          <w:color w:val="000000"/>
          <w:sz w:val="18"/>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(d)</w:t>
      </w:r>
      <w:r>
        <w:rPr>
          <w:rFonts w:ascii="Times New Roman;sans-serif" w:hAnsi="Times New Roman;sans-serif"/>
          <w:b w:val="false"/>
          <w:color w:val="000000"/>
          <w:sz w:val="18"/>
          <w:u w:val="single"/>
        </w:rPr>
        <w:t>No Entitlement</w:t>
      </w:r>
      <w:r>
        <w:rPr>
          <w:rFonts w:ascii="Times New Roman;sans-serif" w:hAnsi="Times New Roman;sans-serif"/>
          <w:b w:val="false"/>
          <w:color w:val="000000"/>
          <w:sz w:val="18"/>
        </w:rPr>
        <w:t>. This Section 9(d) applies if the Participant resides outside the U.S. and/or the Company is not the Participant's employer: In consideration of the grant of Performance RSUs,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9(n) hereof.</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(e)</w:t>
      </w:r>
      <w:r>
        <w:rPr>
          <w:rFonts w:ascii="Times New Roman;sans-serif" w:hAnsi="Times New Roman;sans-serif"/>
          <w:b w:val="false"/>
          <w:color w:val="000000"/>
          <w:sz w:val="18"/>
          <w:u w:val="single"/>
        </w:rPr>
        <w:t>Exchange Rates</w:t>
      </w:r>
      <w:r>
        <w:rPr>
          <w:rFonts w:ascii="Times New Roman;sans-serif" w:hAnsi="Times New Roman;sans-serif"/>
          <w:b w:val="false"/>
          <w:color w:val="000000"/>
          <w:sz w:val="18"/>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(f)</w:t>
      </w:r>
      <w:r>
        <w:rPr>
          <w:rFonts w:ascii="Times New Roman;sans-serif" w:hAnsi="Times New Roman;sans-serif"/>
          <w:b w:val="false"/>
          <w:color w:val="000000"/>
          <w:sz w:val="18"/>
          <w:u w:val="single"/>
        </w:rPr>
        <w:t>Future Value of Shares</w:t>
      </w:r>
      <w:r>
        <w:rPr>
          <w:rFonts w:ascii="Times New Roman;sans-serif" w:hAnsi="Times New Roman;sans-serif"/>
          <w:b w:val="false"/>
          <w:color w:val="000000"/>
          <w:sz w:val="18"/>
        </w:rPr>
        <w:t>. The future value of the underlying Shares is unknown, indeterminable, and cannot be predicted with certainty.</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(g)</w:t>
      </w:r>
      <w:r>
        <w:rPr>
          <w:rFonts w:ascii="Times New Roman;sans-serif" w:hAnsi="Times New Roman;sans-serif"/>
          <w:b w:val="false"/>
          <w:color w:val="000000"/>
          <w:sz w:val="18"/>
          <w:u w:val="single"/>
        </w:rPr>
        <w:t>Severability</w:t>
      </w:r>
      <w:r>
        <w:rPr>
          <w:rFonts w:ascii="Times New Roman;sans-serif" w:hAnsi="Times New Roman;sans-serif"/>
          <w:b w:val="false"/>
          <w:color w:val="000000"/>
          <w:sz w:val="18"/>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(h)</w:t>
      </w:r>
      <w:r>
        <w:rPr>
          <w:rFonts w:ascii="Times New Roman;sans-serif" w:hAnsi="Times New Roman;sans-serif"/>
          <w:b w:val="false"/>
          <w:color w:val="000000"/>
          <w:sz w:val="18"/>
          <w:u w:val="single"/>
        </w:rPr>
        <w:t>Binding Effect</w:t>
      </w:r>
      <w:r>
        <w:rPr>
          <w:rFonts w:ascii="Times New Roman;sans-serif" w:hAnsi="Times New Roman;sans-serif"/>
          <w:b w:val="false"/>
          <w:color w:val="000000"/>
          <w:sz w:val="18"/>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pStyle w:val="TextBody"/>
        <w:bidi w:val="0"/>
        <w:spacing w:before="0" w:after="18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47040"/>
                <wp:effectExtent l="0" t="0" r="0" b="0"/>
                <wp:wrapNone/>
                <wp:docPr id="109" name="Frame107"/>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(i)</w:t>
      </w:r>
      <w:r>
        <w:rPr>
          <w:rFonts w:ascii="Times New Roman;sans-serif" w:hAnsi="Times New Roman;sans-serif"/>
          <w:b w:val="false"/>
          <w:color w:val="000000"/>
          <w:sz w:val="18"/>
          <w:u w:val="single"/>
        </w:rPr>
        <w:t>Notice</w:t>
      </w:r>
      <w:r>
        <w:rPr>
          <w:rFonts w:ascii="Times New Roman;sans-serif" w:hAnsi="Times New Roman;sans-serif"/>
          <w:b w:val="false"/>
          <w:color w:val="000000"/>
          <w:sz w:val="18"/>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(j)</w:t>
      </w:r>
      <w:r>
        <w:rPr>
          <w:rFonts w:ascii="Times New Roman;sans-serif" w:hAnsi="Times New Roman;sans-serif"/>
          <w:b w:val="false"/>
          <w:color w:val="000000"/>
          <w:sz w:val="18"/>
          <w:u w:val="single"/>
        </w:rPr>
        <w:t>Pronouns</w:t>
      </w:r>
      <w:r>
        <w:rPr>
          <w:rFonts w:ascii="Times New Roman;sans-serif" w:hAnsi="Times New Roman;sans-serif"/>
          <w:b w:val="false"/>
          <w:color w:val="000000"/>
          <w:sz w:val="18"/>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(k)</w:t>
      </w:r>
      <w:r>
        <w:rPr>
          <w:rFonts w:ascii="Times New Roman;sans-serif" w:hAnsi="Times New Roman;sans-serif"/>
          <w:b w:val="false"/>
          <w:color w:val="000000"/>
          <w:sz w:val="18"/>
          <w:u w:val="single"/>
        </w:rPr>
        <w:t>Entire Agreement</w:t>
      </w:r>
      <w:r>
        <w:rPr>
          <w:rFonts w:ascii="Times New Roman;sans-serif" w:hAnsi="Times New Roman;sans-serif"/>
          <w:b w:val="false"/>
          <w:color w:val="000000"/>
          <w:sz w:val="18"/>
        </w:rPr>
        <w:t>. This Agreement and the Plan constitute the entire understanding between the parties, and supersede all prior agreements and understandings, relating to the subject matter of these documents.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(l)</w:t>
      </w:r>
      <w:r>
        <w:rPr>
          <w:rFonts w:ascii="Times New Roman;sans-serif" w:hAnsi="Times New Roman;sans-serif"/>
          <w:b w:val="false"/>
          <w:color w:val="000000"/>
          <w:sz w:val="18"/>
          <w:u w:val="single"/>
        </w:rPr>
        <w:t>Governing Law</w:t>
      </w:r>
      <w:r>
        <w:rPr>
          <w:rFonts w:ascii="Times New Roman;sans-serif" w:hAnsi="Times New Roman;sans-serif"/>
          <w:b w:val="false"/>
          <w:color w:val="000000"/>
          <w:sz w:val="18"/>
        </w:rPr>
        <w:t xml:space="preserve">. This Agreement shall be construed, interpreted and enforced in accordance with the internal laws of the Commonwealth of Massachusetts without regard to any applicable conflicts of laws.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(m)</w:t>
      </w:r>
      <w:r>
        <w:rPr>
          <w:rFonts w:ascii="Times New Roman;sans-serif" w:hAnsi="Times New Roman;sans-serif"/>
          <w:b w:val="false"/>
          <w:color w:val="000000"/>
          <w:sz w:val="18"/>
          <w:u w:val="single"/>
        </w:rPr>
        <w:t>Compliance with Laws</w:t>
      </w:r>
      <w:r>
        <w:rPr>
          <w:rFonts w:ascii="Times New Roman;sans-serif" w:hAnsi="Times New Roman;sans-serif"/>
          <w:b w:val="false"/>
          <w:color w:val="000000"/>
          <w:sz w:val="18"/>
        </w:rPr>
        <w:t xml:space="preserve">.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(n)</w:t>
      </w:r>
      <w:r>
        <w:rPr>
          <w:rFonts w:ascii="Times New Roman;sans-serif" w:hAnsi="Times New Roman;sans-serif"/>
          <w:b w:val="false"/>
          <w:color w:val="000000"/>
          <w:sz w:val="18"/>
          <w:u w:val="single"/>
        </w:rPr>
        <w:t>Clawback/Recoupment</w:t>
      </w:r>
      <w:r>
        <w:rPr>
          <w:rFonts w:ascii="Times New Roman;sans-serif" w:hAnsi="Times New Roman;sans-serif"/>
          <w:b w:val="false"/>
          <w:color w:val="000000"/>
          <w:sz w:val="18"/>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the Clawback Policy.</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(o)</w:t>
      </w:r>
      <w:r>
        <w:rPr>
          <w:rFonts w:ascii="Times New Roman;sans-serif" w:hAnsi="Times New Roman;sans-serif"/>
          <w:b w:val="false"/>
          <w:color w:val="000000"/>
          <w:sz w:val="18"/>
          <w:u w:val="single"/>
        </w:rPr>
        <w:t>Interpretation</w:t>
      </w:r>
      <w:r>
        <w:rPr>
          <w:rFonts w:ascii="Times New Roman;sans-serif" w:hAnsi="Times New Roman;sans-serif"/>
          <w:b w:val="false"/>
          <w:color w:val="000000"/>
          <w:sz w:val="18"/>
        </w:rPr>
        <w:t>. The interpretation and construction of any terms or conditions of this Agreement or the Plan, or other matters related to the Plan, by the Compensation Committee of the Board shall be final and conclusive.</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(p)</w:t>
      </w:r>
      <w:r>
        <w:rPr>
          <w:rFonts w:ascii="Times New Roman;sans-serif" w:hAnsi="Times New Roman;sans-serif"/>
          <w:b w:val="false"/>
          <w:color w:val="000000"/>
          <w:sz w:val="18"/>
          <w:u w:val="single"/>
        </w:rPr>
        <w:t>Participant’s Acceptance</w:t>
      </w:r>
      <w:r>
        <w:rPr>
          <w:rFonts w:ascii="Times New Roman;sans-serif" w:hAnsi="Times New Roman;sans-serif"/>
          <w:b w:val="false"/>
          <w:color w:val="000000"/>
          <w:sz w:val="18"/>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(q)</w:t>
      </w:r>
      <w:r>
        <w:rPr>
          <w:rFonts w:ascii="Times New Roman;sans-serif" w:hAnsi="Times New Roman;sans-serif"/>
          <w:b w:val="false"/>
          <w:color w:val="000000"/>
          <w:sz w:val="18"/>
          <w:u w:val="single"/>
        </w:rPr>
        <w:t>Electronic Delivery</w:t>
      </w:r>
      <w:r>
        <w:rPr>
          <w:rFonts w:ascii="Times New Roman;sans-serif" w:hAnsi="Times New Roman;sans-serif"/>
          <w:b w:val="false"/>
          <w:color w:val="000000"/>
          <w:sz w:val="18"/>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160"/>
        <w:ind w:left="0" w:right="0" w:hanging="360"/>
        <w:jc w:val="both"/>
        <w:rPr/>
      </w:pPr>
      <w:r>
        <w:rPr>
          <w:rFonts w:ascii="Times New Roman;sans-serif" w:hAnsi="Times New Roman;sans-serif"/>
          <w:b w:val="false"/>
          <w:color w:val="000000"/>
          <w:sz w:val="18"/>
        </w:rPr>
        <w:t>(r)</w:t>
      </w:r>
      <w:r>
        <w:rPr>
          <w:rFonts w:ascii="Times New Roman;sans-serif" w:hAnsi="Times New Roman;sans-serif"/>
          <w:b w:val="false"/>
          <w:color w:val="000000"/>
          <w:sz w:val="18"/>
          <w:u w:val="single"/>
        </w:rPr>
        <w:t>English Language</w:t>
      </w:r>
      <w:r>
        <w:rPr>
          <w:rFonts w:ascii="Times New Roman;sans-serif" w:hAnsi="Times New Roman;sans-serif"/>
          <w:b w:val="false"/>
          <w:color w:val="000000"/>
          <w:sz w:val="18"/>
        </w:rPr>
        <w:t xml:space="preserve">. The Participant acknowledges and agrees that it is the Participant’s express intent that this Agreement, the Plan and all other documents, notices and legal proceedings entered into, given or instituted pursuant to the Performance RSUs, </w:t>
      </w:r>
    </w:p>
    <w:p>
      <w:pPr>
        <w:pStyle w:val="TextBody"/>
        <w:bidi w:val="0"/>
        <w:spacing w:before="0" w:after="18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47040"/>
                <wp:effectExtent l="0" t="0" r="0" b="0"/>
                <wp:wrapNone/>
                <wp:docPr id="110" name="Frame108"/>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 unless otherwise required by applicable laws.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(s)</w:t>
      </w:r>
      <w:r>
        <w:rPr>
          <w:rFonts w:ascii="Times New Roman;sans-serif" w:hAnsi="Times New Roman;sans-serif"/>
          <w:b w:val="false"/>
          <w:color w:val="000000"/>
          <w:sz w:val="18"/>
          <w:u w:val="single"/>
        </w:rPr>
        <w:t>Appendix B</w:t>
      </w:r>
      <w:r>
        <w:rPr>
          <w:rFonts w:ascii="Times New Roman;sans-serif" w:hAnsi="Times New Roman;sans-serif"/>
          <w:b w:val="false"/>
          <w:color w:val="000000"/>
          <w:sz w:val="18"/>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(t)</w:t>
      </w:r>
      <w:r>
        <w:rPr>
          <w:rFonts w:ascii="Times New Roman;sans-serif" w:hAnsi="Times New Roman;sans-serif"/>
          <w:b w:val="false"/>
          <w:color w:val="000000"/>
          <w:sz w:val="18"/>
          <w:u w:val="single"/>
        </w:rPr>
        <w:t>Additional Requirements</w:t>
      </w:r>
      <w:r>
        <w:rPr>
          <w:rFonts w:ascii="Times New Roman;sans-serif" w:hAnsi="Times New Roman;sans-serif"/>
          <w:b w:val="false"/>
          <w:color w:val="000000"/>
          <w:sz w:val="18"/>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(u)</w:t>
      </w:r>
      <w:r>
        <w:rPr>
          <w:rFonts w:ascii="Times New Roman;sans-serif" w:hAnsi="Times New Roman;sans-serif"/>
          <w:b w:val="false"/>
          <w:color w:val="000000"/>
          <w:sz w:val="18"/>
          <w:u w:val="single"/>
        </w:rPr>
        <w:t>Private Placement</w:t>
      </w:r>
      <w:r>
        <w:rPr>
          <w:rFonts w:ascii="Times New Roman;sans-serif" w:hAnsi="Times New Roman;sans-serif"/>
          <w:b w:val="false"/>
          <w:color w:val="000000"/>
          <w:sz w:val="18"/>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(v)</w:t>
      </w:r>
      <w:r>
        <w:rPr>
          <w:rFonts w:ascii="Times New Roman;sans-serif" w:hAnsi="Times New Roman;sans-serif"/>
          <w:b w:val="false"/>
          <w:color w:val="000000"/>
          <w:sz w:val="18"/>
          <w:u w:val="single"/>
        </w:rPr>
        <w:t>Changes in Capitalization</w:t>
      </w:r>
      <w:r>
        <w:rPr>
          <w:rFonts w:ascii="Times New Roman;sans-serif" w:hAnsi="Times New Roman;sans-serif"/>
          <w:b w:val="false"/>
          <w:color w:val="000000"/>
          <w:sz w:val="18"/>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 of the Board.</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(w)</w:t>
      </w:r>
      <w:r>
        <w:rPr>
          <w:rFonts w:ascii="Times New Roman;sans-serif" w:hAnsi="Times New Roman;sans-serif"/>
          <w:b w:val="false"/>
          <w:color w:val="000000"/>
          <w:sz w:val="18"/>
          <w:u w:val="single"/>
        </w:rPr>
        <w:t>No Advice Regarding Grant</w:t>
      </w:r>
      <w:r>
        <w:rPr>
          <w:rFonts w:ascii="Times New Roman;sans-serif" w:hAnsi="Times New Roman;sans-serif"/>
          <w:b w:val="false"/>
          <w:color w:val="000000"/>
          <w:sz w:val="18"/>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(x)</w:t>
      </w:r>
      <w:r>
        <w:rPr>
          <w:rFonts w:ascii="Times New Roman;sans-serif" w:hAnsi="Times New Roman;sans-serif"/>
          <w:b w:val="false"/>
          <w:color w:val="000000"/>
          <w:sz w:val="18"/>
          <w:u w:val="single"/>
        </w:rPr>
        <w:t>Insider Trading Restrictions/Market Abuse Laws</w:t>
      </w:r>
      <w:r>
        <w:rPr>
          <w:rFonts w:ascii="Times New Roman;sans-serif" w:hAnsi="Times New Roman;sans-serif"/>
          <w:b w:val="false"/>
          <w:color w:val="000000"/>
          <w:sz w:val="18"/>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sans-serif" w:hAnsi="Times New Roman;sans-serif"/>
          <w:b w:val="false"/>
          <w:i/>
          <w:color w:val="000000"/>
          <w:sz w:val="18"/>
        </w:rPr>
        <w:t>e.g.</w:t>
      </w:r>
      <w:r>
        <w:rPr>
          <w:rFonts w:ascii="Times New Roman;sans-serif" w:hAnsi="Times New Roman;sans-serif"/>
          <w:b w:val="false"/>
          <w:color w:val="000000"/>
          <w:sz w:val="18"/>
        </w:rPr>
        <w:t>, Performance RSUs), or rights linked to the value of Common Stock (</w:t>
      </w:r>
      <w:r>
        <w:rPr>
          <w:rFonts w:ascii="Times New Roman;sans-serif" w:hAnsi="Times New Roman;sans-serif"/>
          <w:b w:val="false"/>
          <w:i/>
          <w:color w:val="000000"/>
          <w:sz w:val="18"/>
        </w:rPr>
        <w:t>e.g.</w:t>
      </w:r>
      <w:r>
        <w:rPr>
          <w:rFonts w:ascii="Times New Roman;sans-serif" w:hAnsi="Times New Roman;sans-serif"/>
          <w:b w:val="false"/>
          <w:color w:val="000000"/>
          <w:sz w:val="18"/>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(y)</w:t>
      </w:r>
      <w:r>
        <w:rPr>
          <w:rFonts w:ascii="Times New Roman;sans-serif" w:hAnsi="Times New Roman;sans-serif"/>
          <w:b w:val="false"/>
          <w:color w:val="000000"/>
          <w:sz w:val="18"/>
          <w:u w:val="single"/>
        </w:rPr>
        <w:t>Foreign Asset/Account, Exchange Control, and Tax Reporting</w:t>
      </w:r>
      <w:r>
        <w:rPr>
          <w:rFonts w:ascii="Times New Roman;sans-serif" w:hAnsi="Times New Roman;sans-serif"/>
          <w:b w:val="false"/>
          <w:color w:val="000000"/>
          <w:sz w:val="18"/>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(z)</w:t>
      </w:r>
      <w:r>
        <w:rPr>
          <w:rFonts w:ascii="Times New Roman;sans-serif" w:hAnsi="Times New Roman;sans-serif"/>
          <w:b w:val="false"/>
          <w:color w:val="000000"/>
          <w:sz w:val="18"/>
          <w:u w:val="single"/>
        </w:rPr>
        <w:t>Waiver</w:t>
      </w:r>
      <w:r>
        <w:rPr>
          <w:rFonts w:ascii="Times New Roman;sans-serif" w:hAnsi="Times New Roman;sans-serif"/>
          <w:b w:val="false"/>
          <w:color w:val="000000"/>
          <w:sz w:val="18"/>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(aa)</w:t>
      </w:r>
      <w:r>
        <w:rPr>
          <w:rFonts w:ascii="Times New Roman;sans-serif" w:hAnsi="Times New Roman;sans-serif"/>
          <w:b w:val="false"/>
          <w:color w:val="000000"/>
          <w:sz w:val="18"/>
          <w:u w:val="single"/>
        </w:rPr>
        <w:t>Section 409A</w:t>
      </w:r>
      <w:r>
        <w:rPr>
          <w:rFonts w:ascii="Times New Roman;sans-serif" w:hAnsi="Times New Roman;sans-serif"/>
          <w:b w:val="false"/>
          <w:color w:val="000000"/>
          <w:sz w:val="18"/>
        </w:rPr>
        <w:t xml:space="preserve">. The parties intend that this Agreement and the benefits provided hereunder be exempt from the requirements of Section 409A to the maximum extent possible, whether pursuant to the short-term deferral exception described in Treasury </w:t>
      </w:r>
    </w:p>
    <w:p>
      <w:pPr>
        <w:pStyle w:val="TextBody"/>
        <w:bidi w:val="0"/>
        <w:spacing w:before="0" w:after="18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47040"/>
                <wp:effectExtent l="0" t="0" r="0" b="0"/>
                <wp:wrapNone/>
                <wp:docPr id="111" name="Frame109"/>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w:t>
      </w:r>
    </w:p>
    <w:tbl>
      <w:tblPr>
        <w:tblW w:w="2819" w:type="dxa"/>
        <w:jc w:val="left"/>
        <w:tblInd w:w="0" w:type="dxa"/>
        <w:tblLayout w:type="fixed"/>
        <w:tblCellMar>
          <w:top w:w="28" w:type="dxa"/>
          <w:left w:w="28" w:type="dxa"/>
          <w:bottom w:w="28" w:type="dxa"/>
          <w:right w:w="28" w:type="dxa"/>
        </w:tblCellMar>
      </w:tblPr>
      <w:tblGrid>
        <w:gridCol w:w="136"/>
        <w:gridCol w:w="119"/>
        <w:gridCol w:w="119"/>
        <w:gridCol w:w="716"/>
        <w:gridCol w:w="716"/>
        <w:gridCol w:w="10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Vincent Roche</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Vincent Roche</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319"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&amp; Chair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47040"/>
                <wp:effectExtent l="0" t="0" r="0" b="0"/>
                <wp:wrapNone/>
                <wp:docPr id="112" name="Frame110"/>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A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0"/>
        <w:jc w:val="center"/>
        <w:rPr/>
      </w:pPr>
      <w:r>
        <w:rPr/>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color w:val="000000"/>
          <w:sz w:val="18"/>
          <w:u w:val="single"/>
        </w:rPr>
        <w:t>Performance Period</w:t>
      </w:r>
      <w:r>
        <w:rPr>
          <w:rFonts w:ascii="Times New Roman;sans-serif" w:hAnsi="Times New Roman;sans-serif"/>
          <w:b w:val="false"/>
          <w:color w:val="000000"/>
          <w:sz w:val="18"/>
        </w:rPr>
        <w:t xml:space="preserve">. The three-year period beginning on the first day of the fourth quarter of the Company’s fiscal year 2024 and ending on the last day of the third quarter of the Company’s fiscal year 2027 (the “Performance Period”).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color w:val="000000"/>
          <w:sz w:val="18"/>
          <w:u w:val="single"/>
        </w:rPr>
        <w:t>Vesting Date</w:t>
      </w:r>
      <w:r>
        <w:rPr>
          <w:rFonts w:ascii="Times New Roman;sans-serif" w:hAnsi="Times New Roman;sans-serif"/>
          <w:b w:val="false"/>
          <w:color w:val="000000"/>
          <w:sz w:val="18"/>
        </w:rPr>
        <w:t>. Cliff Vesting Date.</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color w:val="000000"/>
          <w:sz w:val="18"/>
          <w:u w:val="single"/>
        </w:rPr>
        <w:t>Determination Date</w:t>
      </w:r>
      <w:r>
        <w:rPr>
          <w:rFonts w:ascii="Times New Roman;sans-serif" w:hAnsi="Times New Roman;sans-serif"/>
          <w:b w:val="false"/>
          <w:color w:val="000000"/>
          <w:sz w:val="18"/>
        </w:rPr>
        <w:t xml:space="preserve">: The date the Compensation Committee of the Board determines the level of attainment of the Operating Profit Goals for the Performance Period, which date shall be as soon as practicable following the last day of the Performance Period. </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 and the attainment of the Minimum Profit Margin described in Section 4 below, provided the Participant continues to provide services to the Company or the Employer, or their respective successors, through the Vesting Date.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color w:val="000000"/>
          <w:sz w:val="18"/>
          <w:u w:val="single"/>
        </w:rPr>
        <w:t>Performance Parameter</w:t>
      </w:r>
      <w:r>
        <w:rPr>
          <w:rFonts w:ascii="Times New Roman;sans-serif" w:hAnsi="Times New Roman;sans-serif"/>
          <w:b w:val="false"/>
          <w:color w:val="000000"/>
          <w:sz w:val="18"/>
        </w:rPr>
        <w:t>. The Performance Parameter is based on the attainment of the Operating Profit Goals established for the Performance Period and the Minimum Profit Margin for the Performance Period. The attainment level, ranging from 0% to 200%, of the Operating Profit Goal applicable to the Performance Period shall be measured on the Determination Date. For the avoidance of doubt, a 0% attainment level shall be applied to the Performance Period if the Minimum Profit Margin with respect to the Performance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(a)</w:t>
      </w:r>
      <w:r>
        <w:rPr>
          <w:color w:val="000000"/>
        </w:rPr>
        <w:t>“</w:t>
      </w:r>
      <w:r>
        <w:rPr>
          <w:rFonts w:ascii="Times New Roman;sans-serif" w:hAnsi="Times New Roman;sans-serif"/>
          <w:b w:val="false"/>
          <w:color w:val="000000"/>
          <w:sz w:val="18"/>
        </w:rPr>
        <w:t>Operating Profit Goal” shall mean the goal related to Non-GAAP Operating Profit Before Taxes for the Performance Period approved by the Compensation Committee of the Board in connection with the grant of the Award.</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(b)</w:t>
      </w:r>
      <w:r>
        <w:rPr>
          <w:color w:val="000000"/>
        </w:rPr>
        <w:t>“</w:t>
      </w:r>
      <w:r>
        <w:rPr>
          <w:rFonts w:ascii="Times New Roman;sans-serif" w:hAnsi="Times New Roman;sans-serif"/>
          <w:b w:val="false"/>
          <w:color w:val="000000"/>
          <w:sz w:val="18"/>
        </w:rPr>
        <w:t>Minimum Profit Margin” means the minimum Profit Margin, as approved by the Compensation Committee of the Board in connection with the grant of the Award, that shall apply to the total Performance Period as a condition to recognizing and applying the attainment level of the Operating Profit Goal for the Performance Period. “Profit Margin” means the quotient obtained by dividing Non-GAAP Operating Profit Before Taxes by Revenue for the Performance Period.</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(c)</w:t>
      </w:r>
      <w:r>
        <w:rPr>
          <w:color w:val="000000"/>
        </w:rPr>
        <w:t>“</w:t>
      </w:r>
      <w:r>
        <w:rPr>
          <w:rFonts w:ascii="Times New Roman;sans-serif" w:hAnsi="Times New Roman;sans-serif"/>
          <w:b w:val="false"/>
          <w:color w:val="000000"/>
          <w:sz w:val="18"/>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(d)</w:t>
      </w:r>
      <w:r>
        <w:rPr>
          <w:color w:val="000000"/>
        </w:rPr>
        <w:t>“</w:t>
      </w:r>
      <w:r>
        <w:rPr>
          <w:rFonts w:ascii="Times New Roman;sans-serif" w:hAnsi="Times New Roman;sans-serif"/>
          <w:b w:val="false"/>
          <w:color w:val="000000"/>
          <w:sz w:val="18"/>
        </w:rPr>
        <w:t>Revenue” means non-GAAP Revenue, as reported by the Company in its earnings press release furnished to the U.S. Securities and Exchange Commission, which shall be determined in accordance with GAAP and disclosed non-GAAP adjustments.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(i)items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(ii)items relating to unusual or extraordinary corporate transactions, events or developments, or</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(iii)items relating to gains or losses for material litigation, arbitration and contractual settlements.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Examples illustrating the application of the Performance Parameters are set forth below, providing that the Minimum Profit Margin is met for the Performance Period:</w:t>
      </w:r>
    </w:p>
    <w:p>
      <w:pPr>
        <w:pStyle w:val="TextBody"/>
        <w:bidi w:val="0"/>
        <w:spacing w:before="0" w:after="18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47040"/>
                <wp:effectExtent l="0" t="0" r="0" b="0"/>
                <wp:wrapNone/>
                <wp:docPr id="113" name="Frame111"/>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A - 1</w:t>
                            </w:r>
                            <w:r>
                              <w:br w:type="page"/>
                            </w:r>
                          </w:p>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A - 1</w:t>
                      </w:r>
                    </w:p>
                    <w:p>
                      <w:pPr>
                        <w:pStyle w:val="TextBody"/>
                        <w:bidi w:val="0"/>
                        <w:spacing w:before="0" w:after="18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6"/>
        <w:gridCol w:w="330"/>
        <w:gridCol w:w="333"/>
        <w:gridCol w:w="726"/>
        <w:gridCol w:w="726"/>
        <w:gridCol w:w="728"/>
        <w:gridCol w:w="2060"/>
        <w:gridCol w:w="2028"/>
        <w:gridCol w:w="2898"/>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op w:val="single" w:sz="4" w:space="0" w:color="000000"/>
              <w:left w:val="single" w:sz="4" w:space="0" w:color="000000"/>
            </w:tcBorders>
            <w:shd w:fill="C6D9F0" w:val="clear"/>
            <w:tcMar>
              <w:top w:w="3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Payout Percent</w:t>
            </w:r>
          </w:p>
        </w:tc>
        <w:tc>
          <w:tcPr>
            <w:tcW w:w="2180" w:type="dxa"/>
            <w:gridSpan w:val="3"/>
            <w:tcBorders>
              <w:top w:val="single" w:sz="4" w:space="0" w:color="000000"/>
              <w:left w:val="single" w:sz="4" w:space="0" w:color="000000"/>
            </w:tcBorders>
            <w:shd w:fill="C6D9F0" w:val="clear"/>
            <w:tcMar>
              <w:top w:w="3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Number of Potential Shares Attained</w:t>
            </w:r>
          </w:p>
        </w:tc>
        <w:tc>
          <w:tcPr>
            <w:tcW w:w="6986" w:type="dxa"/>
            <w:gridSpan w:val="3"/>
            <w:tcBorders>
              <w:top w:val="single" w:sz="4" w:space="0" w:color="000000"/>
              <w:left w:val="single" w:sz="4" w:space="0" w:color="000000"/>
              <w:right w:val="single" w:sz="4" w:space="0" w:color="000000"/>
            </w:tcBorders>
            <w:shd w:fill="C6D9F0" w:val="clear"/>
            <w:tcMar>
              <w:top w:w="30" w:type="dxa"/>
              <w:bottom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 Parameters</w:t>
            </w:r>
          </w:p>
        </w:tc>
      </w:tr>
      <w:tr>
        <w:trPr/>
        <w:tc>
          <w:tcPr>
            <w:tcW w:w="1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2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69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Company Operating Profit Goal does not meet minimum threshold approved by the Compensation Committee of the Board</w:t>
            </w:r>
          </w:p>
        </w:tc>
      </w:tr>
      <w:tr>
        <w:trPr/>
        <w:tc>
          <w:tcPr>
            <w:tcW w:w="1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Number of Awards Granted</w:t>
            </w:r>
          </w:p>
        </w:tc>
        <w:tc>
          <w:tcPr>
            <w:tcW w:w="69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Company Operating Profit Goal meets target approved by Compensation Committee of the Board</w:t>
            </w:r>
          </w:p>
        </w:tc>
      </w:tr>
      <w:tr>
        <w:trPr/>
        <w:tc>
          <w:tcPr>
            <w:tcW w:w="1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21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Grant Custom 2</w:t>
            </w:r>
          </w:p>
        </w:tc>
        <w:tc>
          <w:tcPr>
            <w:tcW w:w="69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Company Operating Profit Goal meets or exceeds the maximum target approved by the Compensation Committee of the Board</w:t>
            </w:r>
          </w:p>
        </w:tc>
      </w:tr>
    </w:tbl>
    <w:p>
      <w:pPr>
        <w:pStyle w:val="TextBody"/>
        <w:bidi w:val="0"/>
        <w:spacing w:before="6" w:after="283"/>
        <w:jc w:val="both"/>
        <w:rPr/>
      </w:pPr>
      <w:r>
        <w:rPr/>
      </w:r>
    </w:p>
    <w:p>
      <w:pPr>
        <w:pStyle w:val="TextBody"/>
        <w:bidi w:val="0"/>
        <w:spacing w:before="6"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6600"/>
                <wp:effectExtent l="0" t="0" r="0" b="0"/>
                <wp:wrapNone/>
                <wp:docPr id="114" name="Frame112"/>
                <a:graphic xmlns:a="http://schemas.openxmlformats.org/drawingml/2006/main">
                  <a:graphicData uri="http://schemas.microsoft.com/office/word/2010/wordprocessingShape">
                    <wps:wsp>
                      <wps:cNvSpPr txBox="1"/>
                      <wps:spPr>
                        <a:xfrm>
                          <a:off x="0" y="0"/>
                          <a:ext cx="6480175" cy="73660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A - 2</w:t>
                            </w:r>
                            <w:r>
                              <w:br w:type="page"/>
                            </w:r>
                          </w:p>
                          <w:p>
                            <w:pPr>
                              <w:pStyle w:val="TextBody"/>
                              <w:bidi w:val="0"/>
                              <w:spacing w:before="0" w:after="180"/>
                              <w:jc w:val="center"/>
                              <w:rPr/>
                            </w:pPr>
                            <w:r>
                              <w:rPr/>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A - 2</w:t>
                      </w:r>
                    </w:p>
                    <w:p>
                      <w:pPr>
                        <w:pStyle w:val="TextBody"/>
                        <w:bidi w:val="0"/>
                        <w:spacing w:before="0" w:after="180"/>
                        <w:jc w:val="center"/>
                        <w:rPr/>
                      </w:pPr>
                      <w:r>
                        <w:rPr/>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This Appendix B also includes certain issues of which the Participant should be aware with respect to his or her participation in the Plan. The information is based on the securities, exchange control, income tax and other laws in effect in the respective countries as of August 2024.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pStyle w:val="TextBody"/>
        <w:bidi w:val="0"/>
        <w:spacing w:before="6" w:after="283"/>
        <w:jc w:val="both"/>
        <w:rPr/>
      </w:pPr>
      <w:r>
        <w:rPr/>
      </w:r>
    </w:p>
    <w:p>
      <w:pPr>
        <w:pStyle w:val="TextBody"/>
        <w:bidi w:val="0"/>
        <w:spacing w:before="6" w:after="283"/>
        <w:jc w:val="both"/>
        <w:rPr/>
      </w:pPr>
      <w:r>
        <w:rPr/>
        <w:drawing>
          <wp:inline distT="0" distB="0" distL="0" distR="0">
            <wp:extent cx="14605" cy="19050"/>
            <wp:effectExtent l="0" t="0" r="0" b="0"/>
            <wp:docPr id="1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 descr=""/>
                    <pic:cNvPicPr>
                      <a:picLocks noChangeAspect="1" noChangeArrowheads="1"/>
                    </pic:cNvPicPr>
                  </pic:nvPicPr>
                  <pic:blipFill>
                    <a:blip r:embed="rId129"/>
                    <a:stretch>
                      <a:fillRect/>
                    </a:stretch>
                  </pic:blipFill>
                  <pic:spPr bwMode="auto">
                    <a:xfrm>
                      <a:off x="0" y="0"/>
                      <a:ext cx="14605" cy="19050"/>
                    </a:xfrm>
                    <a:prstGeom prst="rect">
                      <a:avLst/>
                    </a:prstGeom>
                  </pic:spPr>
                </pic:pic>
              </a:graphicData>
            </a:graphic>
          </wp:inline>
        </w:drawing>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TERMS AND CONDITIONS APPLICABLE TO PARTICIPANTS OUTSIDE THE U.S.</w:t>
      </w:r>
    </w:p>
    <w:p>
      <w:pPr>
        <w:pStyle w:val="TextBody"/>
        <w:bidi w:val="0"/>
        <w:spacing w:before="6" w:after="283"/>
        <w:jc w:val="both"/>
        <w:rPr/>
      </w:pPr>
      <w:r>
        <w:rPr/>
      </w:r>
    </w:p>
    <w:p>
      <w:pPr>
        <w:pStyle w:val="TextBody"/>
        <w:bidi w:val="0"/>
        <w:spacing w:lineRule="auto" w:line="288" w:before="0" w:after="180"/>
        <w:jc w:val="both"/>
        <w:rPr/>
      </w:pPr>
      <w:r>
        <w:rPr>
          <w:rFonts w:ascii="Times New Roman;sans-serif" w:hAnsi="Times New Roman;sans-serif"/>
          <w:b/>
          <w:i/>
          <w:color w:val="000000"/>
          <w:sz w:val="18"/>
          <w:u w:val="single"/>
        </w:rPr>
        <w:t>Data Privacy Information and Consent</w:t>
      </w:r>
      <w:r>
        <w:rPr>
          <w:rFonts w:ascii="Times New Roman;sans-serif" w:hAnsi="Times New Roman;sans-serif"/>
          <w:b/>
          <w:i/>
          <w:color w:val="000000"/>
          <w:sz w:val="18"/>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(a)</w:t>
      </w:r>
      <w:r>
        <w:rPr>
          <w:rFonts w:ascii="Times New Roman;sans-serif" w:hAnsi="Times New Roman;sans-serif"/>
          <w:b/>
          <w:i/>
          <w:color w:val="000000"/>
          <w:sz w:val="18"/>
          <w:u w:val="single"/>
        </w:rPr>
        <w:t>Data Collection and Usage</w:t>
      </w:r>
      <w:r>
        <w:rPr>
          <w:rFonts w:ascii="Times New Roman;sans-serif" w:hAnsi="Times New Roman;sans-serif"/>
          <w:b/>
          <w:i/>
          <w:color w:val="000000"/>
          <w:sz w:val="18"/>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(b)</w:t>
      </w:r>
      <w:r>
        <w:rPr>
          <w:rFonts w:ascii="Times New Roman;sans-serif" w:hAnsi="Times New Roman;sans-serif"/>
          <w:b/>
          <w:i/>
          <w:color w:val="000000"/>
          <w:sz w:val="18"/>
          <w:u w:val="single"/>
        </w:rPr>
        <w:t>Stock Plan Administration Service Providers</w:t>
      </w:r>
      <w:r>
        <w:rPr>
          <w:rFonts w:ascii="Times New Roman;sans-serif" w:hAnsi="Times New Roman;sans-serif"/>
          <w:b/>
          <w:i/>
          <w:color w:val="000000"/>
          <w:sz w:val="18"/>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(c)</w:t>
      </w:r>
      <w:r>
        <w:rPr>
          <w:rFonts w:ascii="Times New Roman;sans-serif" w:hAnsi="Times New Roman;sans-serif"/>
          <w:b/>
          <w:i/>
          <w:color w:val="000000"/>
          <w:sz w:val="18"/>
          <w:u w:val="single"/>
        </w:rPr>
        <w:t>International Data Transfers</w:t>
      </w:r>
      <w:r>
        <w:rPr>
          <w:rFonts w:ascii="Times New Roman;sans-serif" w:hAnsi="Times New Roman;sans-serif"/>
          <w:b/>
          <w:i/>
          <w:color w:val="000000"/>
          <w:sz w:val="18"/>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pStyle w:val="TextBody"/>
        <w:bidi w:val="0"/>
        <w:spacing w:before="0" w:after="18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15620"/>
                <wp:effectExtent l="0" t="0" r="0" b="0"/>
                <wp:wrapNone/>
                <wp:docPr id="116" name="Frame113"/>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(d)</w:t>
      </w:r>
      <w:r>
        <w:rPr>
          <w:rFonts w:ascii="Times New Roman;sans-serif" w:hAnsi="Times New Roman;sans-serif"/>
          <w:b/>
          <w:i/>
          <w:color w:val="000000"/>
          <w:sz w:val="18"/>
          <w:u w:val="single"/>
        </w:rPr>
        <w:t>Data Retention</w:t>
      </w:r>
      <w:r>
        <w:rPr>
          <w:rFonts w:ascii="Times New Roman;sans-serif" w:hAnsi="Times New Roman;sans-serif"/>
          <w:b/>
          <w:i/>
          <w:color w:val="000000"/>
          <w:sz w:val="18"/>
        </w:rPr>
        <w:t xml:space="preserve">.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(e)</w:t>
      </w:r>
      <w:r>
        <w:rPr>
          <w:rFonts w:ascii="Times New Roman;sans-serif" w:hAnsi="Times New Roman;sans-serif"/>
          <w:b/>
          <w:i/>
          <w:color w:val="000000"/>
          <w:sz w:val="18"/>
          <w:u w:val="single"/>
        </w:rPr>
        <w:t>Voluntariness and Consequences of Consent Denial or Withdrawal</w:t>
      </w:r>
      <w:r>
        <w:rPr>
          <w:rFonts w:ascii="Times New Roman;sans-serif" w:hAnsi="Times New Roman;sans-serif"/>
          <w:b/>
          <w:i/>
          <w:color w:val="000000"/>
          <w:sz w:val="18"/>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pStyle w:val="TextBody"/>
        <w:bidi w:val="0"/>
        <w:spacing w:lineRule="auto" w:line="288" w:before="0" w:after="180"/>
        <w:ind w:left="0" w:right="0" w:hanging="360"/>
        <w:jc w:val="both"/>
        <w:rPr/>
      </w:pPr>
      <w:r>
        <w:rPr>
          <w:rFonts w:ascii="Times New Roman;sans-serif" w:hAnsi="Times New Roman;sans-serif"/>
          <w:b w:val="false"/>
          <w:color w:val="000000"/>
          <w:sz w:val="18"/>
        </w:rPr>
        <w:t>(f)</w:t>
      </w:r>
      <w:r>
        <w:rPr>
          <w:rFonts w:ascii="Times New Roman;sans-serif" w:hAnsi="Times New Roman;sans-serif"/>
          <w:b/>
          <w:i/>
          <w:color w:val="000000"/>
          <w:sz w:val="18"/>
          <w:u w:val="single"/>
        </w:rPr>
        <w:t>Data Subject Rights</w:t>
      </w:r>
      <w:r>
        <w:rPr>
          <w:rFonts w:ascii="Times New Roman;sans-serif" w:hAnsi="Times New Roman;sans-serif"/>
          <w:b/>
          <w:i/>
          <w:color w:val="000000"/>
          <w:sz w:val="18"/>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pStyle w:val="TextBody"/>
        <w:bidi w:val="0"/>
        <w:spacing w:lineRule="auto" w:line="288" w:before="6" w:after="283"/>
        <w:jc w:val="both"/>
        <w:rPr>
          <w:rFonts w:ascii="Times New Roman;sans-serif" w:hAnsi="Times New Roman;sans-serif"/>
          <w:b/>
          <w:i/>
          <w:color w:val="000000"/>
          <w:sz w:val="18"/>
        </w:rPr>
      </w:pPr>
      <w:r>
        <w:rPr>
          <w:rFonts w:ascii="Times New Roman;sans-serif" w:hAnsi="Times New Roman;sans-serif"/>
          <w:b/>
          <w:i/>
          <w:color w:val="000000"/>
          <w:sz w:val="18"/>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Language</w:t>
      </w:r>
      <w:r>
        <w:rPr>
          <w:rFonts w:ascii="Times New Roman;sans-serif" w:hAnsi="Times New Roman;sans-serif"/>
          <w:b w:val="false"/>
          <w:color w:val="000000"/>
          <w:sz w:val="18"/>
        </w:rPr>
        <w:t>. The Participant acknowledges that he or she is sufficiently proficient in English, or has consulted with an advisor who is sufficiently proficient in English, to understand the terms and conditions of this Agreement, unless otherwise required by applicable laws.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AUSTRALIA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xml:space="preserve">. This offer of Performance RSUs is being made under Division 1A Part 7.12 of the Australian Corporations Act 2001 (Cth). </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Tax Information</w:t>
      </w:r>
      <w:r>
        <w:rPr>
          <w:rFonts w:ascii="Times New Roman;sans-serif" w:hAnsi="Times New Roman;sans-serif"/>
          <w:b w:val="false"/>
          <w:color w:val="000000"/>
          <w:sz w:val="18"/>
        </w:rPr>
        <w:t>. The Plan is a plan to which Subdivision 83A-C of the Income Tax Assessment Act (Cth) applies (subject to the conditions in the Act).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AUSTRIA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xml:space="preserve">.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 </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sans-serif" w:hAnsi="Times New Roman;sans-serif"/>
          <w:b w:val="false"/>
          <w:i/>
          <w:color w:val="000000"/>
          <w:sz w:val="18"/>
        </w:rPr>
        <w:t>Meldungen SI-Forderungen und/oder SI-Verpflichtungen</w:t>
      </w:r>
      <w:r>
        <w:rPr>
          <w:rFonts w:ascii="Times New Roman;sans-serif" w:hAnsi="Times New Roman;sans-serif"/>
          <w:b w:val="false"/>
          <w:color w:val="000000"/>
          <w:sz w:val="18"/>
        </w:rPr>
        <w: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BELGIUM</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pStyle w:val="TextBody"/>
        <w:bidi w:val="0"/>
        <w:spacing w:before="6" w:after="283"/>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15620"/>
                <wp:effectExtent l="0" t="0" r="0" b="0"/>
                <wp:wrapNone/>
                <wp:docPr id="117" name="Frame114"/>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- 2</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- 2</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Stock Exchange Tax</w:t>
      </w:r>
      <w:r>
        <w:rPr>
          <w:rFonts w:ascii="Times New Roman;sans-serif" w:hAnsi="Times New Roman;sans-serif"/>
          <w:b w:val="false"/>
          <w:color w:val="000000"/>
          <w:sz w:val="18"/>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Annual Securities Accounts Tax</w:t>
      </w:r>
      <w:r>
        <w:rPr>
          <w:rFonts w:ascii="Times New Roman;sans-serif" w:hAnsi="Times New Roman;sans-serif"/>
          <w:b w:val="false"/>
          <w:color w:val="000000"/>
          <w:sz w:val="18"/>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CANADA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Issuance of Shares</w:t>
      </w:r>
      <w:r>
        <w:rPr>
          <w:rFonts w:ascii="Times New Roman;sans-serif" w:hAnsi="Times New Roman;sans-serif"/>
          <w:b w:val="false"/>
          <w:color w:val="000000"/>
          <w:sz w:val="18"/>
        </w:rPr>
        <w:t>: This provision supplements Section 2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Notwithstanding any discretion in the Plan or the Agreement to the contrary, upon vesting of the Performance RSUs, Shares will be issued as set forth in this section. In no event will the Performance RSUs be paid to the Participant in the form of cash.</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Termination of Employment</w:t>
      </w:r>
      <w:r>
        <w:rPr>
          <w:rFonts w:ascii="Times New Roman;sans-serif" w:hAnsi="Times New Roman;sans-serif"/>
          <w:b w:val="false"/>
          <w:color w:val="000000"/>
          <w:sz w:val="18"/>
        </w:rPr>
        <w:t xml:space="preserve">. The following supplements Section 2 of the Agreement (except Section 2(d) regarding disability) as well as any other section required to give effect to the same: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date the Participant is no longer actually providing service. The Date of Termination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for that portion of time before the date on which the Participant’s right to vest terminates, nor will Participant be entitled to any compensation for lost vesting.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xml:space="preserve">.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The following terms and conditions apply if the Participant is in Quebec:</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Data Privacy</w:t>
      </w:r>
      <w:r>
        <w:rPr>
          <w:rFonts w:ascii="Times New Roman;sans-serif" w:hAnsi="Times New Roman;sans-serif"/>
          <w:b w:val="false"/>
          <w:color w:val="000000"/>
          <w:sz w:val="18"/>
        </w:rPr>
        <w:t>. This provision supplements the Data Privacy Information and Consent provision in the Terms and Conditions for Participants Outside the U.S. set forth above:</w:t>
      </w:r>
    </w:p>
    <w:p>
      <w:pPr>
        <w:pStyle w:val="TextBody"/>
        <w:bidi w:val="0"/>
        <w:spacing w:before="6" w:after="283"/>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15620"/>
                <wp:effectExtent l="0" t="0" r="0" b="0"/>
                <wp:wrapNone/>
                <wp:docPr id="118" name="Frame115"/>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- 3</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- 3</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CHINA</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i/>
          <w:color w:val="000000"/>
          <w:sz w:val="18"/>
        </w:rPr>
      </w:pPr>
      <w:r>
        <w:rPr>
          <w:rFonts w:ascii="Times New Roman;sans-serif" w:hAnsi="Times New Roman;sans-serif"/>
          <w:b/>
          <w:i/>
          <w:color w:val="000000"/>
          <w:sz w:val="18"/>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Vesting</w:t>
      </w:r>
      <w:r>
        <w:rPr>
          <w:rFonts w:ascii="Times New Roman;sans-serif" w:hAnsi="Times New Roman;sans-serif"/>
          <w:b w:val="false"/>
          <w:color w:val="000000"/>
          <w:sz w:val="18"/>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Requirements</w:t>
      </w:r>
      <w:r>
        <w:rPr>
          <w:rFonts w:ascii="Times New Roman;sans-serif" w:hAnsi="Times New Roman;sans-serif"/>
          <w:b w:val="false"/>
          <w:color w:val="000000"/>
          <w:sz w:val="18"/>
        </w:rPr>
        <w:t xml:space="preserve">.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DENMARK</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Danish Stock Option Act</w:t>
      </w:r>
      <w:r>
        <w:rPr>
          <w:rFonts w:ascii="Times New Roman;sans-serif" w:hAnsi="Times New Roman;sans-serif"/>
          <w:b w:val="false"/>
          <w:color w:val="000000"/>
          <w:sz w:val="18"/>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Exclusion from Termination Indemnities and Other Benefits</w:t>
      </w:r>
      <w:r>
        <w:rPr>
          <w:rFonts w:ascii="Times New Roman;sans-serif" w:hAnsi="Times New Roman;sans-serif"/>
          <w:b w:val="false"/>
          <w:color w:val="000000"/>
          <w:sz w:val="18"/>
        </w:rPr>
        <w:t>. This provision supplements Section 9(c) in the Agreement:</w:t>
      </w:r>
    </w:p>
    <w:p>
      <w:pPr>
        <w:pStyle w:val="TextBody"/>
        <w:bidi w:val="0"/>
        <w:spacing w:before="6" w:after="283"/>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15620"/>
                <wp:effectExtent l="0" t="0" r="0" b="0"/>
                <wp:wrapNone/>
                <wp:docPr id="119" name="Frame116"/>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- 4</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- 4</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 accepting the Performance RSUs, the Participant acknowledges that he or she understands and agrees that this grant relates to future services to be performed and is not a bonus or compensation for past services.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If the Participant establishes an account holding Shares or cash outside Denmark, the Participant must report the account to the Danish Tax Administration. The form which should be used in this respect can be obtained from a local bank.</w:t>
      </w:r>
    </w:p>
    <w:p>
      <w:pPr>
        <w:pStyle w:val="TextBody"/>
        <w:bidi w:val="0"/>
        <w:spacing w:before="6" w:after="283"/>
        <w:jc w:val="both"/>
        <w:rPr/>
      </w:pPr>
      <w:r>
        <w:rPr/>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EGYPT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color w:val="000000"/>
        </w:rPr>
        <w:t xml:space="preserve"> </w:t>
      </w:r>
      <w:r>
        <w:rPr>
          <w:rFonts w:ascii="Times New Roman;sans-serif" w:hAnsi="Times New Roman;sans-serif"/>
          <w:b w:val="false"/>
          <w:color w:val="000000"/>
          <w:sz w:val="18"/>
        </w:rPr>
        <w:t>If the Participant transfers funds into Egypt in connection with the sale of Shares, the Participant is required to transfer the funds through a registered bank in Egypt.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ESTONIA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Responsibility for Taxes</w:t>
      </w:r>
      <w:r>
        <w:rPr>
          <w:rFonts w:ascii="Times New Roman;sans-serif" w:hAnsi="Times New Roman;sans-serif"/>
          <w:b w:val="false"/>
          <w:color w:val="000000"/>
          <w:sz w:val="18"/>
        </w:rPr>
        <w:t>. This provision supplements Section 6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pStyle w:val="TextBody"/>
        <w:bidi w:val="0"/>
        <w:spacing w:before="6" w:after="283"/>
        <w:jc w:val="both"/>
        <w:rPr/>
      </w:pPr>
      <w:r>
        <w:rPr/>
      </w:r>
    </w:p>
    <w:p>
      <w:pPr>
        <w:pStyle w:val="TextBody"/>
        <w:bidi w:val="0"/>
        <w:spacing w:lineRule="auto" w:line="288" w:before="6" w:after="180"/>
        <w:jc w:val="both"/>
        <w:rPr/>
      </w:pPr>
      <w:r>
        <w:rPr>
          <w:rFonts w:ascii="Times New Roman;sans-serif" w:hAnsi="Times New Roman;sans-serif"/>
          <w:b w:val="false"/>
          <w:color w:val="000000"/>
          <w:sz w:val="18"/>
          <w:u w:val="single"/>
        </w:rPr>
        <w:t>Language Consent</w:t>
      </w:r>
      <w:r>
        <w:rPr>
          <w:rFonts w:ascii="Times New Roman;sans-serif" w:hAnsi="Times New Roman;sans-serif"/>
          <w:b w:val="false"/>
          <w:color w:val="000000"/>
          <w:sz w:val="18"/>
        </w:rPr>
        <w:t xml:space="preserve">. </w:t>
      </w:r>
      <w:r>
        <w:rPr>
          <w:rFonts w:ascii="Times New Roman;sans-serif" w:hAnsi="Times New Roman;sans-serif"/>
          <w:b w:val="false"/>
          <w:i/>
          <w:color w:val="000000"/>
          <w:sz w:val="18"/>
        </w:rPr>
        <w:t>Võttes vastu piiratud aktsiaühikute (Performance RSUs) pakkumise, kinnitab Osaleja, et ta on ingliskeelsena esitatud pakkumisega seotud dokumendid (Optsioonilepingu ja Plaani) läbi lugenud ja nendest aru saanud ning et ta ei vaja nende tõlkimist eesti keelde. Sellest tulenevalt Osaleja nõustub viidatud dokumentide tingimustega.</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FINLAND</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There are no country-specific provisions.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FRANCE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French-Qualified Performance RSUs</w:t>
      </w:r>
      <w:r>
        <w:rPr>
          <w:rFonts w:ascii="Times New Roman;sans-serif" w:hAnsi="Times New Roman;sans-serif"/>
          <w:b w:val="false"/>
          <w:color w:val="000000"/>
          <w:sz w:val="18"/>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pStyle w:val="TextBody"/>
        <w:bidi w:val="0"/>
        <w:spacing w:before="6" w:after="283"/>
        <w:jc w:val="both"/>
        <w:rPr/>
      </w:pPr>
      <w:r>
        <w:rPr/>
      </w:r>
    </w:p>
    <w:p>
      <w:pPr>
        <w:pStyle w:val="TextBody"/>
        <w:bidi w:val="0"/>
        <w:spacing w:lineRule="auto" w:line="288" w:before="0" w:after="180"/>
        <w:jc w:val="both"/>
        <w:rPr/>
      </w:pPr>
      <w:r>
        <w:rPr>
          <w:rFonts w:ascii="Times New Roman;sans-serif" w:hAnsi="Times New Roman;sans-serif"/>
          <w:b w:val="false"/>
          <w:color w:val="000000"/>
          <w:sz w:val="18"/>
          <w:u w:val="single"/>
        </w:rPr>
        <w:t>Plan Terms</w:t>
      </w:r>
      <w:r>
        <w:rPr>
          <w:rFonts w:ascii="Times New Roman;sans-serif" w:hAnsi="Times New Roman;sans-serif"/>
          <w:b w:val="false"/>
          <w:color w:val="000000"/>
          <w:sz w:val="18"/>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pStyle w:val="TextBody"/>
        <w:bidi w:val="0"/>
        <w:spacing w:before="0" w:after="18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15620"/>
                <wp:effectExtent l="0" t="0" r="0" b="0"/>
                <wp:wrapNone/>
                <wp:docPr id="120" name="Frame117"/>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- 5</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- 5</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Vesting</w:t>
      </w:r>
      <w:r>
        <w:rPr>
          <w:rFonts w:ascii="Times New Roman;sans-serif" w:hAnsi="Times New Roman;sans-serif"/>
          <w:b w:val="false"/>
          <w:color w:val="000000"/>
          <w:sz w:val="18"/>
        </w:rPr>
        <w:t>. This provision supplements Section 2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Disability</w:t>
      </w:r>
      <w:r>
        <w:rPr>
          <w:rFonts w:ascii="Times New Roman;sans-serif" w:hAnsi="Times New Roman;sans-serif"/>
          <w:b w:val="false"/>
          <w:color w:val="000000"/>
          <w:sz w:val="18"/>
        </w:rPr>
        <w:t>. This provision supplements Section 2(d)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Restriction on Transfer and Sale of Shares</w:t>
      </w:r>
      <w:r>
        <w:rPr>
          <w:rFonts w:ascii="Times New Roman;sans-serif" w:hAnsi="Times New Roman;sans-serif"/>
          <w:b w:val="false"/>
          <w:color w:val="000000"/>
          <w:sz w:val="18"/>
        </w:rPr>
        <w:t>. This provision supplements Section 3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may not sell or transfer the Shares issued at vesting of the Performance RSUs prior to the second anniversary of the Grant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Changes in Capitalization</w:t>
      </w:r>
      <w:r>
        <w:rPr>
          <w:rFonts w:ascii="Times New Roman;sans-serif" w:hAnsi="Times New Roman;sans-serif"/>
          <w:b w:val="false"/>
          <w:color w:val="000000"/>
          <w:sz w:val="18"/>
        </w:rPr>
        <w:t>. This provision supplements Section 9(u)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Certain adjustments may disqualify the Performance RSUs, in which case they may no longer benefit from favorable tax and social security treatment in France.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Language Consent</w:t>
      </w:r>
      <w:r>
        <w:rPr>
          <w:rFonts w:ascii="Times New Roman;sans-serif" w:hAnsi="Times New Roman;sans-serif"/>
          <w:b w:val="false"/>
          <w:color w:val="000000"/>
          <w:sz w:val="18"/>
        </w:rPr>
        <w:t>. If the Participant received this Agreement or any other document related to the Plan or the French Sub-plan translated into French and if the translated version differs from the English version, the English version shall control.</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i/>
          <w:color w:val="000000"/>
          <w:sz w:val="18"/>
          <w:u w:val="single"/>
        </w:rPr>
        <w:t>Consentement a la Langue</w:t>
      </w:r>
      <w:r>
        <w:rPr>
          <w:rFonts w:ascii="Times New Roman;sans-serif" w:hAnsi="Times New Roman;sans-serif"/>
          <w:b w:val="false"/>
          <w:i/>
          <w:color w:val="000000"/>
          <w:sz w:val="18"/>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Asset/Account Reporting Information</w:t>
      </w:r>
      <w:r>
        <w:rPr>
          <w:rFonts w:ascii="Times New Roman;sans-serif" w:hAnsi="Times New Roman;sans-serif"/>
          <w:b w:val="false"/>
          <w:color w:val="000000"/>
          <w:sz w:val="18"/>
        </w:rPr>
        <w:t>. French residents holding Shares outside of France or maintaining a foreign bank account are required to report such to French tax authorities when filing his or her annual tax return. Failure to comply may trigger significant penalties.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GERMANY</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Cross-border payments in excess of a certain threshold (currently, €12,500) must be reported to the German Federal Bank (</w:t>
      </w:r>
      <w:r>
        <w:rPr>
          <w:rFonts w:ascii="Times New Roman;sans-serif" w:hAnsi="Times New Roman;sans-serif"/>
          <w:b w:val="false"/>
          <w:i/>
          <w:color w:val="000000"/>
          <w:sz w:val="18"/>
        </w:rPr>
        <w:t>Bundesbank</w:t>
      </w:r>
      <w:r>
        <w:rPr>
          <w:rFonts w:ascii="Times New Roman;sans-serif" w:hAnsi="Times New Roman;sans-serif"/>
          <w:b w:val="false"/>
          <w:color w:val="000000"/>
          <w:sz w:val="18"/>
        </w:rPr>
        <w:t xml:space="preserve">). If the Participant otherwise makes or receives a payment in excess of this amount (including if the </w:t>
      </w:r>
    </w:p>
    <w:p>
      <w:pPr>
        <w:pStyle w:val="TextBody"/>
        <w:bidi w:val="0"/>
        <w:spacing w:before="0" w:after="18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15620"/>
                <wp:effectExtent l="0" t="0" r="0" b="0"/>
                <wp:wrapNone/>
                <wp:docPr id="121" name="Frame118"/>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- 6</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- 6</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sans-serif" w:hAnsi="Times New Roman;sans-serif"/>
          <w:b w:val="false"/>
          <w:i/>
          <w:color w:val="000000"/>
          <w:sz w:val="18"/>
        </w:rPr>
        <w:t>Allgemeines Meldeportal Statistik</w:t>
      </w:r>
      <w:r>
        <w:rPr>
          <w:color w:val="000000"/>
        </w:rPr>
        <w:t>”</w:t>
      </w:r>
      <w:r>
        <w:rPr>
          <w:rFonts w:ascii="Times New Roman;sans-serif" w:hAnsi="Times New Roman;sans-serif"/>
          <w:b w:val="false"/>
          <w:color w:val="000000"/>
          <w:sz w:val="18"/>
        </w:rPr>
        <w:t>) via the Bundesbank’s website (</w:t>
      </w:r>
      <w:r>
        <w:rPr>
          <w:rFonts w:ascii="Times New Roman;sans-serif" w:hAnsi="Times New Roman;sans-serif"/>
          <w:b w:val="false"/>
          <w:color w:val="0000FF"/>
          <w:sz w:val="18"/>
          <w:u w:val="single"/>
        </w:rPr>
        <w:t>www.bundesbank.de</w:t>
      </w:r>
      <w:r>
        <w:rPr>
          <w:rFonts w:ascii="Times New Roman;sans-serif" w:hAnsi="Times New Roman;sans-serif"/>
          <w:b w:val="false"/>
          <w:color w:val="000000"/>
          <w:sz w:val="18"/>
        </w:rPr>
        <w:t>), or by such other method (e.g., email or telephone) and within such other timing as 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HONG KONG</w:t>
      </w:r>
    </w:p>
    <w:p>
      <w:pPr>
        <w:pStyle w:val="TextBody"/>
        <w:bidi w:val="0"/>
        <w:spacing w:before="6" w:after="283"/>
        <w:jc w:val="both"/>
        <w:rPr/>
      </w:pPr>
      <w:r>
        <w:rPr/>
      </w:r>
    </w:p>
    <w:p>
      <w:pPr>
        <w:pStyle w:val="TextBody"/>
        <w:bidi w:val="0"/>
        <w:spacing w:lineRule="auto" w:line="288" w:before="0" w:after="220"/>
        <w:jc w:val="both"/>
        <w:rPr/>
      </w:pPr>
      <w:r>
        <w:rPr>
          <w:rFonts w:ascii="Times New Roman;sans-serif" w:hAnsi="Times New Roman;sans-serif"/>
          <w:b w:val="false"/>
          <w:color w:val="000000"/>
          <w:sz w:val="18"/>
          <w:u w:val="single"/>
        </w:rPr>
        <w:t>Sale of Shares</w:t>
      </w:r>
      <w:r>
        <w:rPr>
          <w:rFonts w:ascii="Times New Roman;sans-serif" w:hAnsi="Times New Roman;sans-serif"/>
          <w:b w:val="false"/>
          <w:color w:val="000000"/>
          <w:sz w:val="18"/>
        </w:rPr>
        <w:t>. In the event the Performance RSUs vest within six months of the Date of Grant, the Participant agrees not to sell any Shares acquired upon vesting of the Performance RSUs prior to the six-month anniversary of the Date of Grant.</w:t>
      </w:r>
    </w:p>
    <w:p>
      <w:pPr>
        <w:pStyle w:val="TextBody"/>
        <w:bidi w:val="0"/>
        <w:spacing w:lineRule="auto" w:line="288" w:before="0" w:after="220"/>
        <w:jc w:val="both"/>
        <w:rPr/>
      </w:pPr>
      <w:r>
        <w:rPr>
          <w:rFonts w:ascii="Times New Roman;sans-serif" w:hAnsi="Times New Roman;sans-serif"/>
          <w:b w:val="false"/>
          <w:color w:val="000000"/>
          <w:sz w:val="18"/>
          <w:u w:val="single"/>
        </w:rPr>
        <w:t>Securities Law Notice</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i/>
          <w:color w:val="000000"/>
          <w:sz w:val="18"/>
          <w:u w:val="single"/>
        </w:rPr>
        <w:t>WARNING</w:t>
      </w:r>
      <w:r>
        <w:rPr>
          <w:rFonts w:ascii="Times New Roman;sans-serif" w:hAnsi="Times New Roman;sans-serif"/>
          <w:b w:val="false"/>
          <w:i/>
          <w:color w:val="000000"/>
          <w:sz w:val="18"/>
        </w:rPr>
        <w:t>: The contents of this document have not been reviewed by any regulatory authority in Hong Kong. The Participant should 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HUNGARY</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There are no country-specific provisions.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INDIA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Notification</w:t>
      </w:r>
      <w:r>
        <w:rPr>
          <w:rFonts w:ascii="Times New Roman;sans-serif" w:hAnsi="Times New Roman;sans-serif"/>
          <w:b w:val="false"/>
          <w:color w:val="000000"/>
          <w:sz w:val="18"/>
        </w:rPr>
        <w:t xml:space="preserve">.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 </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IRELAND</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Manner of Payment</w:t>
      </w:r>
      <w:r>
        <w:rPr>
          <w:rFonts w:ascii="Times New Roman;sans-serif" w:hAnsi="Times New Roman;sans-serif"/>
          <w:b w:val="false"/>
          <w:color w:val="000000"/>
          <w:sz w:val="18"/>
        </w:rPr>
        <w:t>. This provision replaces Section 7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Notwithstanding any discretion in the Plan or the Agreement to the contrary, upon vesting of the Performance RSUs, Shares will be issued to the Participant. In no event will the Award be paid to the Participant in the form of cash. </w:t>
      </w:r>
    </w:p>
    <w:p>
      <w:pPr>
        <w:pStyle w:val="TextBody"/>
        <w:bidi w:val="0"/>
        <w:spacing w:before="6" w:after="283"/>
        <w:jc w:val="both"/>
        <w:rPr/>
      </w:pPr>
      <w:r>
        <w:rPr/>
      </w:r>
    </w:p>
    <w:p>
      <w:pPr>
        <w:pStyle w:val="TextBody"/>
        <w:bidi w:val="0"/>
        <w:spacing w:lineRule="auto" w:line="288" w:before="0" w:after="180"/>
        <w:jc w:val="both"/>
        <w:rPr/>
      </w:pPr>
      <w:r>
        <w:rPr>
          <w:rFonts w:ascii="Times New Roman;sans-serif" w:hAnsi="Times New Roman;sans-serif"/>
          <w:b w:val="false"/>
          <w:color w:val="000000"/>
          <w:sz w:val="18"/>
          <w:u w:val="single"/>
        </w:rPr>
        <w:t>Exclusion from Termination Indemnities and Other Benefits</w:t>
      </w:r>
      <w:r>
        <w:rPr>
          <w:rFonts w:ascii="Times New Roman;sans-serif" w:hAnsi="Times New Roman;sans-serif"/>
          <w:b w:val="false"/>
          <w:color w:val="000000"/>
          <w:sz w:val="18"/>
        </w:rPr>
        <w:t xml:space="preserve">. This provision supplements Section 9(c) of the Agreement: </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 accepting the Performance RSUs, the Participant acknowledges, understands, and agrees that the benefits received under the Plan will not be taken into account for any redundancy or unfair dismissal claim.</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ISRAEL</w:t>
      </w:r>
    </w:p>
    <w:p>
      <w:pPr>
        <w:pStyle w:val="TextBody"/>
        <w:bidi w:val="0"/>
        <w:spacing w:before="0" w:after="18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15620"/>
                <wp:effectExtent l="0" t="0" r="0" b="0"/>
                <wp:wrapNone/>
                <wp:docPr id="122" name="Frame119"/>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- 7</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- 7</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Trust Arrangement</w:t>
      </w:r>
      <w:r>
        <w:rPr>
          <w:rFonts w:ascii="Times New Roman;sans-serif" w:hAnsi="Times New Roman;sans-serif"/>
          <w:b w:val="false"/>
          <w:color w:val="000000"/>
          <w:sz w:val="18"/>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Vesting</w:t>
      </w:r>
      <w:r>
        <w:rPr>
          <w:rFonts w:ascii="Times New Roman;sans-serif" w:hAnsi="Times New Roman;sans-serif"/>
          <w:b w:val="false"/>
          <w:color w:val="000000"/>
          <w:sz w:val="18"/>
        </w:rPr>
        <w:t>. This provision supplements Section 2(a)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Restrictions on Transfer</w:t>
      </w:r>
      <w:r>
        <w:rPr>
          <w:rFonts w:ascii="Times New Roman;sans-serif" w:hAnsi="Times New Roman;sans-serif"/>
          <w:b w:val="false"/>
          <w:color w:val="000000"/>
          <w:sz w:val="18"/>
        </w:rPr>
        <w:t>. This provision supplements Section 3(a) in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Manner of Payment</w:t>
      </w:r>
      <w:r>
        <w:rPr>
          <w:rFonts w:ascii="Times New Roman;sans-serif" w:hAnsi="Times New Roman;sans-serif"/>
          <w:b w:val="false"/>
          <w:color w:val="000000"/>
          <w:sz w:val="18"/>
        </w:rPr>
        <w:t>. This provision replaces Section 7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Notwithstanding any discretion in the Plan or the Agreement to the contrary, upon vesting of the Performance RSUs, Shares will be issued to the Participant. In no event will the Award be paid to Participant in the form of cash. </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This grant does not constitute a public offering under the Securities Law, 1968.</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ITALY</w:t>
      </w:r>
    </w:p>
    <w:p>
      <w:pPr>
        <w:pStyle w:val="TextBody"/>
        <w:bidi w:val="0"/>
        <w:spacing w:before="6" w:after="283"/>
        <w:jc w:val="both"/>
        <w:rPr/>
      </w:pPr>
      <w:r>
        <w:rPr/>
      </w:r>
    </w:p>
    <w:p>
      <w:pPr>
        <w:pStyle w:val="TextBody"/>
        <w:bidi w:val="0"/>
        <w:spacing w:lineRule="auto" w:line="288" w:before="0" w:after="240"/>
        <w:jc w:val="both"/>
        <w:rPr/>
      </w:pPr>
      <w:r>
        <w:rPr>
          <w:rFonts w:ascii="Times New Roman;sans-serif" w:hAnsi="Times New Roman;sans-serif"/>
          <w:b w:val="false"/>
          <w:color w:val="000000"/>
          <w:sz w:val="18"/>
          <w:u w:val="single"/>
        </w:rPr>
        <w:t>Plan Document Acknowledgment</w:t>
      </w:r>
      <w:r>
        <w:rPr>
          <w:rFonts w:ascii="Times New Roman;sans-serif" w:hAnsi="Times New Roman;sans-serif"/>
          <w:b w:val="false"/>
          <w:color w:val="000000"/>
          <w:sz w:val="18"/>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further acknowledges that he or she has read and specifically and expressly approves the following provision in the Agreement: Vesting and Conversion, Withholding Taxes, and Miscellaneous.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Tax</w:t>
      </w:r>
      <w:r>
        <w:rPr>
          <w:rFonts w:ascii="Times New Roman;sans-serif" w:hAnsi="Times New Roman;sans-serif"/>
          <w:b w:val="false"/>
          <w:color w:val="000000"/>
          <w:sz w:val="18"/>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 xml:space="preserve">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JAPAN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The Participant will be required to report details of any assets held outside Japan as of December 31st to the extent such assets have a total net fair market value exceeding a certain threshold (currently,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pStyle w:val="TextBody"/>
        <w:bidi w:val="0"/>
        <w:spacing w:before="0" w:after="18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15620"/>
                <wp:effectExtent l="0" t="0" r="0" b="0"/>
                <wp:wrapNone/>
                <wp:docPr id="123" name="Frame120"/>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- 8</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- 8</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KOREA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Notification</w:t>
      </w:r>
      <w:r>
        <w:rPr>
          <w:rFonts w:ascii="Times New Roman;sans-serif" w:hAnsi="Times New Roman;sans-serif"/>
          <w:b w:val="false"/>
          <w:color w:val="000000"/>
          <w:sz w:val="18"/>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pStyle w:val="TextBody"/>
        <w:bidi w:val="0"/>
        <w:spacing w:before="6" w:after="283"/>
        <w:jc w:val="both"/>
        <w:rPr/>
      </w:pPr>
      <w:r>
        <w:rPr/>
      </w:r>
    </w:p>
    <w:p>
      <w:pPr>
        <w:pStyle w:val="TextBody"/>
        <w:bidi w:val="0"/>
        <w:spacing w:lineRule="auto" w:line="288" w:before="0" w:after="240"/>
        <w:jc w:val="both"/>
        <w:rPr>
          <w:rFonts w:ascii="Times New Roman;sans-serif" w:hAnsi="Times New Roman;sans-serif"/>
          <w:b/>
          <w:color w:val="000000"/>
          <w:sz w:val="18"/>
          <w:u w:val="single"/>
        </w:rPr>
      </w:pPr>
      <w:r>
        <w:rPr>
          <w:rFonts w:ascii="Times New Roman;sans-serif" w:hAnsi="Times New Roman;sans-serif"/>
          <w:b/>
          <w:color w:val="000000"/>
          <w:sz w:val="18"/>
          <w:u w:val="single"/>
        </w:rPr>
        <w:t>MALAYSIA</w:t>
      </w:r>
    </w:p>
    <w:p>
      <w:pPr>
        <w:pStyle w:val="TextBody"/>
        <w:bidi w:val="0"/>
        <w:spacing w:lineRule="auto" w:line="288" w:before="0" w:after="240"/>
        <w:jc w:val="both"/>
        <w:rPr/>
      </w:pPr>
      <w:r>
        <w:rPr>
          <w:rFonts w:ascii="Times New Roman;sans-serif" w:hAnsi="Times New Roman;sans-serif"/>
          <w:b w:val="false"/>
          <w:color w:val="000000"/>
          <w:sz w:val="18"/>
          <w:u w:val="single"/>
        </w:rPr>
        <w:t>Director Notification</w:t>
      </w:r>
      <w:r>
        <w:rPr>
          <w:rFonts w:ascii="Times New Roman;sans-serif" w:hAnsi="Times New Roman;sans-serif"/>
          <w:b w:val="false"/>
          <w:color w:val="000000"/>
          <w:sz w:val="18"/>
        </w:rPr>
        <w:t xml:space="preserve">.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 </w:t>
      </w:r>
    </w:p>
    <w:p>
      <w:pPr>
        <w:pStyle w:val="TextBody"/>
        <w:bidi w:val="0"/>
        <w:spacing w:before="0" w:after="18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15620"/>
                <wp:effectExtent l="0" t="0" r="0" b="0"/>
                <wp:wrapNone/>
                <wp:docPr id="124" name="Frame121"/>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- 9</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- 9</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120" w:after="120"/>
        <w:jc w:val="both"/>
        <w:rPr/>
      </w:pPr>
      <w:r>
        <w:rPr>
          <w:rFonts w:ascii="Times New Roman;sans-serif" w:hAnsi="Times New Roman;sans-serif"/>
          <w:b w:val="false"/>
          <w:color w:val="000000"/>
          <w:sz w:val="18"/>
          <w:u w:val="single"/>
        </w:rPr>
        <w:t>Data Privacy</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This provision replaces the Data Privacy Information and Consent provision in the Terms and Conditions for Participants Outside the U.S. set forth above:</w:t>
      </w:r>
    </w:p>
    <w:tbl>
      <w:tblPr>
        <w:tblW w:w="10205" w:type="dxa"/>
        <w:jc w:val="left"/>
        <w:tblInd w:w="0" w:type="dxa"/>
        <w:tblLayout w:type="fixed"/>
        <w:tblCellMar>
          <w:top w:w="28" w:type="dxa"/>
          <w:left w:w="28" w:type="dxa"/>
          <w:bottom w:w="28" w:type="dxa"/>
          <w:right w:w="28" w:type="dxa"/>
        </w:tblCellMar>
      </w:tblPr>
      <w:tblGrid>
        <w:gridCol w:w="1692"/>
        <w:gridCol w:w="1486"/>
        <w:gridCol w:w="1490"/>
        <w:gridCol w:w="1621"/>
        <w:gridCol w:w="1621"/>
        <w:gridCol w:w="2295"/>
      </w:tblGrid>
      <w:tr>
        <w:trPr/>
        <w:tc>
          <w:tcPr>
            <w:tcW w:w="169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understands that the Company and the Employer may hold certain personal information about the Participant, including, but not limited to, his or her name, home address and telephone number, date of birth, social insurance number or other identification number, salary, nationality, job title, any shares of stock or directorships held in the Company, details of all Performance RSUs or any other entitlement to shares of stock awarded, canceled, exercised, vested, unvested or outstanding in the Participant’s favor, for the purpose of implementing, administering and managing the Plan (“Data”). The source of the Data is the Employer as well as information the Participant is providing to the Company and the Employer in connection with the Performance RSUs. The Participant understands that Data may be transferred to Fidelity or any other third parties as may be selected by the Company in the future, which are assisting in the implementation, administration and management of the Plan, that these recipients may be located in the Participant’s country or elsewhere and that the recipients’ country (e.g., the United States) may have different data privacy laws and protections than the Participant’s country. The Participant understands that he or she may request a list with the names and addresses of any potential recipients of the Data by contacting his or her local human resources representative. The Participant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Participant may elect to deposit any Shares acquired upon settlement of the Award.</w:t>
            </w:r>
          </w:p>
        </w:tc>
        <w:tc>
          <w:tcPr>
            <w:tcW w:w="5537"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understands that the Company and the Employer may hold certain personal information about the Participant, including, but not limited to, his or her name, home address and telephone number, date of birth, social insurance number or other identification number, salary, nationality, job title, any shares of stock or directorships held in the Company, details of all Performance RSUs or any other entitlement to shares of stock awarded, canceled, exercised, vested, unvested or outstanding in the Participant’s favor, for the purpose of implementing, administering and managing the Plan (“Data”). The source of the Data is the Employer as well as information the Participant is providing to the Company and the Employer in connection with the Performance RSUs. The Participant understands that Data may be transferred to Fidelity or any other third parties as may be selected by the Company in the future, which are assisting in the implementation, administration and management of the Plan, that these recipients may be located in the Participant’s country or elsewhere and that the recipients’ country (e.g., the United States) may have different data privacy laws and protections than the Participant’s country. The Participant understands that he or she may request a list with the names and addresses of any potential recipients of the Data by contacting his or her local human resources representative. The Participant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15620"/>
                <wp:effectExtent l="0" t="0" r="0" b="0"/>
                <wp:wrapNone/>
                <wp:docPr id="125" name="Frame122"/>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- 10</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- 10</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before="6" w:after="283"/>
        <w:jc w:val="both"/>
        <w:rPr/>
      </w:pPr>
      <w:r>
        <w:rPr/>
      </w:r>
    </w:p>
    <w:tbl>
      <w:tblPr>
        <w:tblW w:w="10205" w:type="dxa"/>
        <w:jc w:val="left"/>
        <w:tblInd w:w="0" w:type="dxa"/>
        <w:tblLayout w:type="fixed"/>
        <w:tblCellMar>
          <w:top w:w="28" w:type="dxa"/>
          <w:left w:w="28" w:type="dxa"/>
          <w:bottom w:w="28" w:type="dxa"/>
          <w:right w:w="28" w:type="dxa"/>
        </w:tblCellMar>
      </w:tblPr>
      <w:tblGrid>
        <w:gridCol w:w="2342"/>
        <w:gridCol w:w="2060"/>
        <w:gridCol w:w="2067"/>
        <w:gridCol w:w="1092"/>
        <w:gridCol w:w="1092"/>
        <w:gridCol w:w="1552"/>
      </w:tblGrid>
      <w:tr>
        <w:trPr/>
        <w:tc>
          <w:tcPr>
            <w:tcW w:w="234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Participant understands, however, that refusing or withdrawing his or her consent may affect the Participant’s ability to participate in the Plan. For more information on the consequences of a refusal to consent or withdrawal of consent, the Participant understands that he or she may contact his or her regional stock plan administrator at Stock_Plan_Admin@Analog.com.</w:t>
            </w:r>
          </w:p>
        </w:tc>
        <w:tc>
          <w:tcPr>
            <w:tcW w:w="3736"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Participant understands, however, that refusing or withdrawing his or her consent may affect the Participant’s ability to participate in the Plan. For more information on the consequences of a refusal to consent or withdrawal of consent, the Participant understands that he or she may contact his or her regional stock plan administrator at Stock_Plan_Admin@Analog.com.</w:t>
            </w:r>
          </w:p>
        </w:tc>
      </w:tr>
    </w:tbl>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MEXICO</w:t>
      </w:r>
    </w:p>
    <w:p>
      <w:pPr>
        <w:pStyle w:val="TextBody"/>
        <w:bidi w:val="0"/>
        <w:spacing w:before="6" w:after="283"/>
        <w:jc w:val="both"/>
        <w:rPr/>
      </w:pPr>
      <w:r>
        <w:rPr/>
      </w:r>
    </w:p>
    <w:p>
      <w:pPr>
        <w:pStyle w:val="TextBody"/>
        <w:bidi w:val="0"/>
        <w:spacing w:lineRule="auto" w:line="288" w:before="0" w:after="220"/>
        <w:jc w:val="both"/>
        <w:rPr/>
      </w:pPr>
      <w:r>
        <w:rPr>
          <w:rFonts w:ascii="Times New Roman;sans-serif" w:hAnsi="Times New Roman;sans-serif"/>
          <w:b w:val="false"/>
          <w:color w:val="000000"/>
          <w:sz w:val="18"/>
          <w:u w:val="single"/>
        </w:rPr>
        <w:t>Acknowledgment of the Agreement</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pStyle w:val="TextBody"/>
        <w:bidi w:val="0"/>
        <w:spacing w:lineRule="auto" w:line="288" w:before="0" w:after="220"/>
        <w:jc w:val="both"/>
        <w:rPr/>
      </w:pPr>
      <w:r>
        <w:rPr>
          <w:rFonts w:ascii="Times New Roman;sans-serif" w:hAnsi="Times New Roman;sans-serif"/>
          <w:b w:val="false"/>
          <w:color w:val="000000"/>
          <w:sz w:val="18"/>
          <w:u w:val="single"/>
        </w:rPr>
        <w:t>Labor Law Policy and Acknowledgment</w:t>
      </w:r>
      <w:r>
        <w:rPr>
          <w:rFonts w:ascii="Times New Roman;sans-serif" w:hAnsi="Times New Roman;sans-serif"/>
          <w:b w:val="false"/>
          <w:color w:val="000000"/>
          <w:sz w:val="18"/>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pStyle w:val="TextBody"/>
        <w:bidi w:val="0"/>
        <w:spacing w:lineRule="auto" w:line="288" w:before="0" w:after="220"/>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pStyle w:val="TextBody"/>
        <w:bidi w:val="0"/>
        <w:spacing w:lineRule="auto" w:line="288" w:before="0" w:after="220"/>
        <w:jc w:val="both"/>
        <w:rPr>
          <w:rFonts w:ascii="Times New Roman;sans-serif" w:hAnsi="Times New Roman;sans-serif"/>
          <w:b w:val="false"/>
          <w:color w:val="000000"/>
          <w:sz w:val="18"/>
        </w:rPr>
      </w:pPr>
      <w:r>
        <w:rPr>
          <w:rFonts w:ascii="Times New Roman;sans-serif" w:hAnsi="Times New Roman;sans-serif"/>
          <w:b w:val="false"/>
          <w:color w:val="000000"/>
          <w:sz w:val="18"/>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pStyle w:val="TextBody"/>
        <w:bidi w:val="0"/>
        <w:spacing w:lineRule="auto" w:line="288" w:before="0" w:after="220"/>
        <w:jc w:val="both"/>
        <w:rPr/>
      </w:pPr>
      <w:r>
        <w:rPr>
          <w:rFonts w:ascii="Times New Roman;sans-serif" w:hAnsi="Times New Roman;sans-serif"/>
          <w:b w:val="false"/>
          <w:i/>
          <w:color w:val="000000"/>
          <w:sz w:val="18"/>
          <w:u w:val="single"/>
        </w:rPr>
        <w:t>Reconocimiento del Contrato</w:t>
      </w:r>
      <w:r>
        <w:rPr>
          <w:rFonts w:ascii="Times New Roman;sans-serif" w:hAnsi="Times New Roman;sans-serif"/>
          <w:b w:val="false"/>
          <w:i/>
          <w:color w:val="000000"/>
          <w:sz w:val="18"/>
        </w:rPr>
        <w:t xml:space="preserve">.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w:t>
      </w:r>
    </w:p>
    <w:p>
      <w:pPr>
        <w:pStyle w:val="TextBody"/>
        <w:bidi w:val="0"/>
        <w:spacing w:before="0" w:after="18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15620"/>
                <wp:effectExtent l="0" t="0" r="0" b="0"/>
                <wp:wrapNone/>
                <wp:docPr id="126" name="Frame123"/>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- 11</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- 11</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0" w:after="220"/>
        <w:jc w:val="both"/>
        <w:rPr>
          <w:rFonts w:ascii="Times New Roman;sans-serif" w:hAnsi="Times New Roman;sans-serif"/>
          <w:b w:val="false"/>
          <w:i/>
          <w:color w:val="000000"/>
          <w:sz w:val="18"/>
        </w:rPr>
      </w:pPr>
      <w:r>
        <w:rPr>
          <w:rFonts w:ascii="Times New Roman;sans-serif" w:hAnsi="Times New Roman;sans-serif"/>
          <w:b w:val="false"/>
          <w:i/>
          <w:color w:val="000000"/>
          <w:sz w:val="18"/>
        </w:rPr>
        <w:t>una base completamente discrecional; (iii) su participación en el Plan es voluntaria; y (iv) la Compañía y sus afiliadas no son responsables de ninguna por la disminución en el valor de las Acciones subyacentes.</w:t>
      </w:r>
    </w:p>
    <w:p>
      <w:pPr>
        <w:pStyle w:val="TextBody"/>
        <w:bidi w:val="0"/>
        <w:spacing w:lineRule="auto" w:line="288" w:before="0" w:after="220"/>
        <w:jc w:val="both"/>
        <w:rPr/>
      </w:pPr>
      <w:r>
        <w:rPr>
          <w:rFonts w:ascii="Times New Roman;sans-serif" w:hAnsi="Times New Roman;sans-serif"/>
          <w:b w:val="false"/>
          <w:i/>
          <w:color w:val="000000"/>
          <w:sz w:val="18"/>
          <w:u w:val="single"/>
        </w:rPr>
        <w:t>Política de Legislación Laboral y Reconocimiento</w:t>
      </w:r>
      <w:r>
        <w:rPr>
          <w:rFonts w:ascii="Times New Roman;sans-serif" w:hAnsi="Times New Roman;sans-serif"/>
          <w:b w:val="false"/>
          <w:i/>
          <w:color w:val="000000"/>
          <w:sz w:val="18"/>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pStyle w:val="TextBody"/>
        <w:bidi w:val="0"/>
        <w:spacing w:lineRule="auto" w:line="288" w:before="0" w:after="220"/>
        <w:jc w:val="both"/>
        <w:rPr>
          <w:rFonts w:ascii="Times New Roman;sans-serif" w:hAnsi="Times New Roman;sans-serif"/>
          <w:b w:val="false"/>
          <w:i/>
          <w:color w:val="000000"/>
          <w:sz w:val="18"/>
        </w:rPr>
      </w:pPr>
      <w:r>
        <w:rPr>
          <w:rFonts w:ascii="Times New Roman;sans-serif" w:hAnsi="Times New Roman;sans-serif"/>
          <w:b w:val="false"/>
          <w:i/>
          <w:color w:val="000000"/>
          <w:sz w:val="18"/>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pStyle w:val="TextBody"/>
        <w:bidi w:val="0"/>
        <w:spacing w:lineRule="auto" w:line="288" w:before="6"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xml:space="preserve">.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NETHERLANDS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There are no country-specific provisions.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NORWAY</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There are no country-specific provisions.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PHILIPPINES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xml:space="preserve">. The securities being offered or sold herein have not been registered with the Philippines Securities and Exchange Commission (“PSEC”) under its Securities Regulation Code (the “SRC”).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grant of Performance RSUs is being made pursuant to an exemption from registration under Section 10.2 of the SRC that has been approved by the PSEC.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pStyle w:val="TextBody"/>
        <w:bidi w:val="0"/>
        <w:spacing w:before="6" w:after="283"/>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15620"/>
                <wp:effectExtent l="0" t="0" r="0" b="0"/>
                <wp:wrapNone/>
                <wp:docPr id="127" name="Frame124"/>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- 12</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- 12</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 </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sans-serif" w:hAnsi="Times New Roman;sans-serif"/>
          <w:b w:val="false"/>
          <w:i/>
          <w:color w:val="000000"/>
          <w:sz w:val="18"/>
        </w:rPr>
        <w:t>If the Participant has questions with regard to the application of Philippines securities laws to the disposal or sale of Shares acquired under the Plan the Participant should consult with his or her legal advisor.</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POLAND</w:t>
      </w:r>
    </w:p>
    <w:p>
      <w:pPr>
        <w:pStyle w:val="TextBody"/>
        <w:bidi w:val="0"/>
        <w:spacing w:before="6" w:after="283"/>
        <w:jc w:val="both"/>
        <w:rPr/>
      </w:pPr>
      <w:r>
        <w:rPr/>
      </w:r>
    </w:p>
    <w:p>
      <w:pPr>
        <w:pStyle w:val="TextBody"/>
        <w:bidi w:val="0"/>
        <w:spacing w:lineRule="auto" w:line="288" w:before="0" w:after="180"/>
        <w:jc w:val="both"/>
        <w:rPr/>
      </w:pPr>
      <w:r>
        <w:rPr>
          <w:rFonts w:ascii="Times New Roman;sans-serif" w:hAnsi="Times New Roman;sans-serif"/>
          <w:b w:val="false"/>
          <w:color w:val="000000"/>
          <w:sz w:val="18"/>
          <w:u w:val="single"/>
        </w:rPr>
        <w:t>Foreign Asset/Account Reporting Information</w:t>
      </w:r>
      <w:r>
        <w:rPr>
          <w:rFonts w:ascii="Times New Roman;sans-serif" w:hAnsi="Times New Roman;sans-serif"/>
          <w:b w:val="false"/>
          <w:color w:val="000000"/>
          <w:sz w:val="18"/>
        </w:rPr>
        <w:t xml:space="preserve">.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 </w:t>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ROMANIA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SERBIA</w:t>
      </w:r>
    </w:p>
    <w:p>
      <w:pPr>
        <w:pStyle w:val="TextBody"/>
        <w:bidi w:val="0"/>
        <w:spacing w:before="6" w:after="283"/>
        <w:jc w:val="both"/>
        <w:rPr/>
      </w:pPr>
      <w:r>
        <w:rPr/>
      </w:r>
    </w:p>
    <w:p>
      <w:pPr>
        <w:pStyle w:val="TextBody"/>
        <w:bidi w:val="0"/>
        <w:spacing w:lineRule="auto" w:line="288" w:before="0" w:after="220"/>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The grant of Performance RSUs and the issuance of any Shares are not subject to the regulations concerning public offers and private placements under the Law on Capital Markets.</w:t>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SINGAPORE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Director Notification</w:t>
      </w:r>
      <w:r>
        <w:rPr>
          <w:rFonts w:ascii="Times New Roman;sans-serif" w:hAnsi="Times New Roman;sans-serif"/>
          <w:b w:val="false"/>
          <w:color w:val="000000"/>
          <w:sz w:val="18"/>
        </w:rPr>
        <w:t xml:space="preserve">. If the Participant is a director, associate director or shadow director of a subsidiary or other related company in Singapore, the Participant is subject to certain notification requirements under the Singapore Companies Act. Among these requirements is </w:t>
      </w:r>
    </w:p>
    <w:p>
      <w:pPr>
        <w:pStyle w:val="TextBody"/>
        <w:bidi w:val="0"/>
        <w:spacing w:before="0" w:after="18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15620"/>
                <wp:effectExtent l="0" t="0" r="0" b="0"/>
                <wp:wrapNone/>
                <wp:docPr id="128" name="Frame125"/>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- 13</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- 13</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sans-serif" w:hAnsi="Times New Roman;sans-serif"/>
          <w:b w:val="false"/>
          <w:i/>
          <w:color w:val="000000"/>
          <w:sz w:val="18"/>
        </w:rPr>
        <w:t>e.g.</w:t>
      </w:r>
      <w:r>
        <w:rPr>
          <w:color w:val="000000"/>
        </w:rPr>
        <w:t xml:space="preserve"> </w:t>
      </w:r>
      <w:r>
        <w:rPr>
          <w:rFonts w:ascii="Times New Roman;sans-serif" w:hAnsi="Times New Roman;sans-serif"/>
          <w:b w:val="false"/>
          <w:color w:val="000000"/>
          <w:sz w:val="18"/>
        </w:rPr>
        <w:t>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SPAIN</w:t>
      </w:r>
    </w:p>
    <w:p>
      <w:pPr>
        <w:pStyle w:val="TextBody"/>
        <w:bidi w:val="0"/>
        <w:spacing w:before="6" w:after="283"/>
        <w:jc w:val="both"/>
        <w:rPr/>
      </w:pPr>
      <w:r>
        <w:rPr/>
      </w:r>
    </w:p>
    <w:p>
      <w:pPr>
        <w:pStyle w:val="TextBody"/>
        <w:bidi w:val="0"/>
        <w:spacing w:lineRule="auto" w:line="288" w:before="0" w:after="180"/>
        <w:jc w:val="both"/>
        <w:rPr/>
      </w:pPr>
      <w:r>
        <w:rPr>
          <w:rFonts w:ascii="Times New Roman;sans-serif" w:hAnsi="Times New Roman;sans-serif"/>
          <w:b w:val="false"/>
          <w:color w:val="000000"/>
          <w:sz w:val="18"/>
          <w:u w:val="single"/>
        </w:rPr>
        <w:t>No Entitlement</w:t>
      </w:r>
      <w:r>
        <w:rPr>
          <w:rFonts w:ascii="Times New Roman;sans-serif" w:hAnsi="Times New Roman;sans-serif"/>
          <w:b w:val="false"/>
          <w:color w:val="000000"/>
          <w:sz w:val="18"/>
        </w:rPr>
        <w:t xml:space="preserve">. This provision supplements Section 9(d) of the Agreement: </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(i) any Performance RSUs will not economically or otherwise bind the Company or any of its subsidiaries on an ongoing basis; (ii)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Performance RSUs will cease vesting upon the Participant’s termination of employment except in the event the Participant dies or becomes Disabled, as detailed in the following paragraph.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sans-serif" w:hAnsi="Times New Roman;sans-serif"/>
          <w:b w:val="false"/>
          <w:i/>
          <w:color w:val="000000"/>
          <w:sz w:val="18"/>
        </w:rPr>
        <w:t>despido improcedente</w:t>
      </w:r>
      <w:r>
        <w:rPr>
          <w:color w:val="000000"/>
        </w:rPr>
        <w:t>”</w:t>
      </w:r>
      <w:r>
        <w:rPr>
          <w:rFonts w:ascii="Times New Roman;sans-serif" w:hAnsi="Times New Roman;sans-serif"/>
          <w:b w:val="false"/>
          <w:color w:val="000000"/>
          <w:sz w:val="18"/>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Participant acknowledges that he or she has read and specifically accepts the conditions referred to in Section 2 of the Agreement.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Notification</w:t>
      </w:r>
      <w:r>
        <w:rPr>
          <w:rFonts w:ascii="Times New Roman;sans-serif" w:hAnsi="Times New Roman;sans-serif"/>
          <w:b w:val="false"/>
          <w:color w:val="000000"/>
          <w:sz w:val="18"/>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sans-serif" w:hAnsi="Times New Roman;sans-serif"/>
          <w:b w:val="false"/>
          <w:i/>
          <w:color w:val="000000"/>
          <w:sz w:val="18"/>
        </w:rPr>
        <w:t>Comisión Nacional del Mercado de Valores</w:t>
      </w:r>
      <w:r>
        <w:rPr>
          <w:rFonts w:ascii="Times New Roman;sans-serif" w:hAnsi="Times New Roman;sans-serif"/>
          <w:b w:val="false"/>
          <w:color w:val="000000"/>
          <w:sz w:val="18"/>
        </w:rPr>
        <w:t>, and does not constitute a public offering prospectus.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Notification</w:t>
      </w:r>
      <w:r>
        <w:rPr>
          <w:rFonts w:ascii="Times New Roman;sans-serif" w:hAnsi="Times New Roman;sans-serif"/>
          <w:b w:val="false"/>
          <w:color w:val="000000"/>
          <w:sz w:val="18"/>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w:t>
      </w:r>
    </w:p>
    <w:p>
      <w:pPr>
        <w:pStyle w:val="TextBody"/>
        <w:bidi w:val="0"/>
        <w:spacing w:before="0" w:after="18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15620"/>
                <wp:effectExtent l="0" t="0" r="0" b="0"/>
                <wp:wrapNone/>
                <wp:docPr id="129" name="Frame126"/>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- 14</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- 14</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 xml:space="preserve">to the prior year, however, a summarized form of declaration may be available. </w:t>
      </w:r>
      <w:r>
        <w:rPr>
          <w:rFonts w:ascii="Times New Roman;sans-serif" w:hAnsi="Times New Roman;sans-serif"/>
          <w:b w:val="false"/>
          <w:i/>
          <w:color w:val="000000"/>
          <w:sz w:val="18"/>
        </w:rPr>
        <w:t>The Participant should consult a personal tax or legal advisor for further information regarding these exchange control reporting obligations</w:t>
      </w:r>
      <w:r>
        <w:rPr>
          <w:rFonts w:ascii="Times New Roman;sans-serif" w:hAnsi="Times New Roman;sans-serif"/>
          <w:b w:val="false"/>
          <w:color w:val="000000"/>
          <w:sz w:val="18"/>
        </w:rPr>
        <w: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Foreign Asset / Account Reporting Information</w:t>
      </w:r>
      <w:r>
        <w:rPr>
          <w:rFonts w:ascii="Times New Roman;sans-serif" w:hAnsi="Times New Roman;sans-serif"/>
          <w:b w:val="false"/>
          <w:color w:val="000000"/>
          <w:sz w:val="18"/>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SWEDEN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Authorization to Withhold</w:t>
      </w:r>
      <w:r>
        <w:rPr>
          <w:rFonts w:ascii="Times New Roman;sans-serif" w:hAnsi="Times New Roman;sans-serif"/>
          <w:b w:val="false"/>
          <w:color w:val="000000"/>
          <w:sz w:val="18"/>
        </w:rPr>
        <w:t>. This provision supplements Section 6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SWITZERLAND</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TAIWAN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Data Privacy</w:t>
      </w:r>
      <w:r>
        <w:rPr>
          <w:rFonts w:ascii="Times New Roman;sans-serif" w:hAnsi="Times New Roman;sans-serif"/>
          <w:b w:val="false"/>
          <w:color w:val="000000"/>
          <w:sz w:val="18"/>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The Performance RSUs and participation in the Plan is made available only to employees of the Company and its subsidiaries. It is not a public offer of securities by a Taiwanese company. Therefore, it is exempt from registration in Taiwan.</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xml:space="preserve">. Individuals may acquire foreign currency (including proceeds from the sale of Shares) into Taiwan up to a certain threshold (currently, US$5,000,000) per year without justification.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THAILAND</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xml:space="preserve">.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w:t>
      </w:r>
    </w:p>
    <w:p>
      <w:pPr>
        <w:pStyle w:val="TextBody"/>
        <w:bidi w:val="0"/>
        <w:spacing w:before="0" w:after="18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15620"/>
                <wp:effectExtent l="0" t="0" r="0" b="0"/>
                <wp:wrapNone/>
                <wp:docPr id="130" name="Frame127"/>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- 15</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- 15</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pPr>
      <w:r>
        <w:rPr>
          <w:rFonts w:ascii="Times New Roman;sans-serif" w:hAnsi="Times New Roman;sans-serif"/>
          <w:b w:val="false"/>
          <w:color w:val="000000"/>
          <w:sz w:val="18"/>
        </w:rPr>
        <w:t>proceeds into a foreign currency account opened with any commercial bank in Thailand within 360 days of repatriation, unless the Participant can rely on any applicable exemptions (</w:t>
      </w:r>
      <w:r>
        <w:rPr>
          <w:rFonts w:ascii="Times New Roman;sans-serif" w:hAnsi="Times New Roman;sans-serif"/>
          <w:b w:val="false"/>
          <w:i/>
          <w:color w:val="000000"/>
          <w:sz w:val="18"/>
        </w:rPr>
        <w:t>e.g.</w:t>
      </w:r>
      <w:r>
        <w:rPr>
          <w:rFonts w:ascii="Times New Roman;sans-serif" w:hAnsi="Times New Roman;sans-serif"/>
          <w:b w:val="false"/>
          <w:color w:val="000000"/>
          <w:sz w:val="18"/>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TURKEY</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Securities Law Information</w:t>
      </w:r>
      <w:r>
        <w:rPr>
          <w:rFonts w:ascii="Times New Roman;sans-serif" w:hAnsi="Times New Roman;sans-serif"/>
          <w:b w:val="false"/>
          <w:color w:val="000000"/>
          <w:sz w:val="18"/>
        </w:rPr>
        <w:t>. Under Turkish law, the Participant is not permitted to sell any Shares acquired under the Plan in Turkey. The Shares are currently traded on the Nasdaq Global Select Market, under the ticker symbol “ADI” and the Shares may be sold through this exchange.</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Exchange Control Information</w:t>
      </w:r>
      <w:r>
        <w:rPr>
          <w:rFonts w:ascii="Times New Roman;sans-serif" w:hAnsi="Times New Roman;sans-serif"/>
          <w:b w:val="false"/>
          <w:color w:val="000000"/>
          <w:sz w:val="18"/>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UNITED KINGDOM</w:t>
      </w:r>
    </w:p>
    <w:p>
      <w:pPr>
        <w:pStyle w:val="TextBody"/>
        <w:bidi w:val="0"/>
        <w:spacing w:before="6" w:after="283"/>
        <w:jc w:val="both"/>
        <w:rPr/>
      </w:pPr>
      <w:r>
        <w:rPr/>
      </w:r>
    </w:p>
    <w:p>
      <w:pPr>
        <w:pStyle w:val="TextBody"/>
        <w:bidi w:val="0"/>
        <w:spacing w:lineRule="auto" w:line="288" w:before="0" w:after="220"/>
        <w:jc w:val="both"/>
        <w:rPr/>
      </w:pPr>
      <w:r>
        <w:rPr>
          <w:rFonts w:ascii="Times New Roman;sans-serif" w:hAnsi="Times New Roman;sans-serif"/>
          <w:b w:val="false"/>
          <w:color w:val="000000"/>
          <w:sz w:val="18"/>
          <w:u w:val="single"/>
        </w:rPr>
        <w:t>Responsibility for Taxes</w:t>
      </w:r>
      <w:r>
        <w:rPr>
          <w:rFonts w:ascii="Times New Roman;sans-serif" w:hAnsi="Times New Roman;sans-serif"/>
          <w:b w:val="false"/>
          <w:color w:val="000000"/>
          <w:sz w:val="18"/>
        </w:rPr>
        <w:t xml:space="preserve">. This provision supplements Section 6 of the Agreement: </w:t>
      </w:r>
    </w:p>
    <w:p>
      <w:pPr>
        <w:pStyle w:val="TextBody"/>
        <w:bidi w:val="0"/>
        <w:spacing w:lineRule="auto" w:line="288" w:before="0" w:after="220"/>
        <w:jc w:val="both"/>
        <w:rPr>
          <w:rFonts w:ascii="Times New Roman;sans-serif" w:hAnsi="Times New Roman;sans-serif"/>
          <w:b w:val="false"/>
          <w:color w:val="000000"/>
          <w:sz w:val="18"/>
        </w:rPr>
      </w:pPr>
      <w:r>
        <w:rPr>
          <w:rFonts w:ascii="Times New Roman;sans-serif" w:hAnsi="Times New Roman;sans-serif"/>
          <w:b w:val="false"/>
          <w:color w:val="000000"/>
          <w:sz w:val="18"/>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Manner of Payment</w:t>
      </w:r>
      <w:r>
        <w:rPr>
          <w:rFonts w:ascii="Times New Roman;sans-serif" w:hAnsi="Times New Roman;sans-serif"/>
          <w:b w:val="false"/>
          <w:color w:val="000000"/>
          <w:sz w:val="18"/>
        </w:rPr>
        <w:t>. This provision replaces Section 7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Notwithstanding any discretion in the Plan or the Agreement to the contrary, upon vesting of the Performance RSUs, Shares will be issued to the Participant. In no event will the Award be paid to Participant in the form of cash.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pStyle w:val="TextBody"/>
        <w:bidi w:val="0"/>
        <w:spacing w:before="6" w:after="283"/>
        <w:jc w:val="both"/>
        <w:rPr/>
      </w:pPr>
      <w:r>
        <w:rPr/>
      </w:r>
    </w:p>
    <w:p>
      <w:pPr>
        <w:pStyle w:val="TextBody"/>
        <w:bidi w:val="0"/>
        <w:spacing w:lineRule="auto" w:line="288" w:before="6" w:after="283"/>
        <w:jc w:val="both"/>
        <w:rPr/>
      </w:pPr>
      <w:r>
        <w:rPr>
          <w:rFonts w:ascii="Times New Roman;sans-serif" w:hAnsi="Times New Roman;sans-serif"/>
          <w:b w:val="false"/>
          <w:color w:val="000000"/>
          <w:sz w:val="18"/>
          <w:u w:val="single"/>
        </w:rPr>
        <w:t>Joint Election</w:t>
      </w:r>
      <w:r>
        <w:rPr>
          <w:rFonts w:ascii="Times New Roman;sans-serif" w:hAnsi="Times New Roman;sans-serif"/>
          <w:b w:val="false"/>
          <w:color w:val="000000"/>
          <w:sz w:val="18"/>
        </w:rPr>
        <w:t xml:space="preserve">.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 </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w:t>
      </w:r>
    </w:p>
    <w:p>
      <w:pPr>
        <w:pStyle w:val="TextBody"/>
        <w:bidi w:val="0"/>
        <w:spacing w:before="0" w:after="18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15620"/>
                <wp:effectExtent l="0" t="0" r="0" b="0"/>
                <wp:wrapNone/>
                <wp:docPr id="131" name="Frame128"/>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- 16</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- 16</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B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both"/>
        <w:rPr/>
      </w:pPr>
      <w:r>
        <w:rPr/>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pStyle w:val="TextBody"/>
        <w:bidi w:val="0"/>
        <w:spacing w:before="6" w:after="283"/>
        <w:jc w:val="both"/>
        <w:rPr/>
      </w:pPr>
      <w:r>
        <w:rPr/>
      </w:r>
    </w:p>
    <w:p>
      <w:pPr>
        <w:pStyle w:val="TextBody"/>
        <w:bidi w:val="0"/>
        <w:spacing w:lineRule="auto" w:line="288" w:before="6"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15620"/>
                <wp:effectExtent l="0" t="0" r="0" b="0"/>
                <wp:wrapNone/>
                <wp:docPr id="132" name="Frame129"/>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- 17</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B - 17</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18"/>
          <w:u w:val="single"/>
        </w:rPr>
      </w:pPr>
      <w:r>
        <w:rPr>
          <w:rFonts w:ascii="Times New Roman;sans-serif" w:hAnsi="Times New Roman;sans-serif"/>
          <w:b/>
          <w:color w:val="000000"/>
          <w:sz w:val="18"/>
          <w:u w:val="single"/>
        </w:rPr>
        <w:t>APPENDIX C</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EMPLOYER INFORMATION STATEMENT – DENMARK</w:t>
        <w:br/>
        <w:t>RESTRICTED STOCK UNIT GRANT ON GRANT DATE</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1.    Date of Grant</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approved the grant of Performance RSUs under the Plan on Grant Date. On this basis, the Date of Grant for your Performance RSUs is Grant Date. </w:t>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2.    Terms and Conditions of the Performance RSU Grant</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b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pStyle w:val="TextBody"/>
        <w:bidi w:val="0"/>
        <w:spacing w:lineRule="auto" w:line="288" w:before="0" w:after="180"/>
        <w:jc w:val="both"/>
        <w:rPr/>
      </w:pPr>
      <w:r>
        <w:rPr>
          <w:rFonts w:ascii="Times New Roman;sans-serif" w:hAnsi="Times New Roman;sans-serif"/>
          <w:b/>
          <w:color w:val="000000"/>
          <w:sz w:val="18"/>
        </w:rPr>
        <w:t>3.    Vesting Date of Performance</w:t>
      </w:r>
      <w:r>
        <w:rPr>
          <w:color w:val="000000"/>
        </w:rPr>
        <w:t xml:space="preserve"> </w:t>
      </w:r>
      <w:r>
        <w:rPr>
          <w:rFonts w:ascii="Times New Roman;sans-serif" w:hAnsi="Times New Roman;sans-serif"/>
          <w:b/>
          <w:color w:val="000000"/>
          <w:sz w:val="18"/>
        </w:rPr>
        <w:t>RSUs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 </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When your Performance RSUs vest, the Company will issue one share of the Company’s common stock to you in settlement of each vested Performance RSU. </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4.    Exercise Price</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Because each Performance RSU entitles you to receive one share of the Company’s common stock on the date of vesting without any cost to you or other payment required from you, there is no exercise price associated with the Performance RSUs. </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5.    Your Rights upon Termination of Service</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 </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6.    Financial Aspects of Participating in the Plan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 </w:t>
      </w:r>
    </w:p>
    <w:p>
      <w:pPr>
        <w:pStyle w:val="TextBody"/>
        <w:bidi w:val="0"/>
        <w:spacing w:lineRule="auto" w:line="288"/>
        <w:jc w:val="both"/>
        <w:rPr>
          <w:rFonts w:ascii="Times New Roman;sans-serif" w:hAnsi="Times New Roman;sans-serif"/>
          <w:b w:val="false"/>
          <w:color w:val="000000"/>
          <w:sz w:val="18"/>
        </w:rPr>
      </w:pPr>
      <w:r>
        <w:rPr>
          <w:rFonts w:ascii="Times New Roman;sans-serif" w:hAnsi="Times New Roman;sans-serif"/>
          <w:b w:val="false"/>
          <w:color w:val="000000"/>
          <w:sz w:val="18"/>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pStyle w:val="TextBody"/>
        <w:bidi w:val="0"/>
        <w:spacing w:before="0" w:after="18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15620"/>
                <wp:effectExtent l="0" t="0" r="0" b="0"/>
                <wp:wrapNone/>
                <wp:docPr id="133" name="Frame130"/>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- 1</w:t>
                            </w:r>
                            <w:r>
                              <w:br w:type="page"/>
                            </w:r>
                          </w:p>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- 1</w:t>
                      </w:r>
                    </w:p>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18"/>
          <w:u w:val="single"/>
        </w:rPr>
      </w:pPr>
      <w:r>
        <w:rPr>
          <w:rFonts w:ascii="Times New Roman;sans-serif" w:hAnsi="Times New Roman;sans-serif"/>
          <w:b/>
          <w:color w:val="000000"/>
          <w:sz w:val="18"/>
          <w:u w:val="single"/>
        </w:rPr>
        <w:t>APPENDIX C</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EMPLOYER INFORMATION STATEMENT – DENMARK</w:t>
        <w:br/>
        <w:t>RESTRICTED STOCK UNIT GRANT ON GRANT DATE</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br/>
        <w:t>7.    Other Issues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 </w: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Notice Provided By:</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Analog Devices, Inc.</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One Analog Way</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Wilmington, MA 01887</w:t>
      </w:r>
    </w:p>
    <w:p>
      <w:pPr>
        <w:pStyle w:val="TextBody"/>
        <w:bidi w:val="0"/>
        <w:spacing w:lineRule="auto" w:line="288" w:before="6" w:after="283"/>
        <w:jc w:val="both"/>
        <w:rPr>
          <w:rFonts w:ascii="Times New Roman;sans-serif" w:hAnsi="Times New Roman;sans-serif"/>
          <w:b w:val="false"/>
          <w:color w:val="000000"/>
          <w:sz w:val="18"/>
        </w:rPr>
      </w:pPr>
      <w:r>
        <w:rPr>
          <w:rFonts w:ascii="Times New Roman;sans-serif" w:hAnsi="Times New Roman;sans-serif"/>
          <w:b w:val="false"/>
          <w:color w:val="000000"/>
          <w:sz w:val="18"/>
        </w:rPr>
        <w:t>U.S.A.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15620"/>
                <wp:effectExtent l="0" t="0" r="0" b="0"/>
                <wp:wrapNone/>
                <wp:docPr id="134" name="Frame131"/>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- 2</w:t>
                            </w:r>
                            <w:r>
                              <w:br w:type="page"/>
                            </w:r>
                          </w:p>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- 2</w:t>
                      </w:r>
                    </w:p>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ARBEJDSGIVERERKLÆRING – DANMARK</w:t>
        <w:br/>
        <w:t>Tildeling af “Restricted Stock Units” den GRANTDATE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72" w:before="0" w:after="145"/>
        <w:jc w:val="both"/>
        <w:rPr/>
      </w:pPr>
      <w:r>
        <w:rPr>
          <w:rFonts w:ascii="Times New Roman;sans-serif" w:hAnsi="Times New Roman;sans-serif"/>
          <w:b w:val="false"/>
          <w:color w:val="000000"/>
          <w:sz w:val="18"/>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sans-serif" w:hAnsi="Times New Roman;sans-serif"/>
          <w:b w:val="false"/>
          <w:i/>
          <w:color w:val="000000"/>
          <w:sz w:val="18"/>
        </w:rPr>
        <w:t>Global Performance Restricted Stock Unit Agreement</w:t>
      </w:r>
      <w:r>
        <w:rPr>
          <w:color w:val="000000"/>
        </w:rPr>
        <w:t xml:space="preserve"> </w:t>
      </w:r>
      <w:r>
        <w:rPr>
          <w:rFonts w:ascii="Times New Roman;sans-serif" w:hAnsi="Times New Roman;sans-serif"/>
          <w:b w:val="false"/>
          <w:color w:val="000000"/>
          <w:sz w:val="18"/>
        </w:rPr>
        <w:t xml:space="preserve">(“Aftalen”), i tillægget til Aftalen og i Ordningen. </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1.    Tildelingsdato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Selskabets godkendte den Grant Date tildelingen af RSU’er i henhold til Ordningen. Tildelingsdatoen for dine RSU’er er således den Grant Date. </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2.    Vilkår og betingelser for RSU-tildelingen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 </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3.    Modningsdato for RSU’er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Når RSU’erne modnes, udsteder Selskabet én ordinær aktie i Selskabet til dig for hver RSU, der er modnet. </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4.    Udnyttelseskurs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Da hver RSU giver dig ret til at modtage én ordinær aktie i Selskabet på modningsdatoen, uden at du vil skulle betale nogen omkostninger eller andre beløb, er der ingen udnyttelseskurs forbundet med RSU’erne. </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5.    Din retsstilling i forbindelse med fratræden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Hvis din ansættelse i Selskabet eller dets koncern ophører, afhænger modningen og fortabelsen af RSU’erne af vilkårene i Aftalen. Derudover vil du ikke være berettiget til at få tildelt yderligere RSU’er efter din fratræden.</w:t>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6.    Økonomiske aspekter ved at deltage i Ordningen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 </w:t>
      </w:r>
    </w:p>
    <w:p>
      <w:pPr>
        <w:pStyle w:val="TextBody"/>
        <w:bidi w:val="0"/>
        <w:spacing w:before="0" w:after="18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15620"/>
                <wp:effectExtent l="0" t="0" r="0" b="0"/>
                <wp:wrapNone/>
                <wp:docPr id="135" name="Frame132"/>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- 3</w:t>
                            </w:r>
                            <w:r>
                              <w:br w:type="page"/>
                            </w:r>
                          </w:p>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- 3</w:t>
                      </w:r>
                    </w:p>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ARBEJDSGIVERERKLÆRING – DANMARK</w:t>
        <w:br/>
        <w:t>Tildeling af “Restricted Stock Units” den GRANTDATE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72" w:before="0" w:after="103"/>
        <w:jc w:val="both"/>
        <w:rPr>
          <w:rFonts w:ascii="Times New Roman;sans-serif" w:hAnsi="Times New Roman;sans-serif"/>
          <w:b/>
          <w:color w:val="000000"/>
          <w:sz w:val="18"/>
        </w:rPr>
      </w:pPr>
      <w:r>
        <w:rPr>
          <w:rFonts w:ascii="Times New Roman;sans-serif" w:hAnsi="Times New Roman;sans-serif"/>
          <w:b/>
          <w:color w:val="000000"/>
          <w:sz w:val="18"/>
        </w:rPr>
        <w:t xml:space="preserve">7.    Diverse </w:t>
      </w:r>
    </w:p>
    <w:p>
      <w:pPr>
        <w:pStyle w:val="TextBody"/>
        <w:bidi w:val="0"/>
        <w:spacing w:lineRule="auto" w:line="372" w:before="0" w:after="14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Meddelelse afgivet af:</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Analog Devices, Inc.</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One Analog Way</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Wilmington, MA 01887</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U.S.A.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15620"/>
                <wp:effectExtent l="0" t="0" r="0" b="0"/>
                <wp:wrapNone/>
                <wp:docPr id="136" name="Frame133"/>
                <a:graphic xmlns:a="http://schemas.openxmlformats.org/drawingml/2006/main">
                  <a:graphicData uri="http://schemas.microsoft.com/office/word/2010/wordprocessingShape">
                    <wps:wsp>
                      <wps:cNvSpPr txBox="1"/>
                      <wps:spPr>
                        <a:xfrm>
                          <a:off x="0" y="0"/>
                          <a:ext cx="6480175" cy="515620"/>
                        </a:xfrm>
                        <a:prstGeom prst="rect"/>
                        <a:solidFill>
                          <a:srgbClr val="FFFFFF"/>
                        </a:solidFill>
                      </wps:spPr>
                      <wps:txb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- 4</w:t>
                            </w:r>
                            <w:r>
                              <w:br w:type="page"/>
                            </w:r>
                          </w:p>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180"/>
                        <w:jc w:val="left"/>
                        <w:rPr>
                          <w:color w:val="000000"/>
                        </w:rPr>
                      </w:pPr>
                      <w:r>
                        <w:rPr>
                          <w:color w:val="000000"/>
                        </w:rPr>
                        <w:t>    </w:t>
                      </w:r>
                      <w:r>
                        <w:rPr>
                          <w:rFonts w:ascii="Times New Roman;sans-serif" w:hAnsi="Times New Roman;sans-serif"/>
                          <w:b w:val="false"/>
                          <w:color w:val="000000"/>
                          <w:sz w:val="18"/>
                        </w:rPr>
                        <w:t>APPENDIX C - 4</w:t>
                      </w:r>
                    </w:p>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D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80"/>
        <w:jc w:val="center"/>
        <w:rPr/>
      </w:pPr>
      <w:r>
        <w:rPr/>
      </w:r>
    </w:p>
    <w:p>
      <w:pPr>
        <w:pStyle w:val="TextBody"/>
        <w:bidi w:val="0"/>
        <w:spacing w:lineRule="auto" w:line="288" w:before="0" w:after="12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Onscreen disclaimer</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Clicking on the “ACCEPT” box indicates your acceptance of the Election. You should read the “Important Note on the Election to Transfer Employer NICs” before accepting the Election.</w:t>
      </w: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Important Note on the Election to Transfer Employer NICs</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By entering into the Election: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you agree that any employer’s NICs liability that may arise in connection with your Awards will be transferred to you;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Please read the Election carefully before accepting the Election.</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Please print and keep a copy of the Election for your records.</w:t>
      </w:r>
    </w:p>
    <w:p>
      <w:pPr>
        <w:pStyle w:val="TextBody"/>
        <w:bidi w:val="0"/>
        <w:spacing w:before="0" w:after="283"/>
        <w:jc w:val="left"/>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47040"/>
                <wp:effectExtent l="0" t="0" r="0" b="0"/>
                <wp:wrapNone/>
                <wp:docPr id="137" name="Frame134"/>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- 1</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- 1</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D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before="0" w:after="120"/>
        <w:jc w:val="center"/>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This Election is between:</w:t>
      </w:r>
    </w:p>
    <w:p>
      <w:pPr>
        <w:pStyle w:val="TextBody"/>
        <w:bidi w:val="0"/>
        <w:spacing w:lineRule="auto" w:line="288" w:before="0" w:after="180"/>
        <w:ind w:left="0" w:right="0" w:hanging="720"/>
        <w:jc w:val="both"/>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The individual who has obtained authorized access to this Election (the “</w:t>
      </w:r>
      <w:r>
        <w:rPr>
          <w:rFonts w:ascii="Times New Roman;sans-serif" w:hAnsi="Times New Roman;sans-serif"/>
          <w:b/>
          <w:color w:val="000000"/>
          <w:sz w:val="18"/>
        </w:rPr>
        <w:t>Employee</w:t>
      </w:r>
      <w:r>
        <w:rPr>
          <w:color w:val="000000"/>
        </w:rPr>
        <w:t>”</w:t>
      </w:r>
      <w:r>
        <w:rPr>
          <w:rFonts w:ascii="Times New Roman;sans-serif" w:hAnsi="Times New Roman;sans-serif"/>
          <w:b w:val="false"/>
          <w:color w:val="000000"/>
          <w:sz w:val="18"/>
        </w:rPr>
        <w:t>), who is employed by one of the employing companies listed in the attached schedule (the “</w:t>
      </w:r>
      <w:r>
        <w:rPr>
          <w:rFonts w:ascii="Times New Roman;sans-serif" w:hAnsi="Times New Roman;sans-serif"/>
          <w:b/>
          <w:color w:val="000000"/>
          <w:sz w:val="18"/>
        </w:rPr>
        <w:t>Employer</w:t>
      </w:r>
      <w:r>
        <w:rPr>
          <w:color w:val="000000"/>
        </w:rPr>
        <w:t>”</w:t>
      </w:r>
      <w:r>
        <w:rPr>
          <w:rFonts w:ascii="Times New Roman;sans-serif" w:hAnsi="Times New Roman;sans-serif"/>
          <w:b w:val="false"/>
          <w:color w:val="000000"/>
          <w:sz w:val="18"/>
        </w:rPr>
        <w:t>) and who is eligible to receive restricted stock units and/or stock options (“</w:t>
      </w:r>
      <w:r>
        <w:rPr>
          <w:rFonts w:ascii="Times New Roman;sans-serif" w:hAnsi="Times New Roman;sans-serif"/>
          <w:b/>
          <w:color w:val="000000"/>
          <w:sz w:val="18"/>
        </w:rPr>
        <w:t>Awards</w:t>
      </w:r>
      <w:r>
        <w:rPr>
          <w:color w:val="000000"/>
        </w:rPr>
        <w:t>”</w:t>
      </w:r>
      <w:r>
        <w:rPr>
          <w:rFonts w:ascii="Times New Roman;sans-serif" w:hAnsi="Times New Roman;sans-serif"/>
          <w:b w:val="false"/>
          <w:color w:val="000000"/>
          <w:sz w:val="18"/>
        </w:rPr>
        <w:t>) pursuant to the Analog Devices, Inc. 2020 Equity Incentive Plan (the “</w:t>
      </w:r>
      <w:r>
        <w:rPr>
          <w:rFonts w:ascii="Times New Roman;sans-serif" w:hAnsi="Times New Roman;sans-serif"/>
          <w:b/>
          <w:color w:val="000000"/>
          <w:sz w:val="18"/>
        </w:rPr>
        <w:t>Plan</w:t>
      </w:r>
      <w:r>
        <w:rPr>
          <w:color w:val="000000"/>
        </w:rPr>
        <w:t>”</w:t>
      </w:r>
      <w:r>
        <w:rPr>
          <w:rFonts w:ascii="Times New Roman;sans-serif" w:hAnsi="Times New Roman;sans-serif"/>
          <w:b w:val="false"/>
          <w:color w:val="000000"/>
          <w:sz w:val="18"/>
        </w:rPr>
        <w:t>), and</w:t>
      </w:r>
    </w:p>
    <w:p>
      <w:pPr>
        <w:pStyle w:val="TextBody"/>
        <w:bidi w:val="0"/>
        <w:spacing w:lineRule="auto" w:line="288" w:before="0" w:after="180"/>
        <w:ind w:left="0" w:right="0" w:hanging="720"/>
        <w:jc w:val="both"/>
        <w:rPr/>
      </w:pPr>
      <w:r>
        <w:rPr>
          <w:rFonts w:ascii="Times New Roman;sans-serif" w:hAnsi="Times New Roman;sans-serif"/>
          <w:b w:val="false"/>
          <w:color w:val="000000"/>
          <w:sz w:val="18"/>
        </w:rPr>
        <w:t>B.    Analog Devices, Inc. of One Analog Way, Wilmington, Massachusetts 01887, U.S.A. (the “</w:t>
      </w:r>
      <w:r>
        <w:rPr>
          <w:rFonts w:ascii="Times New Roman;sans-serif" w:hAnsi="Times New Roman;sans-serif"/>
          <w:b/>
          <w:color w:val="000000"/>
          <w:sz w:val="18"/>
        </w:rPr>
        <w:t>Company</w:t>
      </w:r>
      <w:r>
        <w:rPr>
          <w:color w:val="000000"/>
        </w:rPr>
        <w:t>”</w:t>
      </w:r>
      <w:r>
        <w:rPr>
          <w:rFonts w:ascii="Times New Roman;sans-serif" w:hAnsi="Times New Roman;sans-serif"/>
          <w:b w:val="false"/>
          <w:color w:val="000000"/>
          <w:sz w:val="18"/>
        </w:rPr>
        <w:t xml:space="preserve">), which may grant Awards under the Plans and is entering into this Election on behalf of the Employer. </w:t>
      </w:r>
    </w:p>
    <w:p>
      <w:pPr>
        <w:pStyle w:val="TextBody"/>
        <w:bidi w:val="0"/>
        <w:spacing w:lineRule="auto" w:line="288" w:before="0" w:after="0"/>
        <w:ind w:left="0" w:right="0" w:hanging="720"/>
        <w:jc w:val="both"/>
        <w:rPr>
          <w:rFonts w:ascii="Times New Roman;sans-serif" w:hAnsi="Times New Roman;sans-serif"/>
          <w:b/>
          <w:color w:val="000000"/>
          <w:sz w:val="18"/>
        </w:rPr>
      </w:pPr>
      <w:r>
        <w:rPr>
          <w:rFonts w:ascii="Times New Roman;sans-serif" w:hAnsi="Times New Roman;sans-serif"/>
          <w:b/>
          <w:color w:val="000000"/>
          <w:sz w:val="18"/>
        </w:rPr>
        <w:t>1.Introduction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1.1This Election relates to all Awards granted to the Employee or assumed and converted under the Plan up to the termination dates of the Plans.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1.2In this Election the following words and phrases have the following meanings: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18"/>
        </w:rPr>
        <w:t>(a)</w:t>
      </w:r>
      <w:r>
        <w:rPr>
          <w:color w:val="000000"/>
        </w:rPr>
        <w:t>“</w:t>
      </w:r>
      <w:r>
        <w:rPr>
          <w:rFonts w:ascii="Times New Roman;sans-serif" w:hAnsi="Times New Roman;sans-serif"/>
          <w:b/>
          <w:color w:val="000000"/>
          <w:sz w:val="18"/>
        </w:rPr>
        <w:t>Chargeable Event</w:t>
      </w:r>
      <w:r>
        <w:rPr>
          <w:color w:val="000000"/>
        </w:rPr>
        <w:t xml:space="preserve">” </w:t>
      </w:r>
      <w:r>
        <w:rPr>
          <w:rFonts w:ascii="Times New Roman;sans-serif" w:hAnsi="Times New Roman;sans-serif"/>
          <w:b w:val="false"/>
          <w:color w:val="000000"/>
          <w:sz w:val="18"/>
        </w:rPr>
        <w:t>means any event giving rise to Relevant Employment Income.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18"/>
        </w:rPr>
        <w:t>(b)"</w:t>
      </w:r>
      <w:r>
        <w:rPr>
          <w:rFonts w:ascii="Times New Roman;sans-serif" w:hAnsi="Times New Roman;sans-serif"/>
          <w:b/>
          <w:color w:val="000000"/>
          <w:sz w:val="18"/>
        </w:rPr>
        <w:t>Relevant Employment Income</w:t>
      </w:r>
      <w:r>
        <w:rPr>
          <w:rFonts w:ascii="Times New Roman;sans-serif" w:hAnsi="Times New Roman;sans-serif"/>
          <w:b w:val="false"/>
          <w:color w:val="000000"/>
          <w:sz w:val="18"/>
        </w:rPr>
        <w:t>" from Awards on which employer's National Insurance Contributions becomes due is defined as: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(i)an amount that counts as employment income of the earner under section 426 ITEPA (restricted securities: charge on certain post-acquisition events);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(ii)an amount that counts as employment income of the earner under section 438 of ITEPA (convertible securities: charge on certain post-acquisition events);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(iii)any gain that is treated as remuneration derived from the earner's employment by virtue of section 4(4)(a) SSCBA, including without limitation: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(A)the acquisition of securities pursuant to the Awards (within the meaning of section 477(3)(a) of ITEPA);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18"/>
        </w:rPr>
        <w:t>(B)</w:t>
      </w:r>
      <w:r>
        <w:rPr>
          <w:rFonts w:ascii="Times New Roman;sans-serif" w:hAnsi="Times New Roman;sans-serif"/>
          <w:b w:val="false"/>
          <w:color w:val="000000"/>
          <w:sz w:val="18"/>
        </w:rPr>
        <w:t xml:space="preserve">the assignment (if applicable) or release of the Awards in return for consideration (within the meaning of section 477(3)(b) of ITEPA);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(C)the receipt of a benefit in connection with the Awards, other than a benefit within (i) or (ii) above (within the meaning of section 477(3)(c) of ITEPA);</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18"/>
        </w:rPr>
        <w:t>(c)</w:t>
      </w:r>
      <w:r>
        <w:rPr>
          <w:color w:val="000000"/>
        </w:rPr>
        <w:t>“</w:t>
      </w:r>
      <w:r>
        <w:rPr>
          <w:rFonts w:ascii="Times New Roman;sans-serif" w:hAnsi="Times New Roman;sans-serif"/>
          <w:b/>
          <w:color w:val="000000"/>
          <w:sz w:val="18"/>
        </w:rPr>
        <w:t>ITEPA</w:t>
      </w:r>
      <w:r>
        <w:rPr>
          <w:color w:val="000000"/>
        </w:rPr>
        <w:t xml:space="preserve">” </w:t>
      </w:r>
      <w:r>
        <w:rPr>
          <w:rFonts w:ascii="Times New Roman;sans-serif" w:hAnsi="Times New Roman;sans-serif"/>
          <w:b w:val="false"/>
          <w:color w:val="000000"/>
          <w:sz w:val="18"/>
        </w:rPr>
        <w:t>means the Income Tax (Earnings and Pensions) Act 2003.</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18"/>
        </w:rPr>
        <w:t>(d)</w:t>
      </w:r>
      <w:r>
        <w:rPr>
          <w:color w:val="000000"/>
        </w:rPr>
        <w:t>“</w:t>
      </w:r>
      <w:r>
        <w:rPr>
          <w:rFonts w:ascii="Times New Roman;sans-serif" w:hAnsi="Times New Roman;sans-serif"/>
          <w:b/>
          <w:color w:val="000000"/>
          <w:sz w:val="18"/>
        </w:rPr>
        <w:t>SSCBA</w:t>
      </w:r>
      <w:r>
        <w:rPr>
          <w:color w:val="000000"/>
        </w:rPr>
        <w:t xml:space="preserve">” </w:t>
      </w:r>
      <w:r>
        <w:rPr>
          <w:rFonts w:ascii="Times New Roman;sans-serif" w:hAnsi="Times New Roman;sans-serif"/>
          <w:b w:val="false"/>
          <w:color w:val="000000"/>
          <w:sz w:val="18"/>
        </w:rPr>
        <w:t>means the Social Security Contributions and Benefits Act 1992.</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1.3This Election relates to the employer’s secondary Class 1 National Insurance Contributions (the “Employer’s Liability”) which may arise on Relevant Employment Income in respect of the Awards pursuant to section 4(4)(a) and/or paragraph 3B(1A) of Schedule 1 of the SSCBA.</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1.4This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47040"/>
                <wp:effectExtent l="0" t="0" r="0" b="0"/>
                <wp:wrapNone/>
                <wp:docPr id="138" name="Frame135"/>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- 2</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- 2</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D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1.5This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18"/>
        </w:rPr>
      </w:pPr>
      <w:r>
        <w:rPr>
          <w:rFonts w:ascii="Times New Roman;sans-serif" w:hAnsi="Times New Roman;sans-serif"/>
          <w:b/>
          <w:color w:val="000000"/>
          <w:sz w:val="18"/>
        </w:rPr>
        <w:t>2.The Election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pStyle w:val="TextBody"/>
        <w:bidi w:val="0"/>
        <w:spacing w:lineRule="auto" w:line="288" w:before="0" w:after="0"/>
        <w:ind w:left="0" w:right="0" w:hanging="720"/>
        <w:jc w:val="both"/>
        <w:rPr>
          <w:rFonts w:ascii="Times New Roman;sans-serif" w:hAnsi="Times New Roman;sans-serif"/>
          <w:b/>
          <w:color w:val="000000"/>
          <w:sz w:val="18"/>
        </w:rPr>
      </w:pPr>
      <w:r>
        <w:rPr>
          <w:rFonts w:ascii="Times New Roman;sans-serif" w:hAnsi="Times New Roman;sans-serif"/>
          <w:b/>
          <w:color w:val="000000"/>
          <w:sz w:val="18"/>
        </w:rPr>
        <w:t>3.Payment of the Employer’s Liability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3.1The Employee hereby authorizes the Company and/or the Employer to collect the Employer’s Liability in respect of any Relevant Employment Income from the Employee at any time after the Chargeable Event:</w:t>
      </w:r>
    </w:p>
    <w:p>
      <w:pPr>
        <w:pStyle w:val="TextBody"/>
        <w:bidi w:val="0"/>
        <w:spacing w:before="0" w:after="0"/>
        <w:jc w:val="both"/>
        <w:rPr/>
      </w:pPr>
      <w:r>
        <w:rPr/>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by deduction from salary or any other payment payable to the Employee at any time on or after the date of the Chargeable Event; and/or </w:t>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(ii)    directly from the Employee by payment in cash or cleared funds; and/or</w:t>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(iii)    by arranging, on behalf of the Employee, for the sale of some of the securities which the Employee is entitled to receive in respect of the Awards; and/or</w:t>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(iv)    by any other means specified in the applicable award agreement.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3.2The Company hereby reserves for itself and the Employer the right to withhold the transfer of any securities in respect of the Awards to the Employee until full payment of the Employer’s Liability is received.</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3.3The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lineRule="auto" w:line="288" w:before="0" w:after="0"/>
        <w:ind w:left="0" w:right="0" w:hanging="720"/>
        <w:jc w:val="both"/>
        <w:rPr>
          <w:rFonts w:ascii="Times New Roman;sans-serif" w:hAnsi="Times New Roman;sans-serif"/>
          <w:b/>
          <w:color w:val="000000"/>
          <w:sz w:val="18"/>
        </w:rPr>
      </w:pPr>
      <w:r>
        <w:rPr>
          <w:rFonts w:ascii="Times New Roman;sans-serif" w:hAnsi="Times New Roman;sans-serif"/>
          <w:b/>
          <w:color w:val="000000"/>
          <w:sz w:val="18"/>
        </w:rPr>
        <w:t>4.Duration of Election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4.1The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4.2This Election will continue in effect until the earliest of the following:</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the Employee and the Company agree in writing that it should cease to have effect; </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on the date the Company serves written notice on the Employee terminating its effect; </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(iii)     on the date HM Revenue &amp; Customs withdraws approval of this Election; or </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(iv)     after due payment of the Employer’s Liability in respect of the entirety of the Awards to which this Election relates or could relate, such that the Election ceases to have effect in accordance with its terms.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4.3This Election will continue in force regardless of whether the Employee ceases to be an employee of the Employer.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4.4Any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pStyle w:val="TextBody"/>
        <w:bidi w:val="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447040"/>
                <wp:effectExtent l="0" t="0" r="0" b="0"/>
                <wp:wrapNone/>
                <wp:docPr id="139" name="Frame136"/>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- 3</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- 3</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D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lineRule="auto" w:line="288" w:before="0" w:after="120"/>
        <w:ind w:left="0" w:right="0" w:hanging="720"/>
        <w:jc w:val="both"/>
        <w:rPr>
          <w:rFonts w:ascii="Times New Roman;sans-serif" w:hAnsi="Times New Roman;sans-serif"/>
          <w:b/>
          <w:color w:val="000000"/>
          <w:sz w:val="18"/>
          <w:u w:val="single"/>
        </w:rPr>
      </w:pPr>
      <w:r>
        <w:rPr>
          <w:rFonts w:ascii="Times New Roman;sans-serif" w:hAnsi="Times New Roman;sans-serif"/>
          <w:b/>
          <w:color w:val="000000"/>
          <w:sz w:val="18"/>
          <w:u w:val="single"/>
        </w:rPr>
        <w:t>Acceptance by the Employee</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Employee acknowledges that, by clicking on the “ACCEPT” box, the Employee agrees to be bound by the terms of this Election.</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Acceptance by Analog Devices, Inc.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Analog Devices, Inc. acknowledges that, by signing this Election or arranging for the scanned signature of an authorized representative to appear on this Election, Analog Devices, Inc. agrees to be bound by the terms of this Election.</w:t>
      </w:r>
    </w:p>
    <w:p>
      <w:pPr>
        <w:pStyle w:val="TextBody"/>
        <w:bidi w:val="0"/>
        <w:spacing w:before="0" w:after="120"/>
        <w:ind w:left="0" w:right="0" w:hanging="720"/>
        <w:jc w:val="both"/>
        <w:rPr/>
      </w:pPr>
      <w:r>
        <w:rPr/>
      </w:r>
    </w:p>
    <w:p>
      <w:pPr>
        <w:pStyle w:val="TextBody"/>
        <w:bidi w:val="0"/>
        <w:spacing w:before="0" w:after="120"/>
        <w:jc w:val="both"/>
        <w:rPr/>
      </w:pPr>
      <w:r>
        <w:rPr/>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Signature for and on behalf of Analog Devices, Inc.</w:t>
      </w:r>
    </w:p>
    <w:tbl>
      <w:tblPr>
        <w:tblW w:w="1949" w:type="dxa"/>
        <w:jc w:val="left"/>
        <w:tblInd w:w="0" w:type="dxa"/>
        <w:tblLayout w:type="fixed"/>
        <w:tblCellMar>
          <w:top w:w="28" w:type="dxa"/>
          <w:left w:w="28" w:type="dxa"/>
          <w:bottom w:w="28" w:type="dxa"/>
          <w:right w:w="28" w:type="dxa"/>
        </w:tblCellMar>
      </w:tblPr>
      <w:tblGrid>
        <w:gridCol w:w="623"/>
        <w:gridCol w:w="547"/>
        <w:gridCol w:w="77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Richard P. Ahern</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Richard P. Ahern</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Corporate Vice President</w:t>
            </w:r>
          </w:p>
        </w:tc>
      </w:tr>
    </w:tbl>
    <w:p>
      <w:pPr>
        <w:pStyle w:val="TextBody"/>
        <w:bidi w:val="0"/>
        <w:spacing w:before="0" w:after="120"/>
        <w:ind w:left="0" w:right="0" w:hanging="720"/>
        <w:jc w:val="both"/>
        <w:rPr/>
      </w:pPr>
      <w:r>
        <w:rPr/>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Date: Grant Date</w:t>
      </w:r>
    </w:p>
    <w:p>
      <w:pPr>
        <w:pStyle w:val="TextBody"/>
        <w:bidi w:val="0"/>
        <w:spacing w:lineRule="auto" w:line="288" w:before="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Name: Participant Name</w:t>
      </w:r>
    </w:p>
    <w:p>
      <w:pPr>
        <w:pStyle w:val="TextBody"/>
        <w:bidi w:val="0"/>
        <w:spacing w:before="0" w:after="120"/>
        <w:ind w:left="0" w:right="0" w:hanging="720"/>
        <w:jc w:val="both"/>
        <w:rPr/>
      </w:pPr>
      <w:r>
        <w:rPr/>
      </w:r>
    </w:p>
    <w:p>
      <w:pPr>
        <w:pStyle w:val="TextBody"/>
        <w:bidi w:val="0"/>
        <w:spacing w:before="0" w:after="283"/>
        <w:jc w:val="left"/>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47040"/>
                <wp:effectExtent l="0" t="0" r="0" b="0"/>
                <wp:wrapNone/>
                <wp:docPr id="140" name="Frame137"/>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- 4</w:t>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- 4</w:t>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APPENDIX D TO</w:t>
      </w:r>
    </w:p>
    <w:p>
      <w:pPr>
        <w:pStyle w:val="TextBody"/>
        <w:bidi w:val="0"/>
        <w:spacing w:lineRule="auto" w:line="28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2020 EQUITY INCENTIVE PLAN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 AGREEMENT</w:t>
      </w:r>
    </w:p>
    <w:p>
      <w:pPr>
        <w:pStyle w:val="TextBody"/>
        <w:bidi w:val="0"/>
        <w:spacing w:lineRule="auto" w:line="288" w:before="0" w:after="120"/>
        <w:jc w:val="center"/>
        <w:rPr>
          <w:rFonts w:ascii="Times New Roman;sans-serif" w:hAnsi="Times New Roman;sans-serif"/>
          <w:b/>
          <w:color w:val="000000"/>
          <w:sz w:val="18"/>
          <w:u w:val="single"/>
        </w:rPr>
      </w:pPr>
      <w:r>
        <w:rPr>
          <w:rFonts w:ascii="Times New Roman;sans-serif" w:hAnsi="Times New Roman;sans-serif"/>
          <w:b/>
          <w:color w:val="000000"/>
          <w:sz w:val="18"/>
          <w:u w:val="single"/>
        </w:rPr>
        <w:t>Schedule of Employer Companies</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are employer companies to which this Election may apply:</w:t>
      </w:r>
    </w:p>
    <w:p>
      <w:pPr>
        <w:pStyle w:val="TextBody"/>
        <w:bidi w:val="0"/>
        <w:spacing w:lineRule="auto" w:line="288" w:before="0" w:after="120"/>
        <w:jc w:val="both"/>
        <w:rPr>
          <w:rFonts w:ascii="Times New Roman;sans-serif" w:hAnsi="Times New Roman;sans-serif"/>
          <w:b w:val="false"/>
          <w:i/>
          <w:color w:val="000000"/>
          <w:sz w:val="18"/>
        </w:rPr>
      </w:pPr>
      <w:r>
        <w:rPr>
          <w:rFonts w:ascii="Times New Roman;sans-serif" w:hAnsi="Times New Roman;sans-serif"/>
          <w:b w:val="false"/>
          <w:i/>
          <w:color w:val="000000"/>
          <w:sz w:val="18"/>
        </w:rPr>
        <w:t>For each company, provide the following details:</w:t>
      </w:r>
    </w:p>
    <w:p>
      <w:pPr>
        <w:pStyle w:val="TextBody"/>
        <w:bidi w:val="0"/>
        <w:spacing w:lineRule="auto" w:line="288" w:before="0" w:after="240"/>
        <w:ind w:left="0" w:right="0" w:hanging="15"/>
        <w:jc w:val="both"/>
        <w:rPr>
          <w:rFonts w:ascii="Times New Roman;sans-serif" w:hAnsi="Times New Roman;sans-serif"/>
          <w:b w:val="false"/>
          <w:color w:val="000000"/>
          <w:sz w:val="18"/>
        </w:rPr>
      </w:pPr>
      <w:r>
        <w:rPr>
          <w:rFonts w:ascii="Times New Roman;sans-serif" w:hAnsi="Times New Roman;sans-serif"/>
          <w:b w:val="false"/>
          <w:color w:val="000000"/>
          <w:sz w:val="18"/>
        </w:rPr>
        <w:t>Analog Devices Limited</w:t>
      </w:r>
    </w:p>
    <w:tbl>
      <w:tblPr>
        <w:tblW w:w="6659" w:type="dxa"/>
        <w:jc w:val="left"/>
        <w:tblInd w:w="0" w:type="dxa"/>
        <w:tblLayout w:type="fixed"/>
        <w:tblCellMar>
          <w:top w:w="28" w:type="dxa"/>
          <w:left w:w="28" w:type="dxa"/>
          <w:bottom w:w="28" w:type="dxa"/>
          <w:right w:w="28" w:type="dxa"/>
        </w:tblCellMar>
      </w:tblPr>
      <w:tblGrid>
        <w:gridCol w:w="863"/>
        <w:gridCol w:w="758"/>
        <w:gridCol w:w="763"/>
        <w:gridCol w:w="1250"/>
        <w:gridCol w:w="1250"/>
        <w:gridCol w:w="1775"/>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Registered Office:</w:t>
            </w:r>
          </w:p>
        </w:tc>
        <w:tc>
          <w:tcPr>
            <w:tcW w:w="42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15 Pressing Lane, Blyth Road, Hayes, England, UB3 1EP</w:t>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Company Registration Number:</w:t>
            </w:r>
          </w:p>
        </w:tc>
        <w:tc>
          <w:tcPr>
            <w:tcW w:w="42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00895439</w:t>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Corporation Tax Reference:</w:t>
            </w:r>
          </w:p>
        </w:tc>
        <w:tc>
          <w:tcPr>
            <w:tcW w:w="42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6873689030216A</w:t>
            </w:r>
          </w:p>
        </w:tc>
      </w:tr>
      <w:tr>
        <w:trPr/>
        <w:tc>
          <w:tcPr>
            <w:tcW w:w="2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PAYE Reference:</w:t>
            </w:r>
          </w:p>
        </w:tc>
        <w:tc>
          <w:tcPr>
            <w:tcW w:w="42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120/A4055</w:t>
            </w:r>
          </w:p>
        </w:tc>
      </w:tr>
    </w:tbl>
    <w:p>
      <w:pPr>
        <w:pStyle w:val="TextBody"/>
        <w:bidi w:val="0"/>
        <w:spacing w:before="6"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10.58</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47040"/>
                <wp:effectExtent l="0" t="0" r="0" b="0"/>
                <wp:wrapNone/>
                <wp:docPr id="141" name="Frame138"/>
                <a:graphic xmlns:a="http://schemas.openxmlformats.org/drawingml/2006/main">
                  <a:graphicData uri="http://schemas.microsoft.com/office/word/2010/wordprocessingShape">
                    <wps:wsp>
                      <wps:cNvSpPr txBox="1"/>
                      <wps:spPr>
                        <a:xfrm>
                          <a:off x="0" y="0"/>
                          <a:ext cx="6480175" cy="44704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- 5</w:t>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2pt;mso-wrap-distance-left:0pt;mso-wrap-distance-right:0pt;mso-wrap-distance-top:0pt;mso-wrap-distance-bottom:0pt;margin-top:0pt;mso-position-vertical:top;mso-position-vertical-relative:text;margin-left:-428.2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APPENDIX D - 5</w:t>
                      </w:r>
                    </w:p>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November 20, 2024</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Martin Cotter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Dear Martin,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It is a great pleasure to offer you the role of Senior Vice President, Vertical Business Units. You will be reporting to the Chief Executive Officer, Vincent Roche (“CEO”), at our Wilmington, MA location. </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2"/>
        </w:rPr>
        <w:t xml:space="preserve">Your start date in your new role on </w:t>
      </w:r>
      <w:r>
        <w:rPr>
          <w:rFonts w:ascii="Calibri;sans-serif" w:hAnsi="Calibri;sans-serif"/>
          <w:b/>
          <w:color w:val="000000"/>
          <w:sz w:val="22"/>
        </w:rPr>
        <w:t>December 1</w:t>
      </w:r>
      <w:r>
        <w:rPr>
          <w:rFonts w:ascii="Calibri;sans-serif" w:hAnsi="Calibri;sans-serif"/>
          <w:b/>
          <w:color w:val="000000"/>
          <w:sz w:val="14"/>
        </w:rPr>
        <w:t>st</w:t>
      </w:r>
      <w:r>
        <w:rPr>
          <w:rFonts w:ascii="Calibri;sans-serif" w:hAnsi="Calibri;sans-serif"/>
          <w:b/>
          <w:color w:val="000000"/>
          <w:sz w:val="22"/>
        </w:rPr>
        <w:t>, 2024</w:t>
      </w:r>
      <w:r>
        <w:rPr>
          <w:rFonts w:ascii="Calibri;sans-serif" w:hAnsi="Calibri;sans-serif"/>
          <w:b w:val="false"/>
          <w:color w:val="000000"/>
          <w:sz w:val="22"/>
        </w:rPr>
        <w:t>. You will work with Gregory Bryant to ensure a smooth handover of responsibilities.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Cash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color w:val="000000"/>
          <w:sz w:val="22"/>
        </w:rPr>
        <w:t xml:space="preserve">Base Salary. </w:t>
      </w:r>
      <w:r>
        <w:rPr>
          <w:rFonts w:ascii="Calibri;sans-serif" w:hAnsi="Calibri;sans-serif"/>
          <w:b w:val="false"/>
          <w:color w:val="000000"/>
          <w:sz w:val="22"/>
        </w:rPr>
        <w:t>You will be paid at the bi-weekly rate of $23,076.92, which is annualized at $600,000.</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Calibri;sans-serif" w:hAnsi="Calibri;sans-serif"/>
          <w:b/>
          <w:color w:val="000000"/>
          <w:sz w:val="22"/>
        </w:rPr>
        <w:t xml:space="preserve">Bonus. </w:t>
      </w:r>
      <w:r>
        <w:rPr>
          <w:rFonts w:ascii="Calibri;sans-serif" w:hAnsi="Calibri;sans-serif"/>
          <w:b w:val="false"/>
          <w:color w:val="000000"/>
          <w:sz w:val="22"/>
        </w:rPr>
        <w:t>You will participate in the Executive Performance Incentive Plan (the “Plan”) commencing from the 2025 Fiscal Year. Your bonus target under the Plan will be 100% of your base salary. Your eligibility for a Bonus payment and the terms of the bonus are governed by the Plan, as it may be amended from time to time by our Board of Directors or the Compensation and Talent Committee of the Board.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Equity Compensation.</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22"/>
        </w:rPr>
        <w:t>Ongoing Equity Grants (Focal Equity Awards)</w:t>
      </w:r>
      <w:r>
        <w:rPr>
          <w:rFonts w:ascii="Calibri;sans-serif" w:hAnsi="Calibri;sans-serif"/>
          <w:b w:val="false"/>
          <w:color w:val="000000"/>
          <w:sz w:val="22"/>
        </w:rPr>
        <w:t>. At the Company’s next focal program in Fiscal Year 2025, you will be recommended for an equity award(s) having an aggregate grant date value of $4.8 million. The equity award(s) will be comprised of the same types of equity received by other executives reporting to the CEO. The timing and structure of the awards is subject to review and approval by the Compensation and Talent Committee who has full discretion in determining the composition of annual executive equity awards. There is no guarantee that the value or composition of equity awards in ADI’s Fiscal Year 2026 (or in subsequent years) will be the same as what is described for Fiscal Year 2025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As a member of ADI’s executive leadership team, ADI will offer you its standard agreements with executives, including a Retention Agreement and Indemnification Agreement, each as approved by the Board of Directors and/or the Compensation and Talent Committee of the Board.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Subject to confirmation by our Board of Directors, the position you are being offered would qualify you as a "Section 16 officer" of ADI.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Further, you will be subject to our executive stock ownership guidelines, which are subject to review by our Board of Directors from time to time. Under the executive stock ownership guidelines, you will be expected to own at least a number of ADI shares having a value equal to three times your base salary, valued at the current market value of ADI shares. Shares counted toward these guidelines include any shares you hold directly, or that are beneficially held by you, any vested or unvested time-based RSUs and unvested performance-based RSUs whose performance has been certified by the Compensation and Talent Committee.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Your employment relationship with ADI will be on an “at will” basis. This means either you or ADI may terminate the employment relationship at any time, for any reason, or without a reason, and without prior notice.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This offer letter is not a contract guaranteeing employment for any specified period of time. ADI reserves the right to amend or terminate any of the above-described programs, plans or policies at any time and from time to time. This means that policies, compensation, and benefits applicable to its executives and employees generally may be amended or terminated at ADI’s discretion.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Other than the agreements signed contemporaneously herewith, this letter sets forth the complete and sole understanding between the parties regarding your employment and supersedes any and all other offers, agreements or understandings, whether oral or written, between you and the Company.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 believe you will be an excellent addition to the ADI executive leadership team and look forward to working with us in that capacity. We are certain you will find this new role both challenging and rewarding.</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Sincerely,</w:t>
      </w:r>
    </w:p>
    <w:p>
      <w:pPr>
        <w:pStyle w:val="TextBody"/>
        <w:bidi w:val="0"/>
        <w:spacing w:before="0" w:after="0"/>
        <w:jc w:val="left"/>
        <w:rPr/>
      </w:pPr>
      <w:r>
        <w:rPr/>
      </w:r>
    </w:p>
    <w:tbl>
      <w:tblPr>
        <w:tblW w:w="4065" w:type="dxa"/>
        <w:jc w:val="left"/>
        <w:tblInd w:w="0" w:type="dxa"/>
        <w:tblLayout w:type="fixed"/>
        <w:tblCellMar>
          <w:top w:w="28" w:type="dxa"/>
          <w:left w:w="28" w:type="dxa"/>
          <w:bottom w:w="28" w:type="dxa"/>
          <w:right w:w="28" w:type="dxa"/>
        </w:tblCellMar>
      </w:tblPr>
      <w:tblGrid>
        <w:gridCol w:w="1300"/>
        <w:gridCol w:w="1140"/>
        <w:gridCol w:w="1625"/>
      </w:tblGrid>
      <w:tr>
        <w:trPr/>
        <w:tc>
          <w:tcPr>
            <w:tcW w:w="1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Mariya Trickett</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Mariya Trickett</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Senior Vice President &amp; Chief People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I accept the above offer.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634" w:type="dxa"/>
        <w:jc w:val="left"/>
        <w:tblInd w:w="0" w:type="dxa"/>
        <w:tblLayout w:type="fixed"/>
        <w:tblCellMar>
          <w:top w:w="28" w:type="dxa"/>
          <w:left w:w="28" w:type="dxa"/>
          <w:bottom w:w="28" w:type="dxa"/>
          <w:right w:w="28" w:type="dxa"/>
        </w:tblCellMar>
      </w:tblPr>
      <w:tblGrid>
        <w:gridCol w:w="374"/>
        <w:gridCol w:w="330"/>
        <w:gridCol w:w="331"/>
        <w:gridCol w:w="549"/>
        <w:gridCol w:w="549"/>
        <w:gridCol w:w="551"/>
        <w:gridCol w:w="109"/>
        <w:gridCol w:w="109"/>
        <w:gridCol w:w="109"/>
        <w:gridCol w:w="194"/>
        <w:gridCol w:w="194"/>
        <w:gridCol w:w="196"/>
        <w:gridCol w:w="597"/>
        <w:gridCol w:w="597"/>
        <w:gridCol w:w="845"/>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Martin Cotter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Date: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Calibri;sans-serif" w:hAnsi="Calibri;sans-serif"/>
                <w:b w:val="false"/>
                <w:color w:val="000000"/>
                <w:sz w:val="22"/>
              </w:rPr>
              <w:t>November 20, 2024</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Martin Cotter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w: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ANALOG DEVICES, INC.</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Insider Trading Policy</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000000"/>
          <w:sz w:val="24"/>
        </w:rPr>
        <w:t>1.</w:t>
      </w:r>
      <w:r>
        <w:rPr>
          <w:rFonts w:ascii="Times New Roman;sans-serif" w:hAnsi="Times New Roman;sans-serif"/>
          <w:b/>
          <w:color w:val="000000"/>
          <w:sz w:val="24"/>
        </w:rPr>
        <w:t>BACKGROUND AND PURPOSE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Why Have We Adopted This Policy</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The federal securities laws prohibit any member of the Board of Directors (a “Director”), officer (as defined in Rule 16a-1(f) under the Securities Exchange Act of 1934 (the “Exchange Act”), an “executive officer”) or employee of Analog Devices,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This insider trading policy is being adopted in light of these legal requirements, and with the goal of helping:</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prevent inadvertent violations of the insider trading laws;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avoid embarrassing proxy disclosure of reporting violations by persons subject to Section 16 of the Exchange Act;</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 xml:space="preserve">promote compliance with the Company's obligation to publicly disclose information related to its insider trading policies and procedures and the use of certain trading arrangements by Company insiders; </w:t>
      </w:r>
    </w:p>
    <w:p>
      <w:pPr>
        <w:pStyle w:val="TextBody"/>
        <w:bidi w:val="0"/>
        <w:spacing w:before="0" w:after="0"/>
        <w:ind w:left="0" w:right="0" w:hanging="721"/>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avoid the appearance of impropriety on the part of those employed by, or associated with, the Company;</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protect the Company from controlling person liability; and</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protect the reputation of the Company, its Directors and its employees.</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As detailed below, this policy applies to family members and certain other individuals and entities with whom Directors and employees have relationships. While the provisions in Sections 2 and 3 of this policy are not applicable to transactions by the Company itself, transactions by the Company will only be made in accordance with applicable U.S. federal securities laws, including those relating to insider trading.</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What Type of Information is “Material”?</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concerning the Company is considered material if there is a substantial likelihood that a reasonable shareholder would consider the information important in making an investment decision with respect to the Company’s securities. Stated another way, there must be a substantial likelihood that a reasonable shareholder would view the information as having significantly altered the “total mix” of 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pStyle w:val="TextBody"/>
        <w:bidi w:val="0"/>
        <w:spacing w:before="0" w:after="0"/>
        <w:ind w:left="0" w:right="0" w:firstLine="719"/>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the Company’s revenues or earnings;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significant merger or acquisition involving the Company;</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change in control of the Company;</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 significant change in the management or the Board of Directors of the Company;</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the public or private sale of a significant amount of securities of the Company;</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the public offering of debt or equity securities;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the Company’s decision to commence, modify or terminate the payment of cash dividends;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the establishment of a program to repurchase securities of the Company;</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change in the Company’s debt ratings;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stock split;</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default on outstanding debt of the Company or a bankruptcy filing;</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pending or threatened significant litigation, or the resolution of such litigation;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 new product release or a significant development, invention or discovery;</w:t>
      </w:r>
    </w:p>
    <w:p>
      <w:pPr>
        <w:pStyle w:val="TextBody"/>
        <w:bidi w:val="0"/>
        <w:spacing w:before="0" w:after="0"/>
        <w:jc w:val="left"/>
        <w:rPr/>
      </w:pPr>
      <w:r>
        <w:rPr/>
      </w:r>
    </w:p>
    <w:p>
      <w:pPr>
        <w:pStyle w:val="TextBody"/>
        <w:bidi w:val="0"/>
        <w:spacing w:lineRule="auto" w:line="288"/>
        <w:ind w:left="0" w:right="0" w:hanging="720"/>
        <w:jc w:val="left"/>
        <w:rPr/>
      </w:pPr>
      <w:r>
        <w:rPr>
          <w:color w:val="000000"/>
        </w:rPr>
        <w:t>▪</w:t>
      </w:r>
      <w:r>
        <w:rPr>
          <w:rFonts w:ascii="Times New Roman;sans-serif" w:hAnsi="Times New Roman;sans-serif"/>
          <w:b w:val="false"/>
          <w:color w:val="000000"/>
          <w:sz w:val="24"/>
        </w:rPr>
        <w:t>the loss, delay or gain of a significant contract, sale or order or other important development regarding customers, business partners or suppliers;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 significant cybersecurity incident or investigation of a potential such incident;</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 conclusion by the Company or a notification from its independent auditor that any of the Company’s previously issued financial statements should no longer be relied upon; or</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 change in or disagreement (within the meaning of Item 304 of Regulation S-K) with the Company’s independent auditor.</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This list is illustrative only and is not intended to provide a comprehensive list of circumstances that could give rise to material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When is Information “Nonpublic”</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concerning the Company is considered nonpublic if it has not been disseminated in a manner making it available to investors generally.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will generally be considered nonpublic unless (1) the information has been disclosed in a press release, in a public filing made with the SEC (such as a Report on Form 10- K, Form 10-Q or Form 8-K), or through a news wire service or daily newspaper of wide circulation, and (2) a sufficient amount of time has passed so that the information has had an opportunity to be digested by the marketplace.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PROHIBITIONS RELATING TO TRANSACTIONS IN THE COMPANY’S SECURITIES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Covered Persons</w:t>
      </w:r>
      <w:r>
        <w:rPr>
          <w:rFonts w:ascii="Times New Roman;sans-serif" w:hAnsi="Times New Roman;sans-serif"/>
          <w:b w:val="false"/>
          <w:color w:val="000000"/>
          <w:sz w:val="24"/>
        </w:rPr>
        <w:t>. This Section 2 applies to the following individuals and entities (collectively, “Covered Persons”):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all Directors;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all employees;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Chief Legal Officer determines should not be covered by this policy); and</w:t>
      </w:r>
    </w:p>
    <w:p>
      <w:pPr>
        <w:pStyle w:val="TextBody"/>
        <w:bidi w:val="0"/>
        <w:spacing w:before="0" w:after="0"/>
        <w:jc w:val="left"/>
        <w:rPr/>
      </w:pPr>
      <w:r>
        <w:rPr/>
      </w:r>
    </w:p>
    <w:p>
      <w:pPr>
        <w:pStyle w:val="TextBody"/>
        <w:bidi w:val="0"/>
        <w:spacing w:lineRule="auto" w:line="288"/>
        <w:ind w:left="0" w:right="0" w:hanging="720"/>
        <w:jc w:val="left"/>
        <w:rPr/>
      </w:pPr>
      <w:r>
        <w:rPr>
          <w:color w:val="000000"/>
        </w:rPr>
        <w:t>▪</w:t>
      </w:r>
      <w:r>
        <w:rPr>
          <w:rFonts w:ascii="Times New Roman;sans-serif" w:hAnsi="Times New Roman;sans-serif"/>
          <w:b w:val="false"/>
          <w:color w:val="000000"/>
          <w:sz w:val="24"/>
        </w:rPr>
        <w:t xml:space="preserve">all corporations, limited liability companies, partnerships, trusts or other entities controlled by any of the above Covered Persons, unless the entity has implemented policies or procedures designed to ensure that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such Covered Person cannot influence transactions by the entity involving Company securities.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Prohibition on Trading While Aware of Material Nonpublic Information</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439"/>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Prohibited Activities</w:t>
      </w:r>
      <w:r>
        <w:rPr>
          <w:rFonts w:ascii="Times New Roman;sans-serif" w:hAnsi="Times New Roman;sans-serif"/>
          <w:b w:val="false"/>
          <w:color w:val="000000"/>
          <w:sz w:val="24"/>
        </w:rPr>
        <w:t>. Except as provided in Section 4, no Covered Person may:</w:t>
      </w:r>
    </w:p>
    <w:p>
      <w:pPr>
        <w:pStyle w:val="TextBody"/>
        <w:bidi w:val="0"/>
        <w:spacing w:before="0" w:after="0"/>
        <w:jc w:val="left"/>
        <w:rPr/>
      </w:pPr>
      <w:r>
        <w:rPr/>
      </w:r>
    </w:p>
    <w:p>
      <w:pPr>
        <w:pStyle w:val="TextBody"/>
        <w:bidi w:val="0"/>
        <w:spacing w:lineRule="auto" w:line="288" w:before="0" w:after="0"/>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purchase, sell or gift any securities of the Company while such Covered Person is aware of any material nonpublic information concerning the Company or recommend doing so to someone else;</w:t>
      </w:r>
    </w:p>
    <w:p>
      <w:pPr>
        <w:pStyle w:val="TextBody"/>
        <w:bidi w:val="0"/>
        <w:spacing w:before="0" w:after="0"/>
        <w:jc w:val="left"/>
        <w:rPr/>
      </w:pPr>
      <w:r>
        <w:rPr/>
      </w:r>
    </w:p>
    <w:p>
      <w:pPr>
        <w:pStyle w:val="TextBody"/>
        <w:bidi w:val="0"/>
        <w:spacing w:lineRule="auto" w:line="288"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tip or otherwise disclose to someone else any material nonpublic information concerning the Company if the recipient may misuse that information, such as by purchasing or selling Company securities or tipping that information to others;</w:t>
      </w:r>
    </w:p>
    <w:p>
      <w:pPr>
        <w:pStyle w:val="TextBody"/>
        <w:bidi w:val="0"/>
        <w:spacing w:before="0" w:after="0"/>
        <w:jc w:val="left"/>
        <w:rPr/>
      </w:pPr>
      <w:r>
        <w:rPr/>
      </w:r>
    </w:p>
    <w:p>
      <w:pPr>
        <w:pStyle w:val="TextBody"/>
        <w:bidi w:val="0"/>
        <w:spacing w:lineRule="auto" w:line="288"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purchase, sell or gift any securities of another company while such Covered Person is aware of any material nonpublic information concerning such other company which such Covered Person learned in the course of service as a Director or employee of the Company or recommend doing so to someone else; or</w:t>
      </w:r>
    </w:p>
    <w:p>
      <w:pPr>
        <w:pStyle w:val="TextBody"/>
        <w:bidi w:val="0"/>
        <w:spacing w:before="0" w:after="0"/>
        <w:ind w:left="0" w:right="0" w:hanging="721"/>
        <w:jc w:val="left"/>
        <w:rPr/>
      </w:pPr>
      <w:r>
        <w:rPr/>
      </w:r>
    </w:p>
    <w:p>
      <w:pPr>
        <w:pStyle w:val="TextBody"/>
        <w:bidi w:val="0"/>
        <w:spacing w:lineRule="auto" w:line="288"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tip or otherwise disclose to someone else any material nonpublic information concerning another company which such Covered Person learned in the course of service as a Director or employee of the Company if the recipient may misuse that information, such as by purchasing or selling securities of such other company or tipping that information to others.</w:t>
      </w:r>
    </w:p>
    <w:p>
      <w:pPr>
        <w:pStyle w:val="TextBody"/>
        <w:bidi w:val="0"/>
        <w:spacing w:before="0" w:after="0"/>
        <w:jc w:val="left"/>
        <w:rPr/>
      </w:pPr>
      <w:r>
        <w:rPr/>
      </w:r>
    </w:p>
    <w:p>
      <w:pPr>
        <w:pStyle w:val="TextBody"/>
        <w:bidi w:val="0"/>
        <w:spacing w:lineRule="auto" w:line="288" w:before="0" w:after="0"/>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Application of Policy After Cessation of Service</w:t>
      </w:r>
      <w:r>
        <w:rPr>
          <w:rFonts w:ascii="Times New Roman;sans-serif" w:hAnsi="Times New Roman;sans-serif"/>
          <w:b w:val="false"/>
          <w:color w:val="000000"/>
          <w:sz w:val="24"/>
        </w:rPr>
        <w:t>. If an individual or entity ceases to be a Covered Person at a time when such individual or entity is aware of material nonpublic information concerning the Company, the prohibitions on purchasing, selling and gifting of Company securities in Section 2.2(a) shall continue to apply until that information has become public or is no longer material.</w:t>
      </w:r>
    </w:p>
    <w:p>
      <w:pPr>
        <w:pStyle w:val="TextBody"/>
        <w:bidi w:val="0"/>
        <w:spacing w:before="0" w:after="0"/>
        <w:jc w:val="left"/>
        <w:rPr/>
      </w:pPr>
      <w:r>
        <w:rPr/>
      </w:r>
    </w:p>
    <w:p>
      <w:pPr>
        <w:pStyle w:val="TextBody"/>
        <w:bidi w:val="0"/>
        <w:spacing w:lineRule="auto" w:line="288" w:before="0" w:after="0"/>
        <w:ind w:left="0" w:right="0" w:firstLine="719"/>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Prohibition on Pledges</w:t>
      </w:r>
      <w:r>
        <w:rPr>
          <w:rFonts w:ascii="Times New Roman;sans-serif" w:hAnsi="Times New Roman;sans-serif"/>
          <w:b w:val="false"/>
          <w:color w:val="000000"/>
          <w:sz w:val="24"/>
        </w:rPr>
        <w:t>. No Covered Person may purchase Company securities on margin, borrow against Company securities held in a margin account, or pledge Company securities as collateral for a loan, except to the extent approved prior to the approval of this Insider Trading Policy by the Board of Directors of the Company.</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19"/>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Prohibition on Short Sales, Derivative Transactions and Hedging Transactions.</w:t>
      </w:r>
      <w:r>
        <w:rPr>
          <w:color w:val="000000"/>
        </w:rPr>
        <w:t xml:space="preserve"> </w:t>
      </w:r>
      <w:r>
        <w:rPr>
          <w:rFonts w:ascii="Times New Roman;sans-serif" w:hAnsi="Times New Roman;sans-serif"/>
          <w:b w:val="false"/>
          <w:color w:val="000000"/>
          <w:sz w:val="24"/>
        </w:rPr>
        <w:t>No Covered Person may engage in any of the following types of transactions with respect to Company securities: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short sales, including short sales “against the box”; or</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purchases or sales of puts, calls or other derivative securities; or</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purchases of financial instruments (including prepaid variable forward contracts, equity swaps, collars and exchange funds) or other transactions that hedge or offset, or are designed to hedge or offset, any decrease in the market value of Company securities.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ADDITIONAL PROHIBITIONS APPLICABLE TO DIRECTORS, EXECUTIVE OFFICERS AND DESIGNATED EMPLOYEES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Further Restricted Insiders</w:t>
      </w:r>
      <w:r>
        <w:rPr>
          <w:rFonts w:ascii="Times New Roman;sans-serif" w:hAnsi="Times New Roman;sans-serif"/>
          <w:b w:val="false"/>
          <w:color w:val="000000"/>
          <w:sz w:val="24"/>
        </w:rPr>
        <w:t>. This Section 3 applies to the following Covered Persons, who are subject to certain additional restrictions as set forth herein (collectively, “Further Restricted Insiders”):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all Directors;</w:t>
      </w:r>
    </w:p>
    <w:p>
      <w:pPr>
        <w:pStyle w:val="TextBody"/>
        <w:bidi w:val="0"/>
        <w:spacing w:before="0" w:after="0"/>
        <w:jc w:val="left"/>
        <w:rPr/>
      </w:pPr>
      <w:r>
        <w:rPr/>
      </w:r>
    </w:p>
    <w:p>
      <w:pPr>
        <w:pStyle w:val="TextBody"/>
        <w:bidi w:val="0"/>
        <w:spacing w:lineRule="auto" w:line="288" w:before="0" w:after="0"/>
        <w:ind w:left="0" w:right="0" w:hanging="721"/>
        <w:jc w:val="left"/>
        <w:rPr/>
      </w:pPr>
      <w:r>
        <w:rPr>
          <w:color w:val="000000"/>
        </w:rPr>
        <w:t>▪</w:t>
      </w:r>
      <w:r>
        <w:rPr>
          <w:rFonts w:ascii="Times New Roman;sans-serif" w:hAnsi="Times New Roman;sans-serif"/>
          <w:b w:val="false"/>
          <w:color w:val="000000"/>
          <w:sz w:val="24"/>
        </w:rPr>
        <w:t>all executive officers;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 xml:space="preserve">such other employees as are designated from time to time by the Board of Directors, the Chief Executive Officer, the Chief Financial Officer or the Chief Legal Officer as being subject to this Section 3 (the “Designated </w:t>
      </w:r>
      <w:r>
        <w:rPr>
          <w:rFonts w:ascii="Times New Roman;sans-serif" w:hAnsi="Times New Roman;sans-serif"/>
          <w:b w:val="false"/>
          <w:color w:val="000000"/>
          <w:sz w:val="22"/>
        </w:rPr>
        <w:t>Employees”);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Legal Officer determines should not be covered by this policy);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all corporations, limited liability companies, partnerships, trusts or other entities controlled by any of the above Further Restricted Insiders, unless the entity has implemented policies or procedures designed to ensure that such Further Restricted Insider cannot influence transactions by the entity involving Company securities.</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Blackout Periods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Quarterly Blackout Periods</w:t>
      </w:r>
      <w:r>
        <w:rPr>
          <w:rFonts w:ascii="Times New Roman;sans-serif" w:hAnsi="Times New Roman;sans-serif"/>
          <w:b w:val="false"/>
          <w:color w:val="000000"/>
          <w:sz w:val="24"/>
        </w:rPr>
        <w:t xml:space="preserve">. Except as provided in Section 4, no Further Restricted Insider may purchase, sell or gift any securities of the Company during the period beginning three weeks prior to the end of each fiscal quarter and ending upon the completion of the one full trading day, or such longer period as determined by the Chief Legal Officer, Chief Financial Officer or Associate General Counsel, Corporate, Securities and M&amp;A, after the public announcement of earnings for such quarter (a “quarterly blackout period”).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Special Blackout Periods</w:t>
      </w:r>
      <w:r>
        <w:rPr>
          <w:rFonts w:ascii="Times New Roman;sans-serif" w:hAnsi="Times New Roman;sans-serif"/>
          <w:b w:val="false"/>
          <w:color w:val="000000"/>
          <w:sz w:val="24"/>
        </w:rPr>
        <w:t>. The Company may from time to time notify Directors, executive officers and other specified employees that an additional blackout period (a “special blackout period”) is in effect in view of significant events or developments involving the Company. In such event, except as provided in Section 4, no person who is notified of a special blackout period may purchase, sell or gift any securities of the Company during such special blackout period or inform anyone else that a special blackout period is in effect. (In this policy, quarterly blackout periods and special blackout periods are each referred to as a “blackout period.”)</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Awareness of Material Non-Public Information when a Blackout Period is Not in Effect</w:t>
      </w:r>
      <w:r>
        <w:rPr>
          <w:rFonts w:ascii="Times New Roman;sans-serif" w:hAnsi="Times New Roman;sans-serif"/>
          <w:b w:val="false"/>
          <w:color w:val="000000"/>
          <w:sz w:val="24"/>
        </w:rPr>
        <w:t xml:space="preserve">. Even if no blackout period is then in effect, if a Further Restricted Insider is aware of material nonpublic information the prohibitions contained in Section </w:t>
      </w:r>
      <w:hyperlink w:anchor="ifa0143df0a68495a96c9362feba8ddbc_1">
        <w:r>
          <w:rPr>
            <w:rStyle w:val="InternetLink"/>
            <w:rFonts w:ascii="Times New Roman;sans-serif" w:hAnsi="Times New Roman;sans-serif"/>
            <w:b w:val="false"/>
            <w:strike w:val="false"/>
            <w:dstrike w:val="false"/>
            <w:color w:val="000000"/>
            <w:sz w:val="24"/>
            <w:u w:val="none"/>
            <w:effect w:val="none"/>
          </w:rPr>
          <w:t>2.2(a)</w:t>
        </w:r>
      </w:hyperlink>
      <w:r>
        <w:rPr>
          <w:rFonts w:ascii="Times New Roman;sans-serif" w:hAnsi="Times New Roman;sans-serif"/>
          <w:b w:val="false"/>
          <w:color w:val="000000"/>
          <w:sz w:val="24"/>
        </w:rPr>
        <w:t xml:space="preserve"> apply. </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Notice and Pre-Clearance of Transactions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Pre-Transaction Clearance</w:t>
      </w:r>
      <w:r>
        <w:rPr>
          <w:rFonts w:ascii="Times New Roman;sans-serif" w:hAnsi="Times New Roman;sans-serif"/>
          <w:b w:val="false"/>
          <w:color w:val="000000"/>
          <w:sz w:val="24"/>
        </w:rPr>
        <w:t xml:space="preserve">. No Director, executive officer or such other employee designated from time to time by the Board of Directors, the Chief Executive Officer, the Chief Financial Officer or the Chief Legal Officer as being subject to this Section 3.3 (a “Pre-Clearance Person”) may purchase, sell, gift, transfer, or otherwise acquire or dispose of securities of the Company, either directly or indirectly, other than in a transaction permitted under Section 4, unless such Pre-Clearance Person pre-clears the transaction with any two of the following: Chief Legal Officer, Chief Financial Officer or Associate General Counsel, Corporate, Securities and M&amp;A. Subject to the above requirements in this Section 3.3(a), neither the Chief Legal Officer nor the Chief Financial Officer shall be permitted to pre-clear his or her own transactions. A request for pre-clearance shall be made at least two trading days prior to the intended transaction and in accordance with any additional procedures established by the Chief Legal Officer. Requests submitted after 4:00 p.m. eastern time on a weekday, on a weekend or during a Company holiday or closure will be processed on the next trading day. The Chief Legal Officer, Chief Financial Officer and Associate General Counsel, Corporate, Securities and M&amp;A shall have sole discretion to decide whether to clear any contemplated transaction. All transactions that are pre-cleared must be effected within five business days of receipt of the pre-clearance unless a longer or shorter period has been specified by the Chief Legal Officer, Chief Financial Officer or Associate General Counsel, Corporate, Securities and M&amp;A. A pre-cleared transaction (or any portion of a pre-cleared transaction) that has not been effected during the five-business-day period must be pre-cleared again prior to execution. </w:t>
      </w:r>
      <w:r>
        <w:rPr>
          <w:rFonts w:ascii="Times New Roman;sans-serif" w:hAnsi="Times New Roman;sans-serif"/>
          <w:b/>
          <w:color w:val="000000"/>
          <w:sz w:val="24"/>
        </w:rPr>
        <w:t xml:space="preserve">Notwithstanding receipt of pre-clearance, if the Pre-Clearance Person becomes aware of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material non-public information or becomes subject to a blackout period before the transaction is effected, the transaction may not be completed.</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Post-Transaction Notice</w:t>
      </w:r>
      <w:r>
        <w:rPr>
          <w:rFonts w:ascii="Times New Roman;sans-serif" w:hAnsi="Times New Roman;sans-serif"/>
          <w:b w:val="false"/>
          <w:color w:val="000000"/>
          <w:sz w:val="24"/>
        </w:rPr>
        <w:t>. Each Further Restricted Insider who is subject to reporting obligations under Section 16 of the Exchange Act shall also notify the Chief Legal Officer (or his or her designee) of the occurrence of any purchase, sale, gift,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Further Restricted Insider,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(and if so, the date of adoption of such contract, instruction or written plan) or to constitute a non-Rule 10b5-1 trading arrangement (as defined in Item 408(c) of Regulation S-K).</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Deemed Time of a Transaction</w:t>
      </w:r>
      <w:r>
        <w:rPr>
          <w:rFonts w:ascii="Times New Roman;sans-serif" w:hAnsi="Times New Roman;sans-serif"/>
          <w:b w:val="false"/>
          <w:color w:val="000000"/>
          <w:sz w:val="24"/>
        </w:rPr>
        <w:t>. For purposes of this Section 3.3,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0"/>
        <w:ind w:left="0" w:right="0" w:firstLine="1440"/>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000000"/>
          <w:sz w:val="24"/>
        </w:rPr>
        <w:t>4.</w:t>
      </w:r>
      <w:r>
        <w:rPr>
          <w:rFonts w:ascii="Times New Roman;sans-serif" w:hAnsi="Times New Roman;sans-serif"/>
          <w:b/>
          <w:color w:val="000000"/>
          <w:sz w:val="24"/>
        </w:rPr>
        <w:t>EXCEPTIONS.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Exceptions</w:t>
      </w:r>
      <w:r>
        <w:rPr>
          <w:rFonts w:ascii="Times New Roman;sans-serif" w:hAnsi="Times New Roman;sans-serif"/>
          <w:b w:val="false"/>
          <w:color w:val="000000"/>
          <w:sz w:val="24"/>
        </w:rPr>
        <w:t>. The prohibitions in Sections 2.2(a) and 3.2 on purchasing, selling and gifting of Company securities do not apply to:</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 xml:space="preserve">exercises of stock options or other equity awards that would otherwise expire or the surrender of shares to the Company in payment of the exercise price or in satisfaction of any tax withholding obligations, in each case in a manner permitted by the applicable equity award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securities so acquired may not be sold (either outright or in connection with a “cashless” exercise transaction through a broker) while the Covered Person is aware of material nonpublic information or during an applicable blackout period;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acquisitions or dispositions of Company common stock under the Company’s 401(k) or other individual account plan that are made pursuant to standing instructions, in a form approved by the Company, not entered into or modified while the Covered Person is aware of material nonpublic information or during an applicable blackout period;</w:t>
      </w:r>
    </w:p>
    <w:p>
      <w:pPr>
        <w:pStyle w:val="TextBody"/>
        <w:bidi w:val="0"/>
        <w:spacing w:before="0" w:after="0"/>
        <w:ind w:left="0" w:right="0" w:hanging="720"/>
        <w:jc w:val="left"/>
        <w:rPr/>
      </w:pPr>
      <w:r>
        <w:rPr/>
      </w:r>
    </w:p>
    <w:p>
      <w:pPr>
        <w:pStyle w:val="TextBody"/>
        <w:bidi w:val="0"/>
        <w:spacing w:lineRule="auto" w:line="288"/>
        <w:ind w:left="0" w:right="0" w:hanging="720"/>
        <w:jc w:val="left"/>
        <w:rPr/>
      </w:pPr>
      <w:r>
        <w:rPr>
          <w:color w:val="000000"/>
        </w:rPr>
        <w:t>•</w:t>
      </w:r>
      <w:r>
        <w:rPr>
          <w:rFonts w:ascii="Times New Roman;sans-serif" w:hAnsi="Times New Roman;sans-serif"/>
          <w:b w:val="false"/>
          <w:color w:val="000000"/>
          <w:sz w:val="24"/>
        </w:rPr>
        <w:t xml:space="preserve">other purchases of securities from the Company (including purchases under the Company’s Employee Stock Purchase Plan pursuant to standing instructions, in a form approved by the Company) or sales of securities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involves the exercise of stock options or other equity awards, the transaction must be permitted by the first bullet above;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bona fide gifts either to other Covered Persons or that are approved in advance by the Company;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 xml:space="preserve">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“trading plan”);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trading plan: (1) is in writing; and (2) was submitted to the Company for review prior to its adoption;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4"/>
        </w:rPr>
        <w:t xml:space="preserve">purchases, sales or gifts made pursuant to a binding contract, written plan or specific instruction which satisfies the definition of a “non-Rule 10b5-1 trading arrangement” as such term is defined in Item 408(c) of Regulation S-K,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non-Rule 10b5-1 trading arrangement: (1) is in writing and (2) was submitted to the Company for review prior to its adoption.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Partnership Distributions</w:t>
      </w:r>
      <w:r>
        <w:rPr>
          <w:rFonts w:ascii="Times New Roman;sans-serif" w:hAnsi="Times New Roman;sans-serif"/>
          <w:b w:val="false"/>
          <w:color w:val="000000"/>
          <w:sz w:val="24"/>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Underwritten Public Offering</w:t>
      </w:r>
      <w:r>
        <w:rPr>
          <w:rFonts w:ascii="Times New Roman;sans-serif" w:hAnsi="Times New Roman;sans-serif"/>
          <w:b w:val="false"/>
          <w:color w:val="000000"/>
          <w:sz w:val="24"/>
        </w:rPr>
        <w:t>. Nothing in this policy is intended to limit the ability of any Covered Person to sell Company securities as a selling stockholder in an underwritten public offering pursuant to an effective registration statement in accordance with applicable securities law.</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000000"/>
          <w:sz w:val="24"/>
        </w:rPr>
        <w:t>5.</w:t>
      </w:r>
      <w:r>
        <w:rPr>
          <w:rFonts w:ascii="Times New Roman;sans-serif" w:hAnsi="Times New Roman;sans-serif"/>
          <w:b/>
          <w:color w:val="000000"/>
          <w:sz w:val="24"/>
        </w:rPr>
        <w:t>REGULATION BTR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the service of such person as a Director or officer of the Company, except as permitted by Regulation BTR.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1"/>
        <w:jc w:val="left"/>
        <w:rPr/>
      </w:pPr>
      <w:r>
        <w:rPr>
          <w:rFonts w:ascii="Times New Roman;sans-serif" w:hAnsi="Times New Roman;sans-serif"/>
          <w:b w:val="false"/>
          <w:color w:val="000000"/>
          <w:sz w:val="24"/>
        </w:rPr>
        <w:t>6.</w:t>
      </w:r>
      <w:r>
        <w:rPr>
          <w:rFonts w:ascii="Times New Roman;sans-serif" w:hAnsi="Times New Roman;sans-serif"/>
          <w:b/>
          <w:color w:val="000000"/>
          <w:sz w:val="24"/>
        </w:rPr>
        <w:t>PENALTIES FOR VIOLATION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Penalties</w:t>
      </w:r>
      <w:r>
        <w:rPr>
          <w:rFonts w:ascii="Times New Roman;sans-serif" w:hAnsi="Times New Roman;sans-serif"/>
          <w:b w:val="false"/>
          <w:color w:val="000000"/>
          <w:sz w:val="24"/>
        </w:rPr>
        <w:t>. 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Reporting</w:t>
      </w:r>
      <w:r>
        <w:rPr>
          <w:rFonts w:ascii="Times New Roman;sans-serif" w:hAnsi="Times New Roman;sans-serif"/>
          <w:b w:val="false"/>
          <w:color w:val="000000"/>
          <w:sz w:val="24"/>
        </w:rPr>
        <w:t>. Any employee, executive officer or Director who knows or believes that someone has violated this Policy should report such information to the Chief Legal Officer, by email to the Compliance team at ethics.compliance@analog.com, or to the Company’s anonymous hotline at analog.ethicspoint.com or 800-381-6302 (United States) or 4008811475 (China). Callers in other locations can find their direct dial information at analog.ethicspoint.com.</w:t>
      </w:r>
    </w:p>
    <w:p>
      <w:pPr>
        <w:pStyle w:val="TextBody"/>
        <w:bidi w:val="0"/>
        <w:spacing w:before="0" w:after="0"/>
        <w:ind w:left="0" w:right="0" w:hanging="721"/>
        <w:jc w:val="left"/>
        <w:rPr/>
      </w:pPr>
      <w:r>
        <w:rPr/>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000000"/>
          <w:sz w:val="24"/>
        </w:rPr>
        <w:t>7.</w:t>
      </w:r>
      <w:r>
        <w:rPr>
          <w:rFonts w:ascii="Times New Roman;sans-serif" w:hAnsi="Times New Roman;sans-serif"/>
          <w:b/>
          <w:color w:val="000000"/>
          <w:sz w:val="24"/>
        </w:rPr>
        <w:t>COMPANY ASSISTANCE AND EDUCATION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rPr>
        <w:t>Education</w:t>
      </w:r>
      <w:r>
        <w:rPr>
          <w:rFonts w:ascii="Times New Roman;sans-serif" w:hAnsi="Times New Roman;sans-serif"/>
          <w:b w:val="false"/>
          <w:color w:val="000000"/>
          <w:sz w:val="24"/>
        </w:rPr>
        <w:t>. The Company shall take reasonable steps designed to ensure that all Directors and employees of the Company are educated about, and periodically reminded of, the federal securities law restrictions and Company policies regarding insider trading.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rPr>
        <w:t>Assistance</w:t>
      </w:r>
      <w:r>
        <w:rPr>
          <w:rFonts w:ascii="Times New Roman;sans-serif" w:hAnsi="Times New Roman;sans-serif"/>
          <w:b w:val="false"/>
          <w:color w:val="000000"/>
          <w:sz w:val="24"/>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pStyle w:val="TextBody"/>
        <w:bidi w:val="0"/>
        <w:spacing w:before="0" w:after="0"/>
        <w:ind w:left="0" w:right="0" w:hanging="721"/>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7.3</w:t>
      </w:r>
      <w:r>
        <w:rPr>
          <w:rFonts w:ascii="Times New Roman;sans-serif" w:hAnsi="Times New Roman;sans-serif"/>
          <w:b w:val="false"/>
          <w:color w:val="000000"/>
          <w:sz w:val="24"/>
          <w:u w:val="single"/>
        </w:rPr>
        <w:t>Limitation on Liability</w:t>
      </w:r>
      <w:r>
        <w:rPr>
          <w:rFonts w:ascii="Times New Roman;sans-serif" w:hAnsi="Times New Roman;sans-serif"/>
          <w:b w:val="false"/>
          <w:color w:val="000000"/>
          <w:sz w:val="24"/>
        </w:rPr>
        <w:t>. None of the Company, the Chief Legal Officer, Chief Financial Officer, Associate General Counsel, Corporate, Securities and M&amp;A or the Company’s other employees will have any liability for any delay in reviewing, or refusal of, a request for pre-clearance submitted pursuant to Section 3.3(a) or a trading plan submitted pursuant to Section 4.1. Notwithstanding any pre-clearance of a transaction pursuant to Section 3.3(a) or review of a trading plan pursuant to Section 4.1, none of the Company, the Chief Legal Officer, Chief Financial Officer, Associate General Counsel, Corporate, Securities and M&amp;A or the Company’s other employees assumes any liability for the legality or consequences of such transaction or trading plan to the person engaging in or adopting such transaction or trading plan.</w:t>
      </w:r>
    </w:p>
    <w:p>
      <w:pPr>
        <w:pStyle w:val="TextBody"/>
        <w:bidi w:val="0"/>
        <w:spacing w:before="0" w:after="0"/>
        <w:ind w:left="0" w:right="0" w:hanging="721"/>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Adopted by the Board of Directors of the Company on December 12,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OF ANALOG DEVICES,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of November 2,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1"/>
        <w:gridCol w:w="1838"/>
        <w:gridCol w:w="1840"/>
        <w:gridCol w:w="1233"/>
        <w:gridCol w:w="1233"/>
        <w:gridCol w:w="1750"/>
      </w:tblGrid>
      <w:tr>
        <w:trPr/>
        <w:tc>
          <w:tcPr>
            <w:tcW w:w="231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Name of Subsidiary</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State or Other Jurisdiction of Incorporation or Organization</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Acuitas Silicon Limited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(China) Co.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(China) Holdings Co.,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(Finland) OY</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(Hangzhou) Co.,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(Israel),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Israel</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(Thailand) Co.,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Thailand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A.B.</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A/S</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Atlantic Unlimited Company</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Australia Pty.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Canada,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Federal LLC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Gen. Trias, Inc.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GmbH</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GmbH</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GmbH Predstavnistvo Analog Devices GmbH Beograd (Representative Office)</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Serbia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Holdings B.V.</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India Private Limited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International Unlimited Company</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International, LLC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Korea,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Korea, Republic of</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Limerick Unlimited Company</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Limited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Limited Egypt LLC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Egypt</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LLC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Mexico, S. de R.L. de C.V.</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Microelectronics</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Egypt</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Mikroelektronik Sanayi Ve Ticaret Limited Şirketi</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Turkey</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Nederland, B.V.</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Norway AS</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Norway</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Pty. Ltd.</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Realty Holdings, Inc.</w:t>
            </w:r>
          </w:p>
        </w:tc>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80"/>
        <w:gridCol w:w="1510"/>
        <w:gridCol w:w="1515"/>
        <w:gridCol w:w="1579"/>
        <w:gridCol w:w="1579"/>
        <w:gridCol w:w="2242"/>
      </w:tblGrid>
      <w:tr>
        <w:trPr/>
        <w:tc>
          <w:tcPr>
            <w:tcW w:w="178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Name of Subsidiary</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State or Other Jurisdiction of Incorporation or Organization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Romania S.R.L.</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Romania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S.A.S.</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S.L.</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Sdn Bhd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SP. Z o.o.</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Poland</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Srl</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Taiwan Ltd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Taiwan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Analog Devices, K.K.</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Calvatec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Cambridge Analog Technologies, Inc.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Electric Motors Test, S.L.</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Hittite Microwave Holding LLC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Hittite Microwave LLC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Icron Technologies Corporation</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Innova Card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Innovasic, Inc.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L&amp;L Engineering, LLC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(Israel) Ltd.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Israel</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GK</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Holding LLC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KK</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PTE Ltd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Linear Technology Semiconductor India Private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(I.P.) Enterprise Solutions Corporation</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France SARL</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India Integrated Circuit Design Private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Acquisition GmbH</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GmbH</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Asia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GmbH (Austria)</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India Sales Private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International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International Sales Japan GK</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International Sales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UK Limited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Integrated Products, LLC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International Holding, Inc.</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Island Holdings Corporation</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Japan Co., Ltd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97"/>
        <w:gridCol w:w="1574"/>
        <w:gridCol w:w="1542"/>
        <w:gridCol w:w="1489"/>
        <w:gridCol w:w="1489"/>
        <w:gridCol w:w="2114"/>
      </w:tblGrid>
      <w:tr>
        <w:trPr/>
        <w:tc>
          <w:tcPr>
            <w:tcW w:w="199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Name of Subsidiary</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State or Other Jurisdiction of Incorporation or Organization</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Mikroelektronik Tasarım ve Geliştirme Limited Şirketi</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Turkey</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Phil. Holding Corporation</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Phil. Land Corporation</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 Semiconductor Corporation (Taiwan)</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Mobilygen Corporation</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Multigig, Inc.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OneTree MicroDevices, Inc.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Otosense Inc.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Phyworks Limited</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Scintera Networks LLC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Security Bank Corp. (trustee of Maxim EE Retirement Plan)</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TagArray, Inc.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Teridian Semiconductor Corp.</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Teridian Semiconductor Holdings Corp.</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Teridian Semiconductor Intermediate Holding Corp.</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Trinamic Motion Control GmbH &amp; Co. KG</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Trinamic OÜ</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Estonia</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Trinamic Verwaltungsgesellschaft mbH</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Volterra Asia Pte. Ltd.</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5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Volterra Semiconductor LLC</w:t>
            </w:r>
          </w:p>
        </w:tc>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ans-serif" w:hAnsi="Times New Roman;sans-serif"/>
          <w:b/>
          <w:color w:val="000000"/>
          <w:sz w:val="24"/>
        </w:rPr>
      </w:pPr>
      <w:r>
        <w:rPr>
          <w:rFonts w:ascii="Times New Roman;sans-serif" w:hAnsi="Times New Roman;sans-serif"/>
          <w:b/>
          <w:color w:val="000000"/>
          <w:sz w:val="24"/>
        </w:rPr>
        <w:t>Exhibit 23</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(1)Registration Statements on Form S-8 (Nos. 2-63561, 2-90023, 33-4067, 33-22604, 33-22605, 33-29484, 33-39851, 33-39852, 33-46521, 33-60642, 33-60696, 33-61427, 33-64849, 333-04771, 333-04819, 333-04821, 333-47787, 333-47789, 333-48243, 333-69359, 333-79551, 333-87055, 333-40224, 333-40222, 333-50092, 333-53314, 333-53828, 333-57444, 333-75170, 333-113510, 333-132409, 333-156309, 333-163653, 333-181951, 333-194556, 333-216696, 333-237083, 333-259081, and 333-265057) of Analog Devices,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(2)Registration Statements on Form S-3 (Nos. 333-08505, 333-08509, 333-17651, 333-87053, 333-48928, 333-51530, 333-53660, 333-259782, and 333-281670) of Analog Devices, Inc., and</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(3)Registration Statement on Form S-4 (No. 333-213454) of Analog Devices, Inc., including Post-Effective Amendment No. 1 on Form S-8 to Form S-4, and Registration Statements on Form S-4 (No. 333-248092 and No. 333-273607) of Analog Devices,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our reports dated November 26, 2024, with respect to the consolidated financial statements and schedule of Analog Devices, Inc. and the effectiveness of internal control over financial reporting of Analog Devices, Inc. included in this Annual Report (Form 10-K) of Analog Devices, Inc. for the year ended November 2, 2024.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Boston, Massachusetts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26, 2024</w:t>
      </w:r>
    </w:p>
    <w:p>
      <w:pPr>
        <w:pStyle w:val="TextBody"/>
        <w:bidi w:val="0"/>
        <w:spacing w:before="1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Vincent Roche,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Analog Devices, Inc.;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6480" w:type="dxa"/>
        <w:jc w:val="center"/>
        <w:tblInd w:w="0" w:type="dxa"/>
        <w:tblLayout w:type="fixed"/>
        <w:tblCellMar>
          <w:top w:w="28" w:type="dxa"/>
          <w:left w:w="28" w:type="dxa"/>
          <w:bottom w:w="28" w:type="dxa"/>
          <w:right w:w="28" w:type="dxa"/>
        </w:tblCellMar>
      </w:tblPr>
      <w:tblGrid>
        <w:gridCol w:w="835"/>
        <w:gridCol w:w="734"/>
        <w:gridCol w:w="741"/>
        <w:gridCol w:w="1221"/>
        <w:gridCol w:w="1221"/>
        <w:gridCol w:w="1728"/>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Vincent Roche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Roche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 of the Board of</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26, 2024</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Richard C. Puccio, Jr.,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Analog Devices, Inc.;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6750" w:type="dxa"/>
        <w:jc w:val="center"/>
        <w:tblInd w:w="0" w:type="dxa"/>
        <w:tblLayout w:type="fixed"/>
        <w:tblCellMar>
          <w:top w:w="28" w:type="dxa"/>
          <w:left w:w="28" w:type="dxa"/>
          <w:bottom w:w="28" w:type="dxa"/>
          <w:right w:w="28" w:type="dxa"/>
        </w:tblCellMar>
      </w:tblPr>
      <w:tblGrid>
        <w:gridCol w:w="835"/>
        <w:gridCol w:w="734"/>
        <w:gridCol w:w="741"/>
        <w:gridCol w:w="1300"/>
        <w:gridCol w:w="1300"/>
        <w:gridCol w:w="1840"/>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/s/ </w:t>
            </w:r>
            <w:r>
              <w:rPr>
                <w:rFonts w:ascii="Times New Roman;sans-serif" w:hAnsi="Times New Roman;sans-serif"/>
                <w:b w:val="false"/>
                <w:color w:val="000000"/>
                <w:sz w:val="20"/>
              </w:rPr>
              <w:t>Richard C. Puccio, Jr.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C. Puccio, Jr.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26, 2024</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Analog Devices, Inc. (the “Company”) for the period ended November 2, 2024 as filed with the Securities and Exchange Commission on the date hereof (the “Report”), the undersigned, Vincent Roche, Chief Executive Officer of the Company, hereby certifies, pursuant to 18 U.S.C. Section 1350,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tbl>
      <w:tblPr>
        <w:tblW w:w="4380" w:type="dxa"/>
        <w:jc w:val="left"/>
        <w:tblInd w:w="0" w:type="dxa"/>
        <w:tblLayout w:type="fixed"/>
        <w:tblCellMar>
          <w:top w:w="28" w:type="dxa"/>
          <w:left w:w="28" w:type="dxa"/>
          <w:bottom w:w="28" w:type="dxa"/>
          <w:right w:w="28" w:type="dxa"/>
        </w:tblCellMar>
      </w:tblPr>
      <w:tblGrid>
        <w:gridCol w:w="835"/>
        <w:gridCol w:w="734"/>
        <w:gridCol w:w="741"/>
        <w:gridCol w:w="606"/>
        <w:gridCol w:w="606"/>
        <w:gridCol w:w="858"/>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Vincent Roche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Roche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26, 2024</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Analog Devices, Inc. (the “Company”) for the period ended November 2, 2024 as filed with the Securities and Exchange Commission on the date hereof (the “Report”), the undersigned, Richard C. Puccio, Jr., Chief Financial Officer of the Company, hereby certifies, pursuant to 18 U.S.C. Section 1350,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tbl>
      <w:tblPr>
        <w:tblW w:w="4469" w:type="dxa"/>
        <w:jc w:val="left"/>
        <w:tblInd w:w="0" w:type="dxa"/>
        <w:tblLayout w:type="fixed"/>
        <w:tblCellMar>
          <w:top w:w="28" w:type="dxa"/>
          <w:left w:w="28" w:type="dxa"/>
          <w:bottom w:w="28" w:type="dxa"/>
          <w:right w:w="28" w:type="dxa"/>
        </w:tblCellMar>
      </w:tblPr>
      <w:tblGrid>
        <w:gridCol w:w="835"/>
        <w:gridCol w:w="734"/>
        <w:gridCol w:w="741"/>
        <w:gridCol w:w="632"/>
        <w:gridCol w:w="632"/>
        <w:gridCol w:w="895"/>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/s/ </w:t>
            </w:r>
            <w:r>
              <w:rPr>
                <w:rFonts w:ascii="Times New Roman;sans-serif" w:hAnsi="Times New Roman;sans-serif"/>
                <w:b w:val="false"/>
                <w:color w:val="000000"/>
                <w:sz w:val="20"/>
              </w:rPr>
              <w:t>Richard C. Puccio, Jr.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C. Puccio, Jr.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26, 2024</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6281/000095013508003842/b69749adexv3w1.htm" TargetMode="External"/><Relationship Id="rId4" Type="http://schemas.openxmlformats.org/officeDocument/2006/relationships/hyperlink" Target="https://www.sec.gov/Archives/edgar/data/6281/000095013508007881/b73171adexv3w1.htm" TargetMode="External"/><Relationship Id="rId5" Type="http://schemas.openxmlformats.org/officeDocument/2006/relationships/hyperlink" Target="https://www.sec.gov/Archives/edgar/data/6281/000119312522300481/d428637dex31.htm" TargetMode="External"/><Relationship Id="rId6" Type="http://schemas.openxmlformats.org/officeDocument/2006/relationships/hyperlink" Target="https://www.sec.gov/Archives/edgar/data/6281/000119312513245264/d548763dex41.htm" TargetMode="External"/><Relationship Id="rId7" Type="http://schemas.openxmlformats.org/officeDocument/2006/relationships/hyperlink" Target="https://www.sec.gov/Archives/edgar/data/6281/000119312515402658/d105027dex42.htm" TargetMode="External"/><Relationship Id="rId8" Type="http://schemas.openxmlformats.org/officeDocument/2006/relationships/hyperlink" Target="https://www.sec.gov/Archives/edgar/data/6281/000119312516785105/d304855dex42.htm" TargetMode="External"/><Relationship Id="rId9" Type="http://schemas.openxmlformats.org/officeDocument/2006/relationships/hyperlink" Target="https://www.sec.gov/Archives/edgar/data/6281/000119312520101422/d904144dex42.htm" TargetMode="External"/><Relationship Id="rId10" Type="http://schemas.openxmlformats.org/officeDocument/2006/relationships/hyperlink" Target="https://www.sec.gov/Archives/edgar/data/6281/000119312521291953/d219048dex42.htm" TargetMode="External"/><Relationship Id="rId11" Type="http://schemas.openxmlformats.org/officeDocument/2006/relationships/hyperlink" Target="https://www.sec.gov/Archives/edgar/data/6281/000119312522245660/d402186dex42.htm" TargetMode="External"/><Relationship Id="rId12" Type="http://schemas.openxmlformats.org/officeDocument/2006/relationships/hyperlink" Target="https://www.sec.gov/Archives/edgar/data/6281/000119312522259652/d346231dex42.htm" TargetMode="External"/><Relationship Id="rId13" Type="http://schemas.openxmlformats.org/officeDocument/2006/relationships/hyperlink" Target="https://www.sec.gov/Archives/edgar/data/6281/000119312524085997/d786555dex42.htm" TargetMode="External"/><Relationship Id="rId14" Type="http://schemas.openxmlformats.org/officeDocument/2006/relationships/hyperlink" Target="https://www.sec.gov/Archives/edgar/data/6281/000119312524085997/d786555dex42.htm" TargetMode="External"/><Relationship Id="rId15" Type="http://schemas.openxmlformats.org/officeDocument/2006/relationships/hyperlink" Target="https://www.sec.gov/Archives/edgar/data/6281/000119312524085997/d786555dex42.htm" TargetMode="External"/><Relationship Id="rId16" Type="http://schemas.openxmlformats.org/officeDocument/2006/relationships/hyperlink" Target="https://www.sec.gov/Archives/edgar/data/6281/000000628119000144/exhibit46descriptionof.htm" TargetMode="External"/><Relationship Id="rId17" Type="http://schemas.openxmlformats.org/officeDocument/2006/relationships/hyperlink" Target="https://www.sec.gov/Archives/edgar/data/6281/000000628119000144/exhibit46descriptionof.htm" TargetMode="External"/><Relationship Id="rId18" Type="http://schemas.openxmlformats.org/officeDocument/2006/relationships/hyperlink" Target="https://www.sec.gov/Archives/edgar/data/6281/000000628119000144/exhibit46descriptionof.htm" TargetMode="External"/><Relationship Id="rId19" Type="http://schemas.openxmlformats.org/officeDocument/2006/relationships/hyperlink" Target="https://www.sec.gov/Archives/edgar/data/6281/000000628123000203/exhibit107-amendedrestated.htm" TargetMode="External"/><Relationship Id="rId20" Type="http://schemas.openxmlformats.org/officeDocument/2006/relationships/hyperlink" Target="https://www.sec.gov/Archives/edgar/data/6281/000095013503006138/b48618aiexv10w28.txt" TargetMode="External"/><Relationship Id="rId21" Type="http://schemas.openxmlformats.org/officeDocument/2006/relationships/hyperlink" Target="https://www.sec.gov/Archives/edgar/data/6281/000095013506007047/b63086adexv10w3.txt" TargetMode="External"/><Relationship Id="rId22" Type="http://schemas.openxmlformats.org/officeDocument/2006/relationships/hyperlink" Target="https://www.sec.gov/Archives/edgar/data/6281/000095013508007596/b72976adexv10w41.htm" TargetMode="External"/><Relationship Id="rId23" Type="http://schemas.openxmlformats.org/officeDocument/2006/relationships/hyperlink" Target="https://www.sec.gov/Archives/edgar/data/6281/000000628114000003/ex-101.htm" TargetMode="External"/><Relationship Id="rId24" Type="http://schemas.openxmlformats.org/officeDocument/2006/relationships/hyperlink" Target="https://www.sec.gov/Archives/edgar/data/6281/000000628119000013/q119exhibit101.htm" TargetMode="External"/><Relationship Id="rId25" Type="http://schemas.openxmlformats.org/officeDocument/2006/relationships/hyperlink" Target="https://www.sec.gov/Archives/edgar/data/6281/000000628119000013/q119exhibit101.htm" TargetMode="External"/><Relationship Id="rId26" Type="http://schemas.openxmlformats.org/officeDocument/2006/relationships/hyperlink" Target="https://www.sec.gov/Archives/edgar/data/6281/000000628119000013/q119exhibit101.htm" TargetMode="External"/><Relationship Id="rId27" Type="http://schemas.openxmlformats.org/officeDocument/2006/relationships/hyperlink" Target="https://www.sec.gov/Archives/edgar/data/6281/000000628117000008/q117exhibit104.htm" TargetMode="External"/><Relationship Id="rId28" Type="http://schemas.openxmlformats.org/officeDocument/2006/relationships/hyperlink" Target="https://www.sec.gov/Archives/edgar/data/6281/000000628117000008/q117exhibit104.htm" TargetMode="External"/><Relationship Id="rId29" Type="http://schemas.openxmlformats.org/officeDocument/2006/relationships/hyperlink" Target="https://www.sec.gov/Archives/edgar/data/6281/000000628117000008/q117exhibit104.htm" TargetMode="External"/><Relationship Id="rId30" Type="http://schemas.openxmlformats.org/officeDocument/2006/relationships/hyperlink" Target="https://www.sec.gov/Archives/edgar/data/6281/000119312520013584/d796344ddef14a.htm" TargetMode="External"/><Relationship Id="rId31" Type="http://schemas.openxmlformats.org/officeDocument/2006/relationships/hyperlink" Target="https://www.sec.gov/Archives/edgar/data/6281/000000628120000013/globalnqagreementappen.htm" TargetMode="External"/><Relationship Id="rId32" Type="http://schemas.openxmlformats.org/officeDocument/2006/relationships/hyperlink" Target="https://www.sec.gov/Archives/edgar/data/6281/000000628120000013/globalnqagreementappen.htm" TargetMode="External"/><Relationship Id="rId33" Type="http://schemas.openxmlformats.org/officeDocument/2006/relationships/hyperlink" Target="https://www.sec.gov/Archives/edgar/data/6281/000000628120000013/globalnqagreementappen.htm" TargetMode="External"/><Relationship Id="rId34" Type="http://schemas.openxmlformats.org/officeDocument/2006/relationships/hyperlink" Target="https://www.sec.gov/Archives/edgar/data/6281/000119312520320093/d71361dex101.htm" TargetMode="External"/><Relationship Id="rId35" Type="http://schemas.openxmlformats.org/officeDocument/2006/relationships/hyperlink" Target="https://www.sec.gov/Archives/edgar/data/6281/000000628121000022/a104stockoptionagreementfo.htm" TargetMode="External"/><Relationship Id="rId36" Type="http://schemas.openxmlformats.org/officeDocument/2006/relationships/hyperlink" Target="https://www.sec.gov/Archives/edgar/data/6281/000000628121000022/a105employeerestrictedstoc.htm" TargetMode="External"/><Relationship Id="rId37" Type="http://schemas.openxmlformats.org/officeDocument/2006/relationships/hyperlink" Target="https://www.sec.gov/Archives/edgar/data/6281/000000628121000022/a108financialmetricperform.htm" TargetMode="External"/><Relationship Id="rId38" Type="http://schemas.openxmlformats.org/officeDocument/2006/relationships/hyperlink" Target="https://www.sec.gov/Archives/edgar/data/6281/000000628122000020/a102adi-globalrsuagreement.htm" TargetMode="External"/><Relationship Id="rId39" Type="http://schemas.openxmlformats.org/officeDocument/2006/relationships/hyperlink" Target="https://www.sec.gov/Archives/edgar/data/6281/000000628122000020/a104adi-performancersuagre.htm" TargetMode="External"/><Relationship Id="rId40" Type="http://schemas.openxmlformats.org/officeDocument/2006/relationships/hyperlink" Target="https://www.sec.gov/Archives/edgar/data/6281/000000628122000020/a104adi-performancersuagre.htm" TargetMode="External"/><Relationship Id="rId41" Type="http://schemas.openxmlformats.org/officeDocument/2006/relationships/hyperlink" Target="https://www.sec.gov/Archives/edgar/data/6281/000000628122000020/a104adi-performancersuagre.htm" TargetMode="External"/><Relationship Id="rId42" Type="http://schemas.openxmlformats.org/officeDocument/2006/relationships/hyperlink" Target="https://www.sec.gov/Archives/edgar/data/6281/000000628122000020/a105adi-financialprsuagree.htm" TargetMode="External"/><Relationship Id="rId43" Type="http://schemas.openxmlformats.org/officeDocument/2006/relationships/hyperlink" Target="https://www.sec.gov/Archives/edgar/data/6281/000000628122000168/a101adi-analogxsignxonrsua.htm" TargetMode="External"/><Relationship Id="rId44" Type="http://schemas.openxmlformats.org/officeDocument/2006/relationships/hyperlink" Target="https://www.sec.gov/Archives/edgar/data/6281/000000628122000168/a102adi-analogxsignxonperf.htm" TargetMode="External"/><Relationship Id="rId45" Type="http://schemas.openxmlformats.org/officeDocument/2006/relationships/hyperlink" Target="https://www.sec.gov/Archives/edgar/data/6281/000000628122000168/a102adi-analogxsignxonperf.htm" TargetMode="External"/><Relationship Id="rId46" Type="http://schemas.openxmlformats.org/officeDocument/2006/relationships/hyperlink" Target="https://www.sec.gov/Archives/edgar/data/6281/000000628122000168/a102adi-analogxsignxonperf.htm" TargetMode="External"/><Relationship Id="rId47" Type="http://schemas.openxmlformats.org/officeDocument/2006/relationships/hyperlink" Target="https://www.sec.gov/Archives/edgar/data/6281/000000628122000168/a103adi-tsrprsuxxexhibit.htm" TargetMode="External"/><Relationship Id="rId48" Type="http://schemas.openxmlformats.org/officeDocument/2006/relationships/hyperlink" Target="https://www.sec.gov/Archives/edgar/data/6281/000000628122000168/a103adi-tsrprsuxxexhibit.htm" TargetMode="External"/><Relationship Id="rId49" Type="http://schemas.openxmlformats.org/officeDocument/2006/relationships/hyperlink" Target="https://www.sec.gov/Archives/edgar/data/6281/000000628122000168/a103adi-tsrprsuxxexhibit.htm" TargetMode="External"/><Relationship Id="rId50" Type="http://schemas.openxmlformats.org/officeDocument/2006/relationships/hyperlink" Target="https://www.sec.gov/Archives/edgar/data/6281/000000628122000224/a101adi-2020xprsucx2022.htm" TargetMode="External"/><Relationship Id="rId51" Type="http://schemas.openxmlformats.org/officeDocument/2006/relationships/hyperlink" Target="https://www.sec.gov/Archives/edgar/data/6281/000000628122000224/a101adi-2020xprsucx2022.htm" TargetMode="External"/><Relationship Id="rId52" Type="http://schemas.openxmlformats.org/officeDocument/2006/relationships/hyperlink" Target="https://www.sec.gov/Archives/edgar/data/6281/000000628122000224/a101adi-2020xprsucx2022.htm" TargetMode="External"/><Relationship Id="rId53" Type="http://schemas.openxmlformats.org/officeDocument/2006/relationships/hyperlink" Target="https://www.sec.gov/Archives/edgar/data/6281/000000628122000224/a102adi-2020xprsufx2022.htm" TargetMode="External"/><Relationship Id="rId54" Type="http://schemas.openxmlformats.org/officeDocument/2006/relationships/hyperlink" Target="https://www.sec.gov/Archives/edgar/data/6281/000000628122000224/a102adi-2020xprsufx2022.htm" TargetMode="External"/><Relationship Id="rId55" Type="http://schemas.openxmlformats.org/officeDocument/2006/relationships/hyperlink" Target="https://www.sec.gov/Archives/edgar/data/6281/000000628122000224/a102adi-2020xprsufx2022.htm" TargetMode="External"/><Relationship Id="rId56" Type="http://schemas.openxmlformats.org/officeDocument/2006/relationships/hyperlink" Target="https://www.sec.gov/Archives/edgar/data/6281/000000628123000031/exhibit104-globalnqagreeme.htm" TargetMode="External"/><Relationship Id="rId57" Type="http://schemas.openxmlformats.org/officeDocument/2006/relationships/hyperlink" Target="https://www.sec.gov/Archives/edgar/data/6281/000000628123000031/exhibit104-globalnqagreeme.htm" TargetMode="External"/><Relationship Id="rId58" Type="http://schemas.openxmlformats.org/officeDocument/2006/relationships/hyperlink" Target="https://www.sec.gov/Archives/edgar/data/6281/000000628123000031/exhibit104-globalnqagreeme.htm" TargetMode="External"/><Relationship Id="rId59" Type="http://schemas.openxmlformats.org/officeDocument/2006/relationships/hyperlink" Target="https://www.sec.gov/Archives/edgar/data/6281/000000628123000031/exhibit105-globalrsuagreem.htm" TargetMode="External"/><Relationship Id="rId60" Type="http://schemas.openxmlformats.org/officeDocument/2006/relationships/hyperlink" Target="https://www.sec.gov/Archives/edgar/data/6281/000000628123000031/exhibit105-globalrsuagreem.htm" TargetMode="External"/><Relationship Id="rId61" Type="http://schemas.openxmlformats.org/officeDocument/2006/relationships/hyperlink" Target="https://www.sec.gov/Archives/edgar/data/6281/000000628123000031/exhibit105-globalrsuagreem.htm" TargetMode="External"/><Relationship Id="rId62" Type="http://schemas.openxmlformats.org/officeDocument/2006/relationships/hyperlink" Target="https://www.sec.gov/Archives/edgar/data/6281/000000628123000031/exhibit107-financialprsuag.htm" TargetMode="External"/><Relationship Id="rId63" Type="http://schemas.openxmlformats.org/officeDocument/2006/relationships/hyperlink" Target="https://www.sec.gov/Archives/edgar/data/6281/000000628123000031/exhibit107-financialprsuag.htm" TargetMode="External"/><Relationship Id="rId64" Type="http://schemas.openxmlformats.org/officeDocument/2006/relationships/hyperlink" Target="https://www.sec.gov/Archives/edgar/data/6281/000000628123000031/exhibit107-financialprsuag.htm" TargetMode="External"/><Relationship Id="rId65" Type="http://schemas.openxmlformats.org/officeDocument/2006/relationships/hyperlink" Target="https://www.sec.gov/Archives/edgar/data/6281/000000628123000031/exhibit108-performancersua.htm" TargetMode="External"/><Relationship Id="rId66" Type="http://schemas.openxmlformats.org/officeDocument/2006/relationships/hyperlink" Target="https://www.sec.gov/Archives/edgar/data/6281/000000628123000031/exhibit108-performancersua.htm" TargetMode="External"/><Relationship Id="rId67" Type="http://schemas.openxmlformats.org/officeDocument/2006/relationships/hyperlink" Target="https://www.sec.gov/Archives/edgar/data/6281/000000628123000031/exhibit108-performancersua.htm" TargetMode="External"/><Relationship Id="rId68" Type="http://schemas.openxmlformats.org/officeDocument/2006/relationships/hyperlink" Target="https://www.sec.gov/Archives/edgar/data/6281/000000628123000152/exhibit101-analogxperforma.htm" TargetMode="External"/><Relationship Id="rId69" Type="http://schemas.openxmlformats.org/officeDocument/2006/relationships/hyperlink" Target="https://www.sec.gov/Archives/edgar/data/6281/000000628123000152/exhibit101-analogxperforma.htm" TargetMode="External"/><Relationship Id="rId70" Type="http://schemas.openxmlformats.org/officeDocument/2006/relationships/hyperlink" Target="https://www.sec.gov/Archives/edgar/data/6281/000000628123000152/exhibit101-analogxperforma.htm" TargetMode="External"/><Relationship Id="rId71" Type="http://schemas.openxmlformats.org/officeDocument/2006/relationships/hyperlink" Target="https://www.sec.gov/Archives/edgar/data/6281/000000628123000031/exhibit109-rsuequityawardc.htm" TargetMode="External"/><Relationship Id="rId72" Type="http://schemas.openxmlformats.org/officeDocument/2006/relationships/hyperlink" Target="https://www.sec.gov/Archives/edgar/data/6281/000000628124000034/exhibit105-directorannualr.htm" TargetMode="External"/><Relationship Id="rId73" Type="http://schemas.openxmlformats.org/officeDocument/2006/relationships/hyperlink" Target="https://www.sec.gov/Archives/edgar/data/6281/000000628124000034/exhibit105-directorannualr.htm" TargetMode="External"/><Relationship Id="rId74" Type="http://schemas.openxmlformats.org/officeDocument/2006/relationships/hyperlink" Target="https://www.sec.gov/Archives/edgar/data/6281/000000628124000034/exhibit105-directorannualr.htm" TargetMode="External"/><Relationship Id="rId75" Type="http://schemas.openxmlformats.org/officeDocument/2006/relationships/hyperlink" Target="https://www.sec.gov/Archives/edgar/data/6281/000000628124000034/exhibit103-formofglobalnqa.htm" TargetMode="External"/><Relationship Id="rId76" Type="http://schemas.openxmlformats.org/officeDocument/2006/relationships/hyperlink" Target="https://www.sec.gov/Archives/edgar/data/6281/000000628124000034/exhibit103-formofglobalnqa.htm" TargetMode="External"/><Relationship Id="rId77" Type="http://schemas.openxmlformats.org/officeDocument/2006/relationships/hyperlink" Target="https://www.sec.gov/Archives/edgar/data/6281/000000628124000034/exhibit103-formofglobalnqa.htm" TargetMode="External"/><Relationship Id="rId78" Type="http://schemas.openxmlformats.org/officeDocument/2006/relationships/hyperlink" Target="https://www.sec.gov/Archives/edgar/data/6281/000000628124000034/exhibit103-formofglobalnqa.htm" TargetMode="External"/><Relationship Id="rId79" Type="http://schemas.openxmlformats.org/officeDocument/2006/relationships/hyperlink" Target="https://www.sec.gov/Archives/edgar/data/6281/000000628124000034/exhibit103-formofglobalnqa.htm" TargetMode="External"/><Relationship Id="rId80" Type="http://schemas.openxmlformats.org/officeDocument/2006/relationships/hyperlink" Target="https://www.sec.gov/Archives/edgar/data/6281/000000628124000034/exhibit103-formofglobalnqa.htm" TargetMode="External"/><Relationship Id="rId81" Type="http://schemas.openxmlformats.org/officeDocument/2006/relationships/hyperlink" Target="https://www.sec.gov/Archives/edgar/data/6281/000000628124000034/exhibit104-formofglobalrsu.htm" TargetMode="External"/><Relationship Id="rId82" Type="http://schemas.openxmlformats.org/officeDocument/2006/relationships/hyperlink" Target="https://www.sec.gov/Archives/edgar/data/6281/000000628124000034/exhibit104-formofglobalrsu.htm" TargetMode="External"/><Relationship Id="rId83" Type="http://schemas.openxmlformats.org/officeDocument/2006/relationships/hyperlink" Target="https://www.sec.gov/Archives/edgar/data/6281/000000628124000034/exhibit104-formofglobalrsu.htm" TargetMode="External"/><Relationship Id="rId84" Type="http://schemas.openxmlformats.org/officeDocument/2006/relationships/hyperlink" Target="https://www.sec.gov/Archives/edgar/data/6281/000000628124000034/exhibit106-formoffinancial.htm" TargetMode="External"/><Relationship Id="rId85" Type="http://schemas.openxmlformats.org/officeDocument/2006/relationships/hyperlink" Target="https://www.sec.gov/Archives/edgar/data/6281/000000628124000034/exhibit106-formoffinancial.htm" TargetMode="External"/><Relationship Id="rId86" Type="http://schemas.openxmlformats.org/officeDocument/2006/relationships/hyperlink" Target="https://www.sec.gov/Archives/edgar/data/6281/000000628124000034/exhibit106-formoffinancial.htm" TargetMode="External"/><Relationship Id="rId87" Type="http://schemas.openxmlformats.org/officeDocument/2006/relationships/hyperlink" Target="https://www.sec.gov/Archives/edgar/data/6281/000000628124000034/exhibit107-formofperforman.htm" TargetMode="External"/><Relationship Id="rId88" Type="http://schemas.openxmlformats.org/officeDocument/2006/relationships/hyperlink" Target="https://www.sec.gov/Archives/edgar/data/6281/000000628124000034/exhibit107-formofperforman.htm" TargetMode="External"/><Relationship Id="rId89" Type="http://schemas.openxmlformats.org/officeDocument/2006/relationships/hyperlink" Target="https://www.sec.gov/Archives/edgar/data/6281/000000628124000034/exhibit107-formofperforman.htm" TargetMode="External"/><Relationship Id="rId90" Type="http://schemas.openxmlformats.org/officeDocument/2006/relationships/hyperlink" Target="https://www.sec.gov/Archives/edgar/data/6281/000000628123000152/exhibit101-analogxperforma.htm" TargetMode="External"/><Relationship Id="rId91" Type="http://schemas.openxmlformats.org/officeDocument/2006/relationships/hyperlink" Target="https://www.sec.gov/Archives/edgar/data/6281/000000628123000152/exhibit101-analogxperforma.htm" TargetMode="External"/><Relationship Id="rId92" Type="http://schemas.openxmlformats.org/officeDocument/2006/relationships/hyperlink" Target="https://www.sec.gov/Archives/edgar/data/6281/000000628123000152/exhibit101-analogxperforma.htm" TargetMode="External"/><Relationship Id="rId93" Type="http://schemas.openxmlformats.org/officeDocument/2006/relationships/hyperlink" Target="https://www.sec.gov/Archives/edgar/data/6281/000000628121000294/ex-1036amendedandrestated1.htm" TargetMode="External"/><Relationship Id="rId94" Type="http://schemas.openxmlformats.org/officeDocument/2006/relationships/hyperlink" Target="https://www.sec.gov/Archives/edgar/data/6281/000000628121000294/ex-1037globalrsuagreementa.htm" TargetMode="External"/><Relationship Id="rId95" Type="http://schemas.openxmlformats.org/officeDocument/2006/relationships/hyperlink" Target="https://www.sec.gov/Archives/edgar/data/6281/000000628121000294/ex-1038globalnqagreementap.htm" TargetMode="External"/><Relationship Id="rId96" Type="http://schemas.openxmlformats.org/officeDocument/2006/relationships/hyperlink" Target="https://www.sec.gov/Archives/edgar/data/6281/000000628122000020/a103adi-globalrsuagreement.htm" TargetMode="External"/><Relationship Id="rId97" Type="http://schemas.openxmlformats.org/officeDocument/2006/relationships/hyperlink" Target="https://www.sec.gov/Archives/edgar/data/6281/000000628123000031/exhibit102-globalnqagreeme.htm" TargetMode="External"/><Relationship Id="rId98" Type="http://schemas.openxmlformats.org/officeDocument/2006/relationships/hyperlink" Target="https://www.sec.gov/Archives/edgar/data/6281/000000628123000031/exhibit102-globalnqagreeme.htm" TargetMode="External"/><Relationship Id="rId99" Type="http://schemas.openxmlformats.org/officeDocument/2006/relationships/hyperlink" Target="https://www.sec.gov/Archives/edgar/data/6281/000000628123000031/exhibit102-globalnqagreeme.htm" TargetMode="External"/><Relationship Id="rId100" Type="http://schemas.openxmlformats.org/officeDocument/2006/relationships/hyperlink" Target="https://www.sec.gov/Archives/edgar/data/6281/000000628123000031/exhibit103-globalrsuagreem.htm" TargetMode="External"/><Relationship Id="rId101" Type="http://schemas.openxmlformats.org/officeDocument/2006/relationships/hyperlink" Target="https://www.sec.gov/Archives/edgar/data/6281/000000628123000031/exhibit103-globalrsuagreem.htm" TargetMode="External"/><Relationship Id="rId102" Type="http://schemas.openxmlformats.org/officeDocument/2006/relationships/hyperlink" Target="https://www.sec.gov/Archives/edgar/data/6281/000000628123000031/exhibit103-globalrsuagreem.htm" TargetMode="External"/><Relationship Id="rId103" Type="http://schemas.openxmlformats.org/officeDocument/2006/relationships/hyperlink" Target="https://www.sec.gov/Archives/edgar/data/6281/000000628124000034/exhibit101-formofglobalnqa.htm" TargetMode="External"/><Relationship Id="rId104" Type="http://schemas.openxmlformats.org/officeDocument/2006/relationships/hyperlink" Target="https://www.sec.gov/Archives/edgar/data/6281/000000628124000034/exhibit101-formofglobalnqa.htm" TargetMode="External"/><Relationship Id="rId105" Type="http://schemas.openxmlformats.org/officeDocument/2006/relationships/hyperlink" Target="https://www.sec.gov/Archives/edgar/data/6281/000000628124000034/exhibit101-formofglobalnqa.htm" TargetMode="External"/><Relationship Id="rId106" Type="http://schemas.openxmlformats.org/officeDocument/2006/relationships/hyperlink" Target="https://www.sec.gov/Archives/edgar/data/6281/000000628124000034/exhibit102-formofglobalrsu.htm" TargetMode="External"/><Relationship Id="rId107" Type="http://schemas.openxmlformats.org/officeDocument/2006/relationships/hyperlink" Target="https://www.sec.gov/Archives/edgar/data/6281/000000628124000034/exhibit102-formofglobalrsu.htm" TargetMode="External"/><Relationship Id="rId108" Type="http://schemas.openxmlformats.org/officeDocument/2006/relationships/hyperlink" Target="https://www.sec.gov/Archives/edgar/data/6281/000000628124000034/exhibit102-formofglobalrsu.htm" TargetMode="External"/><Relationship Id="rId109" Type="http://schemas.openxmlformats.org/officeDocument/2006/relationships/hyperlink" Target="https://www.sec.gov/Archives/edgar/data/6281/000119312512243459/d308637dex101.htm" TargetMode="External"/><Relationship Id="rId110" Type="http://schemas.openxmlformats.org/officeDocument/2006/relationships/hyperlink" Target="https://www.sec.gov/Archives/edgar/data/6281/000095013500000300/0000950135-00-000300.txt" TargetMode="External"/><Relationship Id="rId111" Type="http://schemas.openxmlformats.org/officeDocument/2006/relationships/hyperlink" Target="https://www.sec.gov/Archives/edgar/data/6281/000095013500000300/0000950135-00-000300.txt" TargetMode="External"/><Relationship Id="rId112" Type="http://schemas.openxmlformats.org/officeDocument/2006/relationships/hyperlink" Target="https://www.sec.gov/Archives/edgar/data/6281/000095013508007596/b72976adexv10w30.htm" TargetMode="External"/><Relationship Id="rId113" Type="http://schemas.openxmlformats.org/officeDocument/2006/relationships/hyperlink" Target="https://www.sec.gov/Archives/edgar/data/6281/000119312521197254/d177040dex101.htm" TargetMode="External"/><Relationship Id="rId114" Type="http://schemas.openxmlformats.org/officeDocument/2006/relationships/hyperlink" Target="https://www.sec.gov/Archives/edgar/data/6281/000000628123000031/exhibit101-amendmentno1tot.htm" TargetMode="External"/><Relationship Id="rId115" Type="http://schemas.openxmlformats.org/officeDocument/2006/relationships/hyperlink" Target="https://www.sec.gov/Archives/edgar/data/6281/000000628123000179/exhibit101-adixamendmentno.htm" TargetMode="External"/><Relationship Id="rId116" Type="http://schemas.openxmlformats.org/officeDocument/2006/relationships/hyperlink" Target="https://www.sec.gov/Archives/edgar/data/6281/000000628123000203/exhibit1063-amendedrestate.htm" TargetMode="External"/><Relationship Id="rId117" Type="http://schemas.openxmlformats.org/officeDocument/2006/relationships/hyperlink" Target="https://www.sec.gov/Archives/edgar/data/6281/000000628122000168/a104adi-gbofferletterheadv3.htm" TargetMode="External"/><Relationship Id="rId118" Type="http://schemas.openxmlformats.org/officeDocument/2006/relationships/hyperlink" Target="https://www.sec.gov/Archives/edgar/data/6281/000000628122000168/a106analog-executivebonusp.htm" TargetMode="External"/><Relationship Id="rId119" Type="http://schemas.openxmlformats.org/officeDocument/2006/relationships/hyperlink" Target="https://www.sec.gov/Archives/edgar/data/743316/000074331620000025/ex-1028q420.htm" TargetMode="External"/><Relationship Id="rId120" Type="http://schemas.openxmlformats.org/officeDocument/2006/relationships/hyperlink" Target="https://www.sec.gov/Archives/edgar/data/743316/000074331620000039/ex-105q121.htm" TargetMode="External"/><Relationship Id="rId121" Type="http://schemas.openxmlformats.org/officeDocument/2006/relationships/hyperlink" Target="https://www.sec.gov/Archives/edgar/data/6281/000000628124000034/exhibit108-puccioofferlett.htm" TargetMode="External"/><Relationship Id="rId122" Type="http://schemas.openxmlformats.org/officeDocument/2006/relationships/hyperlink" Target="https://www.sec.gov/Archives/edgar/data/6281/000000628124000034/exhibit108-puccioofferlett.htm" TargetMode="External"/><Relationship Id="rId123" Type="http://schemas.openxmlformats.org/officeDocument/2006/relationships/hyperlink" Target="https://www.sec.gov/Archives/edgar/data/6281/000000628124000034/exhibit108-puccioofferlett.htm" TargetMode="External"/><Relationship Id="rId124" Type="http://schemas.openxmlformats.org/officeDocument/2006/relationships/hyperlink" Target="https://www.sec.gov/Archives/edgar/data/6281/000000628124000034/exhibit108-puccioofferlett.htm" TargetMode="External"/><Relationship Id="rId125" Type="http://schemas.openxmlformats.org/officeDocument/2006/relationships/hyperlink" Target="https://www.sec.gov/Archives/edgar/data/6281/000000628124000034/exhibit108-puccioofferlett.htm" TargetMode="External"/><Relationship Id="rId126" Type="http://schemas.openxmlformats.org/officeDocument/2006/relationships/hyperlink" Target="https://www.sec.gov/Archives/edgar/data/6281/000000628124000034/exhibit108-puccioofferlett.htm" TargetMode="External"/><Relationship Id="rId127" Type="http://schemas.openxmlformats.org/officeDocument/2006/relationships/hyperlink" Target="https://www.sec.gov/Archives/edgar/data/6281/000000628123000203/exhibit97-adixcompensation.htm" TargetMode="External"/><Relationship Id="rId128" Type="http://schemas.openxmlformats.org/officeDocument/2006/relationships/image" Target="media/image2.png"/><Relationship Id="rId129" Type="http://schemas.openxmlformats.org/officeDocument/2006/relationships/image" Target="media/image3.png"/><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84604</Words>
  <Characters>472305</Characters>
  <CharactersWithSpaces>553984</CharactersWithSpaces>
  <Paragraphs>5642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