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us0326541051_012821.txt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7)</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ANALOG DEVICES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032654105</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2020</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032654105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24601323</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29220158</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29220158</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7.9%</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ANALOG DEVICES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ONE TECHNOLOGY WAY</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WILMINGTON MA 01887</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55 East 52nd Street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10055</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29220158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24601323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29220158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jc w:val="both"/>
        <w:ind w:left="320" w:right="317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ANALOG DEVICES INC.</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0"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ANALOG DEVICES INC</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28, 2021</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1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10"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International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Japan Co.,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rPr>
          <w:sz w:val="20"/>
          <w:szCs w:val="20"/>
          <w:color w:val="auto"/>
        </w:rPr>
      </w:pPr>
      <w:r>
        <w:rPr>
          <w:rFonts w:ascii="Courier New" w:cs="Courier New" w:eastAsia="Courier New" w:hAnsi="Courier New"/>
          <w:sz w:val="18"/>
          <w:szCs w:val="18"/>
          <w:color w:val="auto"/>
        </w:rPr>
        <w:t>FutureAdvisor, Inc.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Asset Management Deutschland AG</w:t>
      </w:r>
    </w:p>
    <w:p>
      <w:pPr>
        <w:ind w:left="120"/>
        <w:spacing w:after="0" w:line="238" w:lineRule="auto"/>
        <w:rPr>
          <w:sz w:val="20"/>
          <w:szCs w:val="20"/>
          <w:color w:val="auto"/>
        </w:rPr>
      </w:pPr>
      <w:r>
        <w:rPr>
          <w:rFonts w:ascii="Courier New" w:cs="Courier New" w:eastAsia="Courier New" w:hAnsi="Courier New"/>
          <w:sz w:val="18"/>
          <w:szCs w:val="18"/>
          <w:color w:val="auto"/>
        </w:rPr>
        <w:t>BlackRock (Luxembourg) S.A.</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rPr>
          <w:sz w:val="20"/>
          <w:szCs w:val="20"/>
          <w:color w:val="auto"/>
        </w:rPr>
      </w:pPr>
      <w:r>
        <w:rPr>
          <w:rFonts w:ascii="Courier New" w:cs="Courier New" w:eastAsia="Courier New" w:hAnsi="Courier New"/>
          <w:sz w:val="18"/>
          <w:szCs w:val="18"/>
          <w:color w:val="auto"/>
        </w:rPr>
        <w:t>BlackRock Advisors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North Asia Limited</w:t>
      </w:r>
    </w:p>
    <w:p>
      <w:pPr>
        <w:ind w:left="120"/>
        <w:spacing w:after="0"/>
        <w:rPr>
          <w:sz w:val="20"/>
          <w:szCs w:val="20"/>
          <w:color w:val="auto"/>
        </w:rPr>
      </w:pPr>
      <w:r>
        <w:rPr>
          <w:rFonts w:ascii="Courier New" w:cs="Courier New" w:eastAsia="Courier New" w:hAnsi="Courier New"/>
          <w:sz w:val="18"/>
          <w:szCs w:val="18"/>
          <w:color w:val="auto"/>
        </w:rPr>
        <w:t>BlackRock (Singapore) Limited</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859"/>
        <w:spacing w:after="0" w:line="244"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3"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52"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01" w:lineRule="exact"/>
        <w:rPr>
          <w:sz w:val="20"/>
          <w:szCs w:val="20"/>
          <w:color w:val="auto"/>
        </w:rPr>
      </w:pPr>
    </w:p>
    <w:p>
      <w:pPr>
        <w:ind w:right="255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95" w:lineRule="exact"/>
        <w:rPr>
          <w:sz w:val="20"/>
          <w:szCs w:val="20"/>
          <w:color w:val="auto"/>
        </w:rPr>
      </w:pPr>
    </w:p>
    <w:p>
      <w:pPr>
        <w:jc w:val="both"/>
        <w:ind w:right="3819"/>
        <w:spacing w:after="0" w:line="402"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Daniel Waltcher</w:t>
      </w:r>
    </w:p>
    <w:p>
      <w:pPr>
        <w:spacing w:after="0"/>
        <w:rPr>
          <w:sz w:val="20"/>
          <w:szCs w:val="20"/>
          <w:color w:val="auto"/>
        </w:rPr>
      </w:pPr>
      <w:r>
        <w:rPr>
          <w:rFonts w:ascii="Courier New" w:cs="Courier New" w:eastAsia="Courier New" w:hAnsi="Courier New"/>
          <w:sz w:val="18"/>
          <w:szCs w:val="18"/>
          <w:color w:val="auto"/>
        </w:rPr>
        <w:t>Title: Deputy General Counsel</w:t>
      </w:r>
    </w:p>
    <w:p>
      <w:pPr>
        <w:sectPr>
          <w:pgSz w:w="11900" w:h="16838" w:orient="portrait"/>
          <w:cols w:equalWidth="0" w:num="1">
            <w:col w:w="10139"/>
          </w:cols>
          <w:pgMar w:left="320" w:top="515" w:right="1440" w:bottom="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2021-01-29T05:31:49Z</dcterms:created>
  <dcterms:modified xsi:type="dcterms:W3CDTF">2021-01-29T05:31:49Z</dcterms:modified>
</cp:coreProperties>
</file>