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946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245.1522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157,948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246.3396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156,879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247.1671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155,685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248.0502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155,155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249.005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155,071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248.9157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153,968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249.576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152,609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250.6941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152,059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251.4913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151,946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652,221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January 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17, 2025 at actual sales prices ranging from $244.57 to $245.485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17, 2025 at actual sales prices ranging from $245.68 to $246.675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17, 2025 at actual sales prices ranging from $246.70 to $247.695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17, 2025 at actual sales prices ranging from $247.72 to $248.45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17, 2025 at actual sales prices ranging from $248.78 to $249.325 per share. The price reported reflects the weighted average sale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right="2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firstLine="7"/>
        <w:spacing w:after="0" w:line="253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18, 2025 at actual sales prices ranging from $248.275 to $249.27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right="20" w:firstLine="7"/>
        <w:spacing w:after="0" w:line="253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18, 2025 at actual sales prices ranging from $249.29 to $250.27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right="20" w:firstLine="7"/>
        <w:spacing w:after="0" w:line="253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18, 2025 at actual sales prices ranging from $250.31 to $251.30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firstLine="7"/>
        <w:spacing w:after="0" w:line="253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September 18, 2025 at actual sales prices ranging from $251.38 to $251.74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00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00"/>
      </w:cols>
      <w:pgMar w:left="500" w:top="127" w:right="6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90072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2025-09-19T15:39:49Z</dcterms:created>
  <dcterms:modified xsi:type="dcterms:W3CDTF">2025-09-19T15:39:49Z</dcterms:modified>
</cp:coreProperties>
</file>