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2026</w:t>
      </w:r>
    </w:p>
    <w:p>
      <w:pPr>
        <w:spacing w:after="0" w:line="30"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17"/>
          <w:szCs w:val="17"/>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113030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20" w:type="dxa"/>
        <w:tblCellMar>
          <w:top w:w="0" w:type="dxa"/>
          <w:left w:w="0" w:type="dxa"/>
          <w:bottom w:w="0" w:type="dxa"/>
          <w:right w:w="0" w:type="dxa"/>
        </w:tblCellMar>
      </w:tblPr>
      <w:tr>
        <w:trPr>
          <w:trHeight w:val="211"/>
        </w:trPr>
        <w:tc>
          <w:tcPr>
            <w:tcW w:w="2660" w:type="dxa"/>
            <w:vAlign w:val="bottom"/>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46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04-2348234</w:t>
            </w:r>
          </w:p>
        </w:tc>
      </w:tr>
      <w:tr>
        <w:trPr>
          <w:trHeight w:val="147"/>
        </w:trPr>
        <w:tc>
          <w:tcPr>
            <w:tcW w:w="2660" w:type="dxa"/>
            <w:vAlign w:val="bottom"/>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20" w:type="dxa"/>
            <w:vAlign w:val="bottom"/>
          </w:tcPr>
          <w:p>
            <w:pPr>
              <w:jc w:val="center"/>
              <w:ind w:left="3439"/>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26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20" w:type="dxa"/>
            <w:vAlign w:val="bottom"/>
          </w:tcPr>
          <w:p>
            <w:pPr>
              <w:jc w:val="center"/>
              <w:ind w:left="34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2660" w:type="dxa"/>
            <w:vAlign w:val="bottom"/>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One Analog Way</w:t>
            </w:r>
          </w:p>
        </w:tc>
        <w:tc>
          <w:tcPr>
            <w:tcW w:w="4620" w:type="dxa"/>
            <w:vAlign w:val="bottom"/>
          </w:tcPr>
          <w:p>
            <w:pPr>
              <w:spacing w:after="0"/>
              <w:rPr>
                <w:sz w:val="24"/>
                <w:szCs w:val="24"/>
                <w:color w:val="auto"/>
              </w:rPr>
            </w:pPr>
          </w:p>
        </w:tc>
      </w:tr>
      <w:tr>
        <w:trPr>
          <w:trHeight w:val="225"/>
        </w:trPr>
        <w:tc>
          <w:tcPr>
            <w:tcW w:w="2660" w:type="dxa"/>
            <w:vAlign w:val="bottom"/>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Wilmington, MA</w:t>
            </w:r>
          </w:p>
        </w:tc>
        <w:tc>
          <w:tcPr>
            <w:tcW w:w="4620" w:type="dxa"/>
            <w:vAlign w:val="bottom"/>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01887</w:t>
            </w:r>
          </w:p>
        </w:tc>
      </w:tr>
      <w:tr>
        <w:trPr>
          <w:trHeight w:val="187"/>
        </w:trPr>
        <w:tc>
          <w:tcPr>
            <w:tcW w:w="26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20" w:type="dxa"/>
            <w:vAlign w:val="bottom"/>
          </w:tcPr>
          <w:p>
            <w:pPr>
              <w:jc w:val="center"/>
              <w:ind w:left="34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660" w:type="dxa"/>
            <w:vAlign w:val="bottom"/>
          </w:tcPr>
          <w:p>
            <w:pPr>
              <w:spacing w:after="0"/>
              <w:rPr>
                <w:sz w:val="24"/>
                <w:szCs w:val="24"/>
                <w:color w:val="auto"/>
              </w:rPr>
            </w:pPr>
          </w:p>
        </w:tc>
        <w:tc>
          <w:tcPr>
            <w:tcW w:w="462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Amended and Restated</w:t>
            </w:r>
          </w:p>
        </w:tc>
      </w:tr>
      <w:tr>
        <w:trPr>
          <w:trHeight w:val="214"/>
        </w:trPr>
        <w:tc>
          <w:tcPr>
            <w:tcW w:w="2660" w:type="dxa"/>
            <w:vAlign w:val="bottom"/>
          </w:tcPr>
          <w:p>
            <w:pPr>
              <w:spacing w:after="0"/>
              <w:rPr>
                <w:sz w:val="18"/>
                <w:szCs w:val="18"/>
                <w:color w:val="auto"/>
              </w:rPr>
            </w:pPr>
          </w:p>
        </w:tc>
        <w:tc>
          <w:tcPr>
            <w:tcW w:w="4620" w:type="dxa"/>
            <w:vAlign w:val="bottom"/>
          </w:tcPr>
          <w:p>
            <w:pPr>
              <w:jc w:val="center"/>
              <w:ind w:right="1999"/>
              <w:spacing w:after="0"/>
              <w:rPr>
                <w:sz w:val="20"/>
                <w:szCs w:val="20"/>
                <w:color w:val="auto"/>
              </w:rPr>
            </w:pPr>
            <w:r>
              <w:rPr>
                <w:rFonts w:ascii="Times New Roman" w:cs="Times New Roman" w:eastAsia="Times New Roman" w:hAnsi="Times New Roman"/>
                <w:sz w:val="18"/>
                <w:szCs w:val="18"/>
                <w:b w:val="1"/>
                <w:bCs w:val="1"/>
                <w:color w:val="auto"/>
                <w:w w:val="98"/>
              </w:rPr>
              <w:t>Analog Devices, Inc.</w:t>
            </w:r>
          </w:p>
        </w:tc>
      </w:tr>
      <w:tr>
        <w:trPr>
          <w:trHeight w:val="211"/>
        </w:trPr>
        <w:tc>
          <w:tcPr>
            <w:tcW w:w="2660" w:type="dxa"/>
            <w:vAlign w:val="bottom"/>
          </w:tcPr>
          <w:p>
            <w:pPr>
              <w:spacing w:after="0"/>
              <w:rPr>
                <w:sz w:val="18"/>
                <w:szCs w:val="18"/>
                <w:color w:val="auto"/>
              </w:rPr>
            </w:pPr>
          </w:p>
        </w:tc>
        <w:tc>
          <w:tcPr>
            <w:tcW w:w="4620" w:type="dxa"/>
            <w:vAlign w:val="bottom"/>
          </w:tcPr>
          <w:p>
            <w:pPr>
              <w:jc w:val="center"/>
              <w:ind w:right="1999"/>
              <w:spacing w:after="0"/>
              <w:rPr>
                <w:sz w:val="20"/>
                <w:szCs w:val="20"/>
                <w:color w:val="auto"/>
              </w:rPr>
            </w:pPr>
            <w:r>
              <w:rPr>
                <w:rFonts w:ascii="Times New Roman" w:cs="Times New Roman" w:eastAsia="Times New Roman" w:hAnsi="Times New Roman"/>
                <w:sz w:val="18"/>
                <w:szCs w:val="18"/>
                <w:b w:val="1"/>
                <w:bCs w:val="1"/>
                <w:color w:val="auto"/>
                <w:w w:val="99"/>
              </w:rPr>
              <w:t>2020 Equity Incentive Plan</w:t>
            </w:r>
          </w:p>
        </w:tc>
      </w:tr>
      <w:tr>
        <w:trPr>
          <w:trHeight w:val="187"/>
        </w:trPr>
        <w:tc>
          <w:tcPr>
            <w:tcW w:w="2660" w:type="dxa"/>
            <w:vAlign w:val="bottom"/>
          </w:tcPr>
          <w:p>
            <w:pPr>
              <w:spacing w:after="0"/>
              <w:rPr>
                <w:sz w:val="16"/>
                <w:szCs w:val="16"/>
                <w:color w:val="auto"/>
              </w:rPr>
            </w:pPr>
          </w:p>
        </w:tc>
        <w:tc>
          <w:tcPr>
            <w:tcW w:w="462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bl>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Janene Asgeirsson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Chief Legal Officer and Corporate Secretary</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Analog Way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MA 01887</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935-5565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30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900"/>
          </w:cols>
          <w:pgMar w:left="500" w:top="224"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Analog Devices, Inc. (the “Registrant” or the “Company”) is filing this registration statement (this “Registration Statement”) on Form S-8 under the Securities Act of 1933, as amended (the “Securities Act”), to register an additional 13,000,000 shares of common stock, par value $0.16 2/3 per share (the “Common Stock”), of the Company issuable under the Amended and Restated Analog Devices, Inc. 2020 Equity Incentive Plan (the “2020 Plan”). On December 10, 2025, upon the recommendation of the Compensation and Talent Committee, and subject to shareholder approval, the Board of Directors of the Company adopted the 2020 Plan. On March 11, 2026, the 2020 Plan was approved by the Company’s shareholders at its 2026 Annual Meeting of Shareholders.</w:t>
      </w:r>
    </w:p>
    <w:p>
      <w:pPr>
        <w:spacing w:after="0" w:line="187" w:lineRule="exact"/>
        <w:rPr>
          <w:sz w:val="20"/>
          <w:szCs w:val="20"/>
          <w:color w:val="auto"/>
        </w:rPr>
      </w:pPr>
    </w:p>
    <w:p>
      <w:pPr>
        <w:ind w:righ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General Instruction E to Form S-8, the contents of the registration statement on Form S-8 (</w:t>
      </w:r>
      <w:hyperlink r:id="rId17">
        <w:r>
          <w:rPr>
            <w:rFonts w:ascii="Times New Roman" w:cs="Times New Roman" w:eastAsia="Times New Roman" w:hAnsi="Times New Roman"/>
            <w:sz w:val="17"/>
            <w:szCs w:val="17"/>
            <w:u w:val="single" w:color="auto"/>
            <w:color w:val="0000EE"/>
          </w:rPr>
          <w:t>File No. 333-237083</w:t>
        </w:r>
      </w:hyperlink>
      <w:r>
        <w:rPr>
          <w:rFonts w:ascii="Times New Roman" w:cs="Times New Roman" w:eastAsia="Times New Roman" w:hAnsi="Times New Roman"/>
          <w:sz w:val="17"/>
          <w:szCs w:val="17"/>
          <w:color w:val="auto"/>
        </w:rPr>
        <w:t>) filed with the Securities and Exchange Commission (the “Commission”) on March 11, 2020, and with respect to certain “Carryover Shares” available for issuance under the 2020 Plan, the post-effective amendment to registration statement on Form S-8 (</w:t>
      </w:r>
      <w:hyperlink r:id="rId18">
        <w:r>
          <w:rPr>
            <w:rFonts w:ascii="Times New Roman" w:cs="Times New Roman" w:eastAsia="Times New Roman" w:hAnsi="Times New Roman"/>
            <w:sz w:val="17"/>
            <w:szCs w:val="17"/>
            <w:u w:val="single" w:color="auto"/>
            <w:color w:val="0000EE"/>
          </w:rPr>
          <w:t>File No. 333-194556</w:t>
        </w:r>
      </w:hyperlink>
      <w:r>
        <w:rPr>
          <w:rFonts w:ascii="Times New Roman" w:cs="Times New Roman" w:eastAsia="Times New Roman" w:hAnsi="Times New Roman"/>
          <w:sz w:val="17"/>
          <w:szCs w:val="17"/>
          <w:color w:val="auto"/>
        </w:rPr>
        <w:t>) filed with the Commission on</w:t>
      </w:r>
    </w:p>
    <w:p>
      <w:pPr>
        <w:spacing w:after="0" w:line="251" w:lineRule="auto"/>
        <w:rPr>
          <w:sz w:val="20"/>
          <w:szCs w:val="20"/>
          <w:color w:val="auto"/>
        </w:rPr>
      </w:pPr>
      <w:r>
        <w:rPr>
          <w:rFonts w:ascii="Times New Roman" w:cs="Times New Roman" w:eastAsia="Times New Roman" w:hAnsi="Times New Roman"/>
          <w:sz w:val="18"/>
          <w:szCs w:val="18"/>
          <w:color w:val="auto"/>
        </w:rPr>
        <w:t>March 11, 2020 (collectively, the “Prior Registration Statements”) are incorporated by reference and made a part of this Registration Statement except to the extent supplemented, amended or superseded by the information set forth herein, and the shares of Common Stock registered hereunder are in addition to the shares of Common Stock registered on such Prior Registration Statements with respect to the 2020 Plan.</w:t>
      </w:r>
    </w:p>
    <w:p>
      <w:pPr>
        <w:sectPr>
          <w:pgSz w:w="11900" w:h="16838" w:orient="portrait"/>
          <w:cols w:equalWidth="0" w:num="1">
            <w:col w:w="10880"/>
          </w:cols>
          <w:pgMar w:left="500" w:top="264" w:right="519" w:bottom="1440" w:gutter="0" w:footer="0" w:header="0"/>
        </w:sectPr>
      </w:pPr>
    </w:p>
    <w:bookmarkStart w:id="2" w:name="page3"/>
    <w:bookmarkEnd w:id="2"/>
    <w:p>
      <w:pPr>
        <w:jc w:val="center"/>
        <w:ind w:right="-16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II</w:t>
      </w:r>
    </w:p>
    <w:p>
      <w:pPr>
        <w:spacing w:after="0" w:line="220" w:lineRule="exact"/>
        <w:rPr>
          <w:sz w:val="20"/>
          <w:szCs w:val="20"/>
          <w:color w:val="auto"/>
        </w:rPr>
      </w:pPr>
    </w:p>
    <w:p>
      <w:pPr>
        <w:ind w:left="2686"/>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6"/>
        <w:spacing w:after="0" w:line="277" w:lineRule="auto"/>
        <w:rPr>
          <w:sz w:val="20"/>
          <w:szCs w:val="20"/>
          <w:color w:val="auto"/>
        </w:rPr>
      </w:pPr>
      <w:r>
        <w:rPr>
          <w:rFonts w:ascii="Times New Roman" w:cs="Times New Roman" w:eastAsia="Times New Roman" w:hAnsi="Times New Roman"/>
          <w:sz w:val="18"/>
          <w:szCs w:val="18"/>
          <w:color w:val="auto"/>
        </w:rPr>
        <w:t>The Registrant hereby incorporates by reference the following documents filed with the Commission pursuant to the Securities Exchange Act of 1934, as amended (the “Exchange Act”):</w:t>
      </w:r>
    </w:p>
    <w:p>
      <w:pPr>
        <w:spacing w:after="0" w:line="57" w:lineRule="exact"/>
        <w:rPr>
          <w:sz w:val="20"/>
          <w:szCs w:val="20"/>
          <w:color w:val="auto"/>
        </w:rPr>
      </w:pPr>
    </w:p>
    <w:p>
      <w:pPr>
        <w:ind w:left="6" w:right="380" w:hanging="6"/>
        <w:spacing w:after="0" w:line="277" w:lineRule="auto"/>
        <w:tabs>
          <w:tab w:leader="none" w:pos="2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EE"/>
          </w:rPr>
          <w:t>Form10-K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fiscal year ended November 1, 2025 filed with the Commission on November 25, 2025 (the “Annual Report”);</w:t>
      </w:r>
    </w:p>
    <w:p>
      <w:pPr>
        <w:spacing w:after="0" w:line="56"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Annual Report; and</w:t>
      </w:r>
    </w:p>
    <w:p>
      <w:pPr>
        <w:spacing w:after="0" w:line="113" w:lineRule="exact"/>
        <w:rPr>
          <w:rFonts w:ascii="Times New Roman" w:cs="Times New Roman" w:eastAsia="Times New Roman" w:hAnsi="Times New Roman"/>
          <w:sz w:val="18"/>
          <w:szCs w:val="18"/>
          <w:color w:val="auto"/>
        </w:rPr>
      </w:pPr>
    </w:p>
    <w:p>
      <w:pPr>
        <w:jc w:val="both"/>
        <w:ind w:left="6" w:right="340" w:hanging="6"/>
        <w:spacing w:after="0" w:line="262" w:lineRule="auto"/>
        <w:tabs>
          <w:tab w:leader="none" w:pos="24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under the Exchange Act on March 21, 2012, as updated by the description of the Registrant’s Common Stock included in </w:t>
      </w:r>
      <w:hyperlink r:id="rId22">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together with any amendment or report filed for the purpose of updating such description.</w:t>
      </w:r>
    </w:p>
    <w:p>
      <w:pPr>
        <w:spacing w:after="0" w:line="177" w:lineRule="exact"/>
        <w:rPr>
          <w:rFonts w:ascii="Times New Roman" w:cs="Times New Roman" w:eastAsia="Times New Roman" w:hAnsi="Times New Roman"/>
          <w:sz w:val="18"/>
          <w:szCs w:val="18"/>
          <w:color w:val="auto"/>
        </w:rPr>
      </w:pPr>
    </w:p>
    <w:p>
      <w:pPr>
        <w:ind w:left="6" w:right="60"/>
        <w:spacing w:after="0" w:line="251" w:lineRule="auto"/>
        <w:rPr>
          <w:sz w:val="20"/>
          <w:szCs w:val="20"/>
          <w:color w:val="auto"/>
        </w:rPr>
      </w:pPr>
      <w:r>
        <w:rPr>
          <w:rFonts w:ascii="Times New Roman" w:cs="Times New Roman" w:eastAsia="Times New Roman" w:hAnsi="Times New Roman"/>
          <w:sz w:val="18"/>
          <w:szCs w:val="18"/>
          <w:color w:val="auto"/>
        </w:rPr>
        <w:t xml:space="preserve">All documents the Registrant files with the Commission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Commission rules shall not be deemed incorporated by reference into this Registration Statement.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92"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726"/>
          </w:cols>
          <w:pgMar w:left="494" w:top="264"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6. Indemnification of Directors and Officers.</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Article 6A of the registrant’s Amended and Restated Articles of Organization (the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 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Article 6A of the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8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Under Article 6A of the Articles, if an individual is entitled under any provision of Article 6 of the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Articles shall be offset to the extent of any other source of indemnification or any otherwise applicable insurance coverage under a policy maintained by the Registrant or any other person.</w:t>
      </w:r>
    </w:p>
    <w:p>
      <w:pPr>
        <w:spacing w:after="0" w:line="18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Under Article 6E of the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7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Registrant has directors and officers liability insurance for the benefit of its directors and officers.</w:t>
      </w:r>
    </w:p>
    <w:p>
      <w:pPr>
        <w:sectPr>
          <w:pgSz w:w="11900" w:h="16838" w:orient="portrait"/>
          <w:cols w:equalWidth="0" w:num="1">
            <w:col w:w="10880"/>
          </w:cols>
          <w:pgMar w:left="500" w:top="264" w:right="519" w:bottom="1440" w:gutter="0" w:footer="0" w:header="0"/>
        </w:sectPr>
      </w:pPr>
    </w:p>
    <w:bookmarkStart w:id="4" w:name="page5"/>
    <w:bookmarkEnd w:id="4"/>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 Exhibits.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Exhibit Index included immediately prior to the signature pages hereto is incorporated herein by reference.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4" w:lineRule="exact"/>
        <w:rPr>
          <w:sz w:val="20"/>
          <w:szCs w:val="20"/>
          <w:color w:val="auto"/>
        </w:rPr>
      </w:pPr>
    </w:p>
    <w:p>
      <w:pPr>
        <w:ind w:left="246" w:hanging="246"/>
        <w:spacing w:after="0"/>
        <w:tabs>
          <w:tab w:leader="none" w:pos="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14" w:lineRule="exact"/>
        <w:rPr>
          <w:sz w:val="20"/>
          <w:szCs w:val="20"/>
          <w:color w:val="auto"/>
        </w:rPr>
      </w:pPr>
    </w:p>
    <w:p>
      <w:pPr>
        <w:ind w:left="6" w:right="260" w:hanging="6"/>
        <w:spacing w:after="0" w:line="262" w:lineRule="auto"/>
        <w:tabs>
          <w:tab w:leader="none" w:pos="2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0" w:lineRule="exact"/>
        <w:rPr>
          <w:rFonts w:ascii="Times New Roman" w:cs="Times New Roman" w:eastAsia="Times New Roman" w:hAnsi="Times New Roman"/>
          <w:sz w:val="18"/>
          <w:szCs w:val="18"/>
          <w:color w:val="auto"/>
        </w:rPr>
      </w:pPr>
    </w:p>
    <w:p>
      <w:pPr>
        <w:ind w:left="6" w:right="320" w:hanging="6"/>
        <w:spacing w:after="0" w:line="277" w:lineRule="auto"/>
        <w:tabs>
          <w:tab w:leader="none" w:pos="3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left="6" w:right="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70" w:lineRule="exact"/>
        <w:rPr>
          <w:sz w:val="20"/>
          <w:szCs w:val="20"/>
          <w:color w:val="auto"/>
        </w:rPr>
      </w:pPr>
    </w:p>
    <w:p>
      <w:pPr>
        <w:ind w:left="6" w:right="140" w:hanging="6"/>
        <w:spacing w:after="0" w:line="262"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0" w:lineRule="exact"/>
        <w:rPr>
          <w:rFonts w:ascii="Times New Roman" w:cs="Times New Roman" w:eastAsia="Times New Roman" w:hAnsi="Times New Roman"/>
          <w:sz w:val="18"/>
          <w:szCs w:val="18"/>
          <w:color w:val="auto"/>
        </w:rPr>
      </w:pPr>
    </w:p>
    <w:p>
      <w:pPr>
        <w:ind w:left="6" w:hanging="6"/>
        <w:spacing w:after="0" w:line="277"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7" w:lineRule="exact"/>
        <w:rPr>
          <w:sz w:val="20"/>
          <w:szCs w:val="20"/>
          <w:color w:val="auto"/>
        </w:rPr>
      </w:pPr>
    </w:p>
    <w:p>
      <w:pPr>
        <w:ind w:left="6" w:right="120" w:hanging="6"/>
        <w:spacing w:after="0" w:line="257"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5" w:lineRule="exact"/>
        <w:rPr>
          <w:rFonts w:ascii="Times New Roman" w:cs="Times New Roman" w:eastAsia="Times New Roman" w:hAnsi="Times New Roman"/>
          <w:sz w:val="18"/>
          <w:szCs w:val="18"/>
          <w:color w:val="auto"/>
        </w:rPr>
      </w:pPr>
    </w:p>
    <w:p>
      <w:pPr>
        <w:ind w:left="6" w:right="220" w:hanging="6"/>
        <w:spacing w:after="0" w:line="252" w:lineRule="auto"/>
        <w:tabs>
          <w:tab w:leader="none" w:pos="2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86"/>
          </w:cols>
          <w:pgMar w:left="494" w:top="264" w:right="519" w:bottom="1440" w:gutter="0" w:footer="0" w:header="0"/>
        </w:sectPr>
      </w:pPr>
    </w:p>
    <w:bookmarkStart w:id="5" w:name="page6"/>
    <w:bookmarkEnd w:id="5"/>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EXHIBIT INDEX</w:t>
      </w:r>
    </w:p>
    <w:p>
      <w:pPr>
        <w:spacing w:after="0" w:line="245"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6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20" w:type="dxa"/>
            <w:vAlign w:val="bottom"/>
          </w:tcPr>
          <w:p>
            <w:pPr>
              <w:spacing w:after="0"/>
              <w:rPr>
                <w:sz w:val="22"/>
                <w:szCs w:val="22"/>
                <w:color w:val="auto"/>
              </w:rPr>
            </w:pPr>
          </w:p>
        </w:tc>
        <w:tc>
          <w:tcPr>
            <w:tcW w:w="6800" w:type="dxa"/>
            <w:vAlign w:val="bottom"/>
            <w:gridSpan w:val="7"/>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Amended and Restated Articles of Organization of Analog Devices, Inc., adopted as of March</w:t>
              </w:r>
            </w:hyperlink>
          </w:p>
        </w:tc>
        <w:tc>
          <w:tcPr>
            <w:tcW w:w="3080" w:type="dxa"/>
            <w:vAlign w:val="bottom"/>
            <w:gridSpan w:val="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12, 2025 (incorporated by reference to</w:t>
              </w:r>
            </w:hyperlink>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0" w:type="dxa"/>
            <w:vAlign w:val="bottom"/>
            <w:gridSpan w:val="7"/>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Exhibit 3.1 to the Registrant’s Quarterly Report on Form 10-Q for the fiscal quarter ended May</w:t>
              </w:r>
            </w:hyperlink>
          </w:p>
        </w:tc>
        <w:tc>
          <w:tcPr>
            <w:tcW w:w="3080" w:type="dxa"/>
            <w:vAlign w:val="bottom"/>
            <w:gridSpan w:val="7"/>
          </w:tcPr>
          <w:p>
            <w:pPr>
              <w:ind w:left="80"/>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3, 2025, as filed with the Securities and</w:t>
              </w:r>
            </w:hyperlink>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Exchange Commission on May 22, 2025)</w:t>
              </w:r>
            </w:hyperlink>
          </w:p>
        </w:tc>
        <w:tc>
          <w:tcPr>
            <w:tcW w:w="1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20" w:type="dxa"/>
            <w:vAlign w:val="bottom"/>
          </w:tcPr>
          <w:p>
            <w:pPr>
              <w:spacing w:after="0"/>
              <w:rPr>
                <w:sz w:val="24"/>
                <w:szCs w:val="24"/>
                <w:color w:val="auto"/>
              </w:rPr>
            </w:pPr>
          </w:p>
        </w:tc>
        <w:tc>
          <w:tcPr>
            <w:tcW w:w="93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Second Amended and Restated Bylaws of Analog Devices, Inc.(incorporated by reference to Exhibit 3.1 to the Registrant’s Current</w:t>
              </w:r>
            </w:hyperlink>
          </w:p>
        </w:tc>
        <w:tc>
          <w:tcPr>
            <w:tcW w:w="500" w:type="dxa"/>
            <w:vAlign w:val="bottom"/>
            <w:gridSpan w:val="4"/>
          </w:tcPr>
          <w:p>
            <w:pPr>
              <w:spacing w:after="0"/>
              <w:rPr>
                <w:sz w:val="24"/>
                <w:szCs w:val="24"/>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80" w:type="dxa"/>
            <w:vAlign w:val="bottom"/>
            <w:gridSpan w:val="14"/>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Report on Form 8-K, as filed with the Securities and Exchange Commission on January 13, 2025)</w:t>
              </w:r>
            </w:hyperlink>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2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Opinion of DLA Piper LLP (US), counsel to the Registrant</w:t>
            </w:r>
          </w:p>
        </w:tc>
        <w:tc>
          <w:tcPr>
            <w:tcW w:w="2580" w:type="dxa"/>
            <w:vAlign w:val="bottom"/>
            <w:tcBorders>
              <w:top w:val="single" w:sz="8" w:color="0000EE"/>
            </w:tcBorders>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4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DLA Piper LLP (US) (included in Exhibit 5.1)</w:t>
            </w:r>
          </w:p>
        </w:tc>
        <w:tc>
          <w:tcPr>
            <w:tcW w:w="26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2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w:t>
            </w:r>
          </w:p>
        </w:tc>
        <w:tc>
          <w:tcPr>
            <w:tcW w:w="45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Pr>
          <w:p>
            <w:pPr>
              <w:spacing w:after="0"/>
              <w:rPr>
                <w:sz w:val="24"/>
                <w:szCs w:val="24"/>
                <w:color w:val="auto"/>
              </w:rPr>
            </w:pPr>
          </w:p>
        </w:tc>
        <w:tc>
          <w:tcPr>
            <w:tcW w:w="68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pages of this Registration Statement)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740" w:type="dxa"/>
            <w:vAlign w:val="bottom"/>
            <w:gridSpan w:val="5"/>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9880" w:type="dxa"/>
            <w:vAlign w:val="bottom"/>
            <w:gridSpan w:val="1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Analog Devices, Inc. 2020 Equity Incentive Plan (incorporated by reference to Exhibit 10.1 to the Registrant’s</w:t>
              </w:r>
            </w:hyperlink>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560" w:type="dxa"/>
            <w:vAlign w:val="bottom"/>
            <w:tcBorders>
              <w:top w:val="single" w:sz="8" w:color="0000EE"/>
            </w:tcBorders>
            <w:gridSpan w:val="12"/>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Current Report on Form 8-K as filed with the Securities and Exchange Commission on March 12, 2026</w:t>
              </w:r>
            </w:hyperlink>
          </w:p>
        </w:tc>
        <w:tc>
          <w:tcPr>
            <w:tcW w:w="320" w:type="dxa"/>
            <w:vAlign w:val="bottom"/>
            <w:gridSpan w:val="2"/>
          </w:tcPr>
          <w:p>
            <w:pPr>
              <w:spacing w:after="0"/>
              <w:rPr>
                <w:sz w:val="16"/>
                <w:szCs w:val="16"/>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68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9" w:lineRule="exact"/>
        <w:rPr>
          <w:sz w:val="20"/>
          <w:szCs w:val="20"/>
          <w:color w:val="auto"/>
        </w:rPr>
      </w:pPr>
    </w:p>
    <w:p>
      <w:pPr>
        <w:ind w:left="426" w:hanging="426"/>
        <w:spacing w:after="0"/>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06"/>
          </w:cols>
          <w:pgMar w:left="494" w:top="264" w:right="4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ind w:right="5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Wilmington, Commonwealth of Massachusetts, on this 20th day of May,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Vincent Roche</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Directors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Vincent Roche, Richard C. Puccio, Jr. and Janene Asgeirsson, and each or any one of them, his or her true and lawful attorney-in-fact and agent, with full power of substitution and resubstitution, severally, for him or her and in his or her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 or substitutes, may lawfully do or cause to be done by virtue hereof.</w:t>
      </w:r>
    </w:p>
    <w:p>
      <w:pPr>
        <w:spacing w:after="0" w:line="18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2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Roche</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Vincent Roche</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Directors (Principal Executive Officer)</w:t>
            </w:r>
          </w:p>
        </w:tc>
        <w:tc>
          <w:tcPr>
            <w:tcW w:w="16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C. Puccio, Jr.</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Richard C. Puccio, Jr.</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16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Sondel</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Accounting Officer (Principal Accounting</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Michael Sondel</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w:t>
            </w:r>
          </w:p>
        </w:tc>
        <w:tc>
          <w:tcPr>
            <w:tcW w:w="16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André Andonian</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André Andonian</w:t>
            </w:r>
          </w:p>
        </w:tc>
        <w:tc>
          <w:tcPr>
            <w:tcW w:w="4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H. Frank</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Edward H. Frank</w:t>
            </w:r>
          </w:p>
        </w:tc>
        <w:tc>
          <w:tcPr>
            <w:tcW w:w="4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M. Golz</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Karen M. Golz</w:t>
            </w:r>
          </w:p>
        </w:tc>
        <w:tc>
          <w:tcPr>
            <w:tcW w:w="4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B. Henry</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Peter B. Henry</w:t>
            </w:r>
          </w:p>
        </w:tc>
        <w:tc>
          <w:tcPr>
            <w:tcW w:w="42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ectPr>
          <w:pgSz w:w="11900" w:h="16838" w:orient="portrait"/>
          <w:cols w:equalWidth="0" w:num="1">
            <w:col w:w="10880"/>
          </w:cols>
          <w:pgMar w:left="500" w:top="264" w:right="5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M. Jennings</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Stephen M. Jennings</w:t>
            </w:r>
          </w:p>
        </w:tc>
        <w:tc>
          <w:tcPr>
            <w:tcW w:w="28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15"/>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Mercedes Johnson</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Mercedes Johnson</w:t>
            </w:r>
          </w:p>
        </w:tc>
        <w:tc>
          <w:tcPr>
            <w:tcW w:w="28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15"/>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Yoky Matsuoka</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Yoky Matsuoka</w:t>
            </w:r>
          </w:p>
        </w:tc>
        <w:tc>
          <w:tcPr>
            <w:tcW w:w="28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15"/>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 Stata</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Ray Stata</w:t>
            </w:r>
          </w:p>
        </w:tc>
        <w:tc>
          <w:tcPr>
            <w:tcW w:w="28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15"/>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 F. Wainer</w:t>
            </w:r>
          </w:p>
        </w:tc>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0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5"/>
              </w:rPr>
              <w:t>May 20,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Andrea F. Wainer</w:t>
            </w:r>
          </w:p>
        </w:tc>
        <w:tc>
          <w:tcPr>
            <w:tcW w:w="280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ectPr>
          <w:pgSz w:w="11900" w:h="16838" w:orient="portrait"/>
          <w:cols w:equalWidth="0" w:num="1">
            <w:col w:w="9959"/>
          </w:cols>
          <w:pgMar w:left="500" w:top="268" w:right="1440" w:bottom="1440" w:gutter="0" w:footer="0" w:header="0"/>
        </w:sectPr>
      </w:pPr>
    </w:p>
    <w:bookmarkStart w:id="8" w:name="page9"/>
    <w:bookmarkEnd w:id="8"/>
    <w:p>
      <w:pPr>
        <w:ind w:left="1006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59"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1017905" cy="585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17905" cy="585470"/>
                    </a:xfrm>
                    <a:prstGeom prst="rect">
                      <a:avLst/>
                    </a:prstGeom>
                    <a:noFill/>
                  </pic:spPr>
                </pic:pic>
              </a:graphicData>
            </a:graphic>
          </wp:anchor>
        </w:drawing>
      </w:r>
    </w:p>
    <w:p>
      <w:pPr>
        <w:ind w:left="8500"/>
        <w:spacing w:after="0" w:line="196" w:lineRule="auto"/>
        <w:rPr>
          <w:sz w:val="20"/>
          <w:szCs w:val="20"/>
          <w:color w:val="auto"/>
        </w:rPr>
      </w:pPr>
      <w:r>
        <w:rPr>
          <w:rFonts w:ascii="Times New Roman" w:cs="Times New Roman" w:eastAsia="Times New Roman" w:hAnsi="Times New Roman"/>
          <w:sz w:val="18"/>
          <w:szCs w:val="18"/>
          <w:color w:val="auto"/>
        </w:rPr>
        <w:t>33 Arch Street,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850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www.dlapiper.com</w:t>
      </w:r>
    </w:p>
    <w:p>
      <w:pPr>
        <w:spacing w:after="0" w:line="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(617) 406-6000</w:t>
      </w:r>
    </w:p>
    <w:p>
      <w:pPr>
        <w:spacing w:after="0" w:line="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(617) 406-6100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Analog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We have acted as counsel to Analog Devices, Inc., a Massachusetts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for the registration of 13,000,000 shares of the Company’s common stock, par value $0.16 2/3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that may be issued pursuant to the Company’s Amended and Restated 2020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This opinion is being furnished in accordance with the requirements of Item 601(b)(5)(i) of Regulation S-K.</w:t>
      </w:r>
    </w:p>
    <w:p>
      <w:pPr>
        <w:spacing w:after="0" w:line="18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As the basis for the opinions hereinafter expressed, 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As to certain factual matters, we have relied upon a certificate of an officer of the Company and have not independently verified any factual matter relating to this opinion.</w:t>
      </w:r>
    </w:p>
    <w:p>
      <w:pPr>
        <w:spacing w:after="0" w:line="166" w:lineRule="exact"/>
        <w:rPr>
          <w:sz w:val="20"/>
          <w:szCs w:val="20"/>
          <w:color w:val="auto"/>
        </w:rPr>
      </w:pPr>
    </w:p>
    <w:p>
      <w:pPr>
        <w:ind w:right="980"/>
        <w:spacing w:after="0" w:line="277" w:lineRule="auto"/>
        <w:rPr>
          <w:sz w:val="20"/>
          <w:szCs w:val="20"/>
          <w:color w:val="auto"/>
        </w:rPr>
      </w:pPr>
      <w:r>
        <w:rPr>
          <w:rFonts w:ascii="Times New Roman" w:cs="Times New Roman" w:eastAsia="Times New Roman" w:hAnsi="Times New Roman"/>
          <w:sz w:val="18"/>
          <w:szCs w:val="18"/>
          <w:color w:val="auto"/>
        </w:rPr>
        <w:t>We express no opinion other than as to the federal laws of the United States of America and the corporation laws of The Commonwealth of Massachusetts.</w:t>
      </w:r>
    </w:p>
    <w:p>
      <w:pPr>
        <w:spacing w:after="0" w:line="16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On the basis of the foregoing, we are of the opinion that the Shares have been duly authorized and when issued by the Company in accordance with the terms of the Plan, will be validly issued, fully paid and nonassessable.</w:t>
      </w:r>
    </w:p>
    <w:p>
      <w:pPr>
        <w:spacing w:after="0" w:line="16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In giving our consent, we do not thereby admit that we are within the category of persons whose consent is required under Section 7 of the Act or the rules and regulations promulgated thereunder.</w:t>
      </w:r>
    </w:p>
    <w:p>
      <w:pPr>
        <w:spacing w:after="0" w:line="1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Our opinion is expressly limited to the matters set forth above, and we render no opinion, whether by implication or otherwise, as to any other matters relating to the Company, the Shares, or the Registration Statement.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spacing w:after="0" w:line="20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DLA Piper LLP (US)</w:t>
      </w:r>
    </w:p>
    <w:p>
      <w:pPr>
        <w:sectPr>
          <w:pgSz w:w="11900" w:h="16838" w:orient="portrait"/>
          <w:cols w:equalWidth="0" w:num="1">
            <w:col w:w="10900"/>
          </w:cols>
          <w:pgMar w:left="500" w:top="117"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Analog Devices, Inc. 2020 Equity Incentive Plan of our reports dated November 25, 2025, with respect to the consolidated financial statements of Analog Devices, Inc., and the effectiveness of internal control over financial reporting of Analog Devices, Inc., included in its Annual Report (From 10-K) for the year ended November 1, 2025, filed with the Securities and Exchange Commission.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ectPr>
          <w:pgSz w:w="11900" w:h="16838" w:orient="portrait"/>
          <w:cols w:equalWidth="0" w:num="1">
            <w:col w:w="10900"/>
          </w:cols>
          <w:pgMar w:left="500" w:top="117" w:right="49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560"/>
        <w:spacing w:after="0"/>
        <w:rPr>
          <w:sz w:val="20"/>
          <w:szCs w:val="20"/>
          <w:color w:val="auto"/>
        </w:rPr>
      </w:pPr>
      <w:r>
        <w:rPr>
          <w:rFonts w:ascii="Arial" w:cs="Arial" w:eastAsia="Arial" w:hAnsi="Arial"/>
          <w:sz w:val="36"/>
          <w:szCs w:val="36"/>
          <w:b w:val="1"/>
          <w:bCs w:val="1"/>
          <w:color w:val="auto"/>
        </w:rPr>
        <w:t>ANALOG DEVICES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9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7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10"/>
                <w:szCs w:val="10"/>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13,000,000</w:t>
            </w:r>
          </w:p>
        </w:tc>
        <w:tc>
          <w:tcPr>
            <w:tcW w:w="20" w:type="dxa"/>
            <w:vAlign w:val="bottom"/>
          </w:tcPr>
          <w:p>
            <w:pPr>
              <w:spacing w:after="0"/>
              <w:rPr>
                <w:sz w:val="10"/>
                <w:szCs w:val="1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$ 428.99</w:t>
            </w:r>
          </w:p>
        </w:tc>
        <w:tc>
          <w:tcPr>
            <w:tcW w:w="20" w:type="dxa"/>
            <w:vAlign w:val="bottom"/>
          </w:tcPr>
          <w:p>
            <w:pPr>
              <w:spacing w:after="0"/>
              <w:rPr>
                <w:sz w:val="10"/>
                <w:szCs w:val="10"/>
                <w:color w:val="auto"/>
              </w:rPr>
            </w:pPr>
          </w:p>
        </w:tc>
        <w:tc>
          <w:tcPr>
            <w:tcW w:w="17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$ 770,165.75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5,576,870,000.00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$0.16 2/3</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$ 770,165.75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5,576,870,000.00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$ 770,165.75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40" w:hanging="225"/>
        <w:spacing w:after="0"/>
        <w:tabs>
          <w:tab w:leader="none" w:pos="800" w:val="left"/>
        </w:tabs>
        <w:numPr>
          <w:ilvl w:val="0"/>
          <w:numId w:val="7"/>
        </w:numPr>
        <w:rPr>
          <w:rFonts w:ascii="Arial" w:cs="Arial" w:eastAsia="Arial" w:hAnsi="Arial"/>
          <w:sz w:val="27"/>
          <w:szCs w:val="27"/>
          <w:color w:val="auto"/>
          <w:vertAlign w:val="superscript"/>
        </w:rPr>
      </w:pPr>
      <w:r>
        <w:rPr>
          <w:rFonts w:ascii="Arial" w:cs="Arial" w:eastAsia="Arial" w:hAnsi="Arial"/>
          <w:sz w:val="21"/>
          <w:szCs w:val="21"/>
          <w:color w:val="auto"/>
        </w:rPr>
        <w:t>(1) This registration statement covers a total of 13,000,000 shares of common stock, par value $0.16 2/3 per share (the "Common Stock"), of Analog Devices, Inc. (the "Registrant") reserved for issuance under the Registrant's Amended and Restated 2020 Equity Incentive Plan (the "Plan"). Pursuant to Rule 416(a) under the Securities Act of 1933, as amended (the "Securities Act"), this registration statement shall also cover any additional shares of Common Stock that become issuable under the Plan, as may be amended from time to time, by reason of any stock dividend, stock split, recapitalization or other similar transaction effected without the receipt of consideration that increases the number of the Registrant's outstanding shares of Common Stock. (2) Estimated in accordance with paragraphs (c) and (h) of Rule 457 under the Securities Act solely for the purpose of calculating the registration fee on the basis of $428.99, which represents the average of the high and low price per share of the Registrant's Common Stock on May 14, 2026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207645</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jpeg"/><Relationship Id="rId33" Type="http://schemas.openxmlformats.org/officeDocument/2006/relationships/image" Target="media/image18.png"/><Relationship Id="rId34" Type="http://schemas.openxmlformats.org/officeDocument/2006/relationships/image" Target="media/image19.png"/><Relationship Id="rId17" Type="http://schemas.openxmlformats.org/officeDocument/2006/relationships/hyperlink" Target="http://www.sec.gov/Archives/edgar/data/6281/000119312520070298/d853546ds8.htm" TargetMode="External"/><Relationship Id="rId18" Type="http://schemas.openxmlformats.org/officeDocument/2006/relationships/hyperlink" Target="http://www.sec.gov/Archives/edgar/data/6281/000119312520070328/d830443ds8pos.htm" TargetMode="External"/><Relationship Id="rId20" Type="http://schemas.openxmlformats.org/officeDocument/2006/relationships/hyperlink" Target="http://www.sec.gov/ix?doc=/Archives/edgar/data/0000006281/000000628125000153/adi-20251101.htm" TargetMode="External"/><Relationship Id="rId21" Type="http://schemas.openxmlformats.org/officeDocument/2006/relationships/hyperlink" Target="http://www.sec.gov/Archives/edgar/data/6281/000119312512124733/d319626d8a12b.htm" TargetMode="External"/><Relationship Id="rId22" Type="http://schemas.openxmlformats.org/officeDocument/2006/relationships/hyperlink" Target="http://www.sec.gov/Archives/edgar/data/6281/000000628125000153/exhibit49-descriptionofsec.htm" TargetMode="External"/><Relationship Id="rId26" Type="http://schemas.openxmlformats.org/officeDocument/2006/relationships/hyperlink" Target="http://www.sec.gov/Archives/edgar/data/6281/000000628125000125/a31analog-amendedandrestat.htm" TargetMode="External"/><Relationship Id="rId27" Type="http://schemas.openxmlformats.org/officeDocument/2006/relationships/hyperlink" Target="http://www.sec.gov/Archives/edgar/data/6281/000119312525005302/d909821dex31.htm" TargetMode="External"/><Relationship Id="rId28" Type="http://schemas.openxmlformats.org/officeDocument/2006/relationships/hyperlink" Target="http://www.sec.gov/Archives/edgar/data/6281/000000628126000022/amendedandrestated2020equ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2026-05-20T06:35:37Z</dcterms:created>
  <dcterms:modified xsi:type="dcterms:W3CDTF">2026-05-20T06:35:37Z</dcterms:modified>
</cp:coreProperties>
</file>