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200"/>
        <w:spacing w:after="0"/>
        <w:rPr>
          <w:sz w:val="20"/>
          <w:szCs w:val="20"/>
          <w:color w:val="auto"/>
        </w:rPr>
      </w:pPr>
      <w:r>
        <w:rPr>
          <w:rFonts w:ascii="Arial" w:cs="Arial" w:eastAsia="Arial" w:hAnsi="Arial"/>
          <w:sz w:val="25"/>
          <w:szCs w:val="25"/>
          <w:b w:val="1"/>
          <w:bCs w:val="1"/>
          <w:color w:val="auto"/>
        </w:rPr>
        <w:t>SECURITIES AND EXCHANGE COMMISSION</w:t>
      </w:r>
    </w:p>
    <w:p>
      <w:pPr>
        <w:spacing w:after="0" w:line="85"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ind w:left="4960"/>
        <w:spacing w:after="0"/>
        <w:rPr>
          <w:sz w:val="20"/>
          <w:szCs w:val="20"/>
          <w:color w:val="auto"/>
        </w:rPr>
      </w:pPr>
      <w:r>
        <w:rPr>
          <w:rFonts w:ascii="Arial" w:cs="Arial" w:eastAsia="Arial" w:hAnsi="Arial"/>
          <w:sz w:val="32"/>
          <w:szCs w:val="32"/>
          <w:b w:val="1"/>
          <w:bCs w:val="1"/>
          <w:color w:val="auto"/>
        </w:rPr>
        <w:t>Form 11-K</w:t>
      </w:r>
    </w:p>
    <w:p>
      <w:pPr>
        <w:spacing w:after="0" w:line="24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(Mark One)</w:t>
      </w:r>
    </w:p>
    <w:p>
      <w:pPr>
        <w:spacing w:after="0" w:line="225" w:lineRule="exact"/>
        <w:rPr>
          <w:sz w:val="20"/>
          <w:szCs w:val="20"/>
          <w:color w:val="auto"/>
        </w:rPr>
      </w:pPr>
    </w:p>
    <w:p>
      <w:pPr>
        <w:ind w:left="1720" w:right="599" w:hanging="1203"/>
        <w:spacing w:after="0" w:line="277" w:lineRule="auto"/>
        <w:tabs>
          <w:tab w:leader="none" w:pos="1720" w:val="left"/>
        </w:tabs>
        <w:numPr>
          <w:ilvl w:val="0"/>
          <w:numId w:val="1"/>
        </w:numPr>
        <w:rPr>
          <w:rFonts w:ascii="Arial" w:cs="Arial" w:eastAsia="Arial" w:hAnsi="Arial"/>
          <w:sz w:val="18"/>
          <w:szCs w:val="18"/>
          <w:b w:val="1"/>
          <w:bCs w:val="1"/>
          <w:u w:val="single" w:color="auto"/>
          <w:color w:val="auto"/>
        </w:rPr>
      </w:pPr>
      <w:r>
        <w:rPr>
          <w:rFonts w:ascii="Arial" w:cs="Arial" w:eastAsia="Arial" w:hAnsi="Arial"/>
          <w:sz w:val="18"/>
          <w:szCs w:val="18"/>
          <w:color w:val="auto"/>
        </w:rPr>
        <w:t>ANNUAL REPORT PURSUANT TO SECTION 15 (d) OF THE SECURITIES EXCHANGE ACT OF 1934 (NO FEE REQUIRED)</w:t>
      </w:r>
    </w:p>
    <w:p>
      <w:pPr>
        <w:spacing w:after="0" w:line="27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For the fiscal year ended December 31, 2006</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1720" w:right="279"/>
        <w:spacing w:after="0" w:line="277" w:lineRule="auto"/>
        <w:rPr>
          <w:sz w:val="20"/>
          <w:szCs w:val="20"/>
          <w:color w:val="auto"/>
        </w:rPr>
      </w:pPr>
      <w:r>
        <w:rPr>
          <w:rFonts w:ascii="Arial" w:cs="Arial" w:eastAsia="Arial" w:hAnsi="Arial"/>
          <w:sz w:val="18"/>
          <w:szCs w:val="18"/>
          <w:color w:val="auto"/>
        </w:rPr>
        <w:t>TRANSITION REPORT PURSUANT TO SECTION 15 (d) OF THE SECURITIES EXCHANGE ACT OF 1934 (NO FEE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-182245</wp:posOffset>
            </wp:positionV>
            <wp:extent cx="200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25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For the transition period from _______________ to ________________</w:t>
      </w:r>
    </w:p>
    <w:p>
      <w:pPr>
        <w:spacing w:after="0" w:line="33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Commission file number 1-7819</w:t>
      </w:r>
    </w:p>
    <w:p>
      <w:pPr>
        <w:spacing w:after="0" w:line="306"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ANALOG DEVICES, INC.</w:t>
      </w:r>
    </w:p>
    <w:p>
      <w:pPr>
        <w:spacing w:after="0" w:line="33"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THE INVESTMENT PARTNERSHIP PLAN</w:t>
      </w:r>
    </w:p>
    <w:p>
      <w:pPr>
        <w:spacing w:after="0" w:line="6" w:lineRule="exact"/>
        <w:rPr>
          <w:sz w:val="20"/>
          <w:szCs w:val="20"/>
          <w:color w:val="auto"/>
        </w:rPr>
      </w:pPr>
    </w:p>
    <w:p>
      <w:pPr>
        <w:ind w:left="4120"/>
        <w:spacing w:after="0"/>
        <w:rPr>
          <w:sz w:val="20"/>
          <w:szCs w:val="20"/>
          <w:color w:val="auto"/>
        </w:rPr>
      </w:pPr>
      <w:r>
        <w:rPr>
          <w:rFonts w:ascii="Arial" w:cs="Arial" w:eastAsia="Arial" w:hAnsi="Arial"/>
          <w:sz w:val="16"/>
          <w:szCs w:val="16"/>
          <w:i w:val="1"/>
          <w:iCs w:val="1"/>
          <w:color w:val="auto"/>
        </w:rPr>
        <w:t>(Full title of the plan and the address of the plan,</w:t>
      </w:r>
    </w:p>
    <w:p>
      <w:pPr>
        <w:spacing w:after="0" w:line="8" w:lineRule="exact"/>
        <w:rPr>
          <w:sz w:val="20"/>
          <w:szCs w:val="20"/>
          <w:color w:val="auto"/>
        </w:rPr>
      </w:pPr>
    </w:p>
    <w:p>
      <w:pPr>
        <w:ind w:left="4160"/>
        <w:spacing w:after="0"/>
        <w:rPr>
          <w:sz w:val="20"/>
          <w:szCs w:val="20"/>
          <w:color w:val="auto"/>
        </w:rPr>
      </w:pPr>
      <w:r>
        <w:rPr>
          <w:rFonts w:ascii="Arial" w:cs="Arial" w:eastAsia="Arial" w:hAnsi="Arial"/>
          <w:sz w:val="16"/>
          <w:szCs w:val="16"/>
          <w:i w:val="1"/>
          <w:iCs w:val="1"/>
          <w:color w:val="auto"/>
        </w:rPr>
        <w:t>if different from that of the issuer named below)</w:t>
      </w:r>
    </w:p>
    <w:p>
      <w:pPr>
        <w:spacing w:after="0" w:line="308"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ANALOG DEVICES, INC.</w:t>
      </w:r>
    </w:p>
    <w:p>
      <w:pPr>
        <w:spacing w:after="0" w:line="42" w:lineRule="exact"/>
        <w:rPr>
          <w:sz w:val="20"/>
          <w:szCs w:val="20"/>
          <w:color w:val="auto"/>
        </w:rPr>
      </w:pPr>
    </w:p>
    <w:p>
      <w:pPr>
        <w:jc w:val="center"/>
        <w:ind w:right="-1200"/>
        <w:spacing w:after="0"/>
        <w:rPr>
          <w:sz w:val="20"/>
          <w:szCs w:val="20"/>
          <w:color w:val="auto"/>
        </w:rPr>
      </w:pPr>
      <w:r>
        <w:rPr>
          <w:rFonts w:ascii="Arial" w:cs="Arial" w:eastAsia="Arial" w:hAnsi="Arial"/>
          <w:sz w:val="16"/>
          <w:szCs w:val="16"/>
          <w:i w:val="1"/>
          <w:iCs w:val="1"/>
          <w:color w:val="auto"/>
        </w:rPr>
        <w:t>(Name of issuer of the securities held pursuant to the plan and the</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6"/>
          <w:szCs w:val="16"/>
          <w:i w:val="1"/>
          <w:iCs w:val="1"/>
          <w:color w:val="auto"/>
        </w:rPr>
        <w:t>address of its principal executive office)</w:t>
      </w:r>
    </w:p>
    <w:p>
      <w:pPr>
        <w:spacing w:after="0" w:line="327"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One Technology Way</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Norwood, Massachusetts 02062-9106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Independent Registered Public Accounting Firm</w:t>
        </w:r>
      </w:hyperlink>
    </w:p>
    <w:p>
      <w:pPr>
        <w:spacing w:after="0" w:line="238"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STATEMENTS OF NET ASSETS AVAILABLE FOR BENEFITS</w:t>
        </w:r>
      </w:hyperlink>
    </w:p>
    <w:p>
      <w:pPr>
        <w:spacing w:after="0"/>
        <w:rPr>
          <w:rFonts w:ascii="Arial" w:cs="Arial" w:eastAsia="Arial" w:hAnsi="Arial"/>
          <w:sz w:val="19"/>
          <w:szCs w:val="19"/>
          <w:u w:val="single" w:color="auto"/>
          <w:color w:val="0000EE"/>
        </w:rPr>
      </w:pPr>
      <w:hyperlink w:anchor="page7">
        <w:r>
          <w:rPr>
            <w:rFonts w:ascii="Arial" w:cs="Arial" w:eastAsia="Arial" w:hAnsi="Arial"/>
            <w:sz w:val="19"/>
            <w:szCs w:val="19"/>
            <w:u w:val="single" w:color="auto"/>
            <w:color w:val="0000EE"/>
          </w:rPr>
          <w:t>STATEMENTS OF CHANGES IN NET ASSETS AVAILABLE FOR BENEFITS</w:t>
        </w:r>
      </w:hyperlink>
    </w:p>
    <w:p>
      <w:pPr>
        <w:spacing w:after="0" w:line="15" w:lineRule="exact"/>
        <w:rPr>
          <w:sz w:val="20"/>
          <w:szCs w:val="20"/>
          <w:color w:val="auto"/>
        </w:rPr>
      </w:pPr>
    </w:p>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NOTES TO FINANCIAL STATEMENTS</w:t>
        </w:r>
      </w:hyperlink>
    </w:p>
    <w:p>
      <w:pPr>
        <w:ind w:left="320"/>
        <w:spacing w:after="0" w:line="230"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A. Description of Plan</w:t>
        </w:r>
      </w:hyperlink>
    </w:p>
    <w:p>
      <w:pPr>
        <w:ind w:left="320"/>
        <w:spacing w:after="0" w:line="231"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B. Summary of Significant Accounting Policies</w:t>
        </w:r>
      </w:hyperlink>
    </w:p>
    <w:p>
      <w:pPr>
        <w:ind w:left="320"/>
        <w:spacing w:after="0" w:line="230"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C.Trustee and Plan Recordkeeper</w:t>
        </w:r>
      </w:hyperlink>
    </w:p>
    <w:p>
      <w:pPr>
        <w:ind w:left="320"/>
        <w:spacing w:after="0" w:line="231"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D.Investments</w:t>
        </w:r>
      </w:hyperlink>
    </w:p>
    <w:p>
      <w:pPr>
        <w:spacing w:after="0" w:line="231" w:lineRule="auto"/>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SUPPLEMENTAL SCHEDULE</w:t>
        </w:r>
      </w:hyperlink>
    </w:p>
    <w:p>
      <w:pPr>
        <w:spacing w:after="0" w:line="230"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SCHEDULE OF ASSETS (HELD AT END OF YEAR)</w:t>
        </w:r>
      </w:hyperlink>
    </w:p>
    <w:p>
      <w:pPr>
        <w:spacing w:after="0" w:line="231"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SIGNATURES</w:t>
        </w:r>
      </w:hyperlink>
    </w:p>
    <w:p>
      <w:pPr>
        <w:spacing w:after="0"/>
        <w:rPr>
          <w:sz w:val="20"/>
          <w:szCs w:val="20"/>
          <w:color w:val="auto"/>
        </w:rPr>
      </w:pPr>
      <w:r>
        <w:rPr>
          <w:rFonts w:ascii="Arial" w:cs="Arial" w:eastAsia="Arial" w:hAnsi="Arial"/>
          <w:sz w:val="22"/>
          <w:szCs w:val="22"/>
          <w:u w:val="single" w:color="auto"/>
          <w:color w:val="0000EE"/>
        </w:rPr>
        <w:t>Ex-23.1 Consent of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THE INVESTMENT PARTNERSHIP PLAN</w:t>
      </w:r>
    </w:p>
    <w:p>
      <w:pPr>
        <w:spacing w:after="0" w:line="333"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Financial Statements</w:t>
      </w:r>
    </w:p>
    <w:p>
      <w:pPr>
        <w:spacing w:after="0" w:line="225"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Audited Statements of Net Assets Available for Benefits as of December 31, 2006 and 2005.</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6"/>
          <w:szCs w:val="16"/>
          <w:color w:val="auto"/>
        </w:rPr>
      </w:pPr>
      <w:r>
        <w:rPr>
          <w:rFonts w:ascii="Arial" w:cs="Arial" w:eastAsia="Arial" w:hAnsi="Arial"/>
          <w:sz w:val="16"/>
          <w:szCs w:val="16"/>
          <w:color w:val="auto"/>
        </w:rPr>
        <w:t>Audited Statements of Changes in Net Assets Available for Benefits for the Years Ended December 31, 2006 and 2005.</w:t>
      </w:r>
    </w:p>
    <w:p>
      <w:pPr>
        <w:spacing w:after="0" w:line="356" w:lineRule="exact"/>
        <w:rPr>
          <w:sz w:val="20"/>
          <w:szCs w:val="20"/>
          <w:color w:val="auto"/>
        </w:rPr>
      </w:pPr>
    </w:p>
    <w:p>
      <w:pPr>
        <w:ind w:left="4860"/>
        <w:spacing w:after="0"/>
        <w:rPr>
          <w:sz w:val="20"/>
          <w:szCs w:val="20"/>
          <w:color w:val="auto"/>
        </w:rPr>
      </w:pPr>
      <w:r>
        <w:rPr>
          <w:rFonts w:ascii="Arial" w:cs="Arial" w:eastAsia="Arial" w:hAnsi="Arial"/>
          <w:sz w:val="18"/>
          <w:szCs w:val="18"/>
          <w:u w:val="single" w:color="auto"/>
          <w:color w:val="auto"/>
        </w:rPr>
        <w:t>Supplemental Schedule</w:t>
      </w:r>
    </w:p>
    <w:p>
      <w:pPr>
        <w:spacing w:after="0" w:line="22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Schedule H-Line 4i — Schedule of Assets (Held at End of Year).</w:t>
      </w:r>
    </w:p>
    <w:p>
      <w:pPr>
        <w:spacing w:after="0" w:line="333" w:lineRule="exact"/>
        <w:rPr>
          <w:sz w:val="20"/>
          <w:szCs w:val="20"/>
          <w:color w:val="auto"/>
        </w:rPr>
      </w:pPr>
    </w:p>
    <w:p>
      <w:pPr>
        <w:ind w:left="5420"/>
        <w:spacing w:after="0"/>
        <w:rPr>
          <w:sz w:val="20"/>
          <w:szCs w:val="20"/>
          <w:color w:val="auto"/>
        </w:rPr>
      </w:pPr>
      <w:r>
        <w:rPr>
          <w:rFonts w:ascii="Arial" w:cs="Arial" w:eastAsia="Arial" w:hAnsi="Arial"/>
          <w:sz w:val="18"/>
          <w:szCs w:val="18"/>
          <w:u w:val="single" w:color="auto"/>
          <w:color w:val="auto"/>
        </w:rPr>
        <w:t>Exhibits</w:t>
      </w:r>
    </w:p>
    <w:p>
      <w:pPr>
        <w:spacing w:after="0" w:line="225" w:lineRule="exact"/>
        <w:rPr>
          <w:sz w:val="20"/>
          <w:szCs w:val="20"/>
          <w:color w:val="auto"/>
        </w:rPr>
      </w:pPr>
    </w:p>
    <w:p>
      <w:pPr>
        <w:jc w:val="right"/>
        <w:ind w:left="5660" w:right="4419" w:hanging="5652"/>
        <w:spacing w:after="0" w:line="414" w:lineRule="auto"/>
        <w:tabs>
          <w:tab w:leader="none" w:pos="329"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Consent of Independent Registered Public Accounting Firm, filed herewith.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337185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Administration Committee and Participants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Partnership Plan</w:t>
      </w:r>
    </w:p>
    <w:p>
      <w:pPr>
        <w:spacing w:after="0" w:line="10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the Analog Devices, Inc. The Investment Partnership Plan as of December 31, 2006 and 2005,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3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at December 31, 2006 and 2005, and the changes in its net assets available for benefits for the years then ended, in conformity with U.S. generally accepted accounting principles.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audits were performed for the purpose of forming an opinion on the financial statements taken as a whole. The accompanying supplemental schedule of assets (held at end of year) as of December 31, 2006, is presented for purposes of additional analysis and is not a required part of the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our audits of the financial statements and, in our opinion, is fairly stated in all material respects in relation to the financial statements taken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268605</wp:posOffset>
            </wp:positionV>
            <wp:extent cx="2341245" cy="634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124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25, 2007</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2006 and 2005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640" w:type="dxa"/>
            <w:vAlign w:val="bottom"/>
            <w:gridSpan w:val="2"/>
          </w:tcPr>
          <w:p>
            <w:pPr>
              <w:jc w:val="right"/>
              <w:ind w:right="270"/>
              <w:spacing w:after="0"/>
              <w:rPr>
                <w:sz w:val="20"/>
                <w:szCs w:val="20"/>
                <w:color w:val="auto"/>
              </w:rPr>
            </w:pPr>
            <w:r>
              <w:rPr>
                <w:rFonts w:ascii="Arial" w:cs="Arial" w:eastAsia="Arial" w:hAnsi="Arial"/>
                <w:sz w:val="14"/>
                <w:szCs w:val="14"/>
                <w:color w:val="auto"/>
              </w:rPr>
              <w:t>2006</w:t>
            </w:r>
          </w:p>
        </w:tc>
        <w:tc>
          <w:tcPr>
            <w:tcW w:w="36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ASSETS</w:t>
            </w:r>
          </w:p>
        </w:tc>
        <w:tc>
          <w:tcPr>
            <w:tcW w:w="4640" w:type="dxa"/>
            <w:vAlign w:val="bottom"/>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4020" w:type="dxa"/>
            <w:vAlign w:val="bottom"/>
            <w:gridSpan w:val="5"/>
          </w:tcPr>
          <w:p>
            <w:pPr>
              <w:spacing w:after="0"/>
              <w:rPr>
                <w:sz w:val="20"/>
                <w:szCs w:val="20"/>
                <w:color w:val="auto"/>
              </w:rPr>
            </w:pPr>
            <w:r>
              <w:rPr>
                <w:rFonts w:ascii="Arial" w:cs="Arial" w:eastAsia="Arial" w:hAnsi="Arial"/>
                <w:sz w:val="18"/>
                <w:szCs w:val="18"/>
                <w:color w:val="auto"/>
              </w:rPr>
              <w:t>Investments, at fair value</w:t>
            </w:r>
          </w:p>
        </w:tc>
        <w:tc>
          <w:tcPr>
            <w:tcW w:w="5640" w:type="dxa"/>
            <w:vAlign w:val="bottom"/>
            <w:gridSpan w:val="2"/>
          </w:tcPr>
          <w:p>
            <w:pPr>
              <w:jc w:val="right"/>
              <w:spacing w:after="0"/>
              <w:rPr>
                <w:sz w:val="20"/>
                <w:szCs w:val="20"/>
                <w:color w:val="auto"/>
              </w:rPr>
            </w:pPr>
            <w:r>
              <w:rPr>
                <w:rFonts w:ascii="Arial" w:cs="Arial" w:eastAsia="Arial" w:hAnsi="Arial"/>
                <w:sz w:val="18"/>
                <w:szCs w:val="18"/>
                <w:color w:val="auto"/>
              </w:rPr>
              <w:t>$ 780,805,925</w:t>
            </w:r>
          </w:p>
        </w:tc>
        <w:tc>
          <w:tcPr>
            <w:tcW w:w="360" w:type="dxa"/>
            <w:vAlign w:val="bottom"/>
          </w:tcPr>
          <w:p>
            <w:pPr>
              <w:spacing w:after="0"/>
              <w:rPr>
                <w:sz w:val="24"/>
                <w:szCs w:val="24"/>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$ 723,158,359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interest and dividends</w:t>
            </w:r>
          </w:p>
        </w:tc>
        <w:tc>
          <w:tcPr>
            <w:tcW w:w="5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1,697,696</w:t>
            </w:r>
          </w:p>
        </w:tc>
        <w:tc>
          <w:tcPr>
            <w:tcW w:w="3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1,013,306</w:t>
            </w:r>
          </w:p>
        </w:tc>
        <w:tc>
          <w:tcPr>
            <w:tcW w:w="0" w:type="dxa"/>
            <w:vAlign w:val="bottom"/>
          </w:tcPr>
          <w:p>
            <w:pPr>
              <w:spacing w:after="0"/>
              <w:rPr>
                <w:sz w:val="1"/>
                <w:szCs w:val="1"/>
                <w:color w:val="auto"/>
              </w:rPr>
            </w:pPr>
          </w:p>
        </w:tc>
      </w:tr>
      <w:tr>
        <w:trPr>
          <w:trHeight w:val="432"/>
        </w:trPr>
        <w:tc>
          <w:tcPr>
            <w:tcW w:w="4020" w:type="dxa"/>
            <w:vAlign w:val="bottom"/>
            <w:gridSpan w:val="5"/>
          </w:tcPr>
          <w:p>
            <w:pPr>
              <w:spacing w:after="0"/>
              <w:rPr>
                <w:sz w:val="20"/>
                <w:szCs w:val="20"/>
                <w:color w:val="auto"/>
              </w:rPr>
            </w:pPr>
            <w:r>
              <w:rPr>
                <w:rFonts w:ascii="Arial" w:cs="Arial" w:eastAsia="Arial" w:hAnsi="Arial"/>
                <w:sz w:val="18"/>
                <w:szCs w:val="18"/>
                <w:color w:val="auto"/>
              </w:rPr>
              <w:t>Employer contributions receivable</w:t>
            </w:r>
          </w:p>
        </w:tc>
        <w:tc>
          <w:tcPr>
            <w:tcW w:w="4640" w:type="dxa"/>
            <w:vAlign w:val="bottom"/>
          </w:tcPr>
          <w:p>
            <w:pPr>
              <w:spacing w:after="0"/>
              <w:rPr>
                <w:sz w:val="24"/>
                <w:szCs w:val="2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753,005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Employee contributions receivable</w:t>
            </w:r>
          </w:p>
        </w:tc>
        <w:tc>
          <w:tcPr>
            <w:tcW w:w="46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632,692</w:t>
            </w:r>
          </w:p>
        </w:tc>
        <w:tc>
          <w:tcPr>
            <w:tcW w:w="0" w:type="dxa"/>
            <w:vAlign w:val="bottom"/>
          </w:tcPr>
          <w:p>
            <w:pPr>
              <w:spacing w:after="0"/>
              <w:rPr>
                <w:sz w:val="1"/>
                <w:szCs w:val="1"/>
                <w:color w:val="auto"/>
              </w:rPr>
            </w:pPr>
          </w:p>
        </w:tc>
      </w:tr>
      <w:tr>
        <w:trPr>
          <w:trHeight w:val="432"/>
        </w:trPr>
        <w:tc>
          <w:tcPr>
            <w:tcW w:w="4020" w:type="dxa"/>
            <w:vAlign w:val="bottom"/>
            <w:gridSpan w:val="5"/>
          </w:tcPr>
          <w:p>
            <w:pPr>
              <w:spacing w:after="0"/>
              <w:rPr>
                <w:sz w:val="20"/>
                <w:szCs w:val="20"/>
                <w:color w:val="auto"/>
              </w:rPr>
            </w:pPr>
            <w:r>
              <w:rPr>
                <w:rFonts w:ascii="Arial" w:cs="Arial" w:eastAsia="Arial" w:hAnsi="Arial"/>
                <w:sz w:val="18"/>
                <w:szCs w:val="18"/>
                <w:color w:val="auto"/>
              </w:rPr>
              <w:t>Participant loans receivable</w:t>
            </w:r>
          </w:p>
        </w:tc>
        <w:tc>
          <w:tcPr>
            <w:tcW w:w="5640" w:type="dxa"/>
            <w:vAlign w:val="bottom"/>
            <w:gridSpan w:val="2"/>
          </w:tcPr>
          <w:p>
            <w:pPr>
              <w:jc w:val="right"/>
              <w:spacing w:after="0"/>
              <w:rPr>
                <w:sz w:val="20"/>
                <w:szCs w:val="20"/>
                <w:color w:val="auto"/>
              </w:rPr>
            </w:pPr>
            <w:r>
              <w:rPr>
                <w:rFonts w:ascii="Arial" w:cs="Arial" w:eastAsia="Arial" w:hAnsi="Arial"/>
                <w:sz w:val="18"/>
                <w:szCs w:val="18"/>
                <w:color w:val="auto"/>
              </w:rPr>
              <w:t>9,468,752</w:t>
            </w:r>
          </w:p>
        </w:tc>
        <w:tc>
          <w:tcPr>
            <w:tcW w:w="360" w:type="dxa"/>
            <w:vAlign w:val="bottom"/>
          </w:tcPr>
          <w:p>
            <w:pPr>
              <w:spacing w:after="0"/>
              <w:rPr>
                <w:sz w:val="24"/>
                <w:szCs w:val="24"/>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9,286,846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5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791,972,373</w:t>
            </w:r>
          </w:p>
        </w:tc>
        <w:tc>
          <w:tcPr>
            <w:tcW w:w="3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734,844,208</w:t>
            </w: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0" w:type="dxa"/>
            <w:vAlign w:val="bottom"/>
            <w:gridSpan w:val="3"/>
          </w:tcPr>
          <w:p>
            <w:pPr>
              <w:spacing w:after="0"/>
              <w:rPr>
                <w:sz w:val="20"/>
                <w:szCs w:val="20"/>
                <w:color w:val="auto"/>
              </w:rPr>
            </w:pPr>
            <w:r>
              <w:rPr>
                <w:rFonts w:ascii="Arial" w:cs="Arial" w:eastAsia="Arial" w:hAnsi="Arial"/>
                <w:sz w:val="18"/>
                <w:szCs w:val="18"/>
                <w:color w:val="auto"/>
              </w:rPr>
              <w:t>LIABILITIES</w:t>
            </w:r>
          </w:p>
        </w:tc>
        <w:tc>
          <w:tcPr>
            <w:tcW w:w="464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1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Payables — Pending investment transactions</w:t>
            </w:r>
          </w:p>
        </w:tc>
        <w:tc>
          <w:tcPr>
            <w:tcW w:w="46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(693,142)</w:t>
            </w: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(645,515)</w:t>
            </w: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20" w:type="dxa"/>
            <w:vAlign w:val="bottom"/>
            <w:gridSpan w:val="5"/>
          </w:tcPr>
          <w:p>
            <w:pPr>
              <w:spacing w:after="0"/>
              <w:rPr>
                <w:sz w:val="20"/>
                <w:szCs w:val="20"/>
                <w:color w:val="auto"/>
              </w:rPr>
            </w:pPr>
            <w:r>
              <w:rPr>
                <w:rFonts w:ascii="Arial" w:cs="Arial" w:eastAsia="Arial" w:hAnsi="Arial"/>
                <w:sz w:val="18"/>
                <w:szCs w:val="18"/>
                <w:color w:val="auto"/>
              </w:rPr>
              <w:t>Net assets available for benefits</w:t>
            </w:r>
          </w:p>
        </w:tc>
        <w:tc>
          <w:tcPr>
            <w:tcW w:w="5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791,279,231</w:t>
            </w:r>
          </w:p>
        </w:tc>
        <w:tc>
          <w:tcPr>
            <w:tcW w:w="360" w:type="dxa"/>
            <w:vAlign w:val="bottom"/>
          </w:tcPr>
          <w:p>
            <w:pPr>
              <w:spacing w:after="0"/>
              <w:rPr>
                <w:sz w:val="24"/>
                <w:szCs w:val="24"/>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734,198,693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000" w:type="dxa"/>
            <w:vAlign w:val="bottom"/>
            <w:gridSpan w:val="3"/>
          </w:tcPr>
          <w:p>
            <w:pPr>
              <w:jc w:val="center"/>
              <w:ind w:right="2620"/>
              <w:spacing w:after="0"/>
              <w:rPr>
                <w:sz w:val="20"/>
                <w:szCs w:val="20"/>
                <w:color w:val="auto"/>
              </w:rPr>
            </w:pPr>
            <w:r>
              <w:rPr>
                <w:rFonts w:ascii="Arial" w:cs="Arial" w:eastAsia="Arial" w:hAnsi="Arial"/>
                <w:sz w:val="18"/>
                <w:szCs w:val="18"/>
                <w:color w:val="auto"/>
                <w:w w:val="87"/>
              </w:rPr>
              <w:t>See accompanying notes.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640" w:type="dxa"/>
            <w:vAlign w:val="bottom"/>
          </w:tcPr>
          <w:p>
            <w:pPr>
              <w:jc w:val="right"/>
              <w:ind w:right="2812"/>
              <w:spacing w:after="0"/>
              <w:rPr>
                <w:sz w:val="20"/>
                <w:szCs w:val="20"/>
                <w:color w:val="auto"/>
              </w:rPr>
            </w:pPr>
            <w:r>
              <w:rPr>
                <w:rFonts w:ascii="Arial" w:cs="Arial" w:eastAsia="Arial" w:hAnsi="Arial"/>
                <w:sz w:val="18"/>
                <w:szCs w:val="18"/>
                <w:color w:val="auto"/>
              </w:rPr>
              <w:t>4</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46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CHANGES IN NET ASSETS AVAILABLE FOR BENEFITS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2006 and 2005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2006</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4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559,074</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482,066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appreciation in fair value of investments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12,734,153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8,301,457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Dividend income and capital gains distributions</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44,035,349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22,076,189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investment income</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57,328,576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30,859,712</w:t>
            </w:r>
          </w:p>
        </w:tc>
        <w:tc>
          <w:tcPr>
            <w:tcW w:w="0" w:type="dxa"/>
            <w:vAlign w:val="bottom"/>
          </w:tcPr>
          <w:p>
            <w:pPr>
              <w:spacing w:after="0"/>
              <w:rPr>
                <w:sz w:val="1"/>
                <w:szCs w:val="1"/>
                <w:color w:val="auto"/>
              </w:rPr>
            </w:pPr>
          </w:p>
        </w:tc>
      </w:tr>
      <w:tr>
        <w:trPr>
          <w:trHeight w:val="648"/>
        </w:trPr>
        <w:tc>
          <w:tcPr>
            <w:tcW w:w="4300" w:type="dxa"/>
            <w:vAlign w:val="bottom"/>
            <w:gridSpan w:val="2"/>
          </w:tcPr>
          <w:p>
            <w:pPr>
              <w:spacing w:after="0"/>
              <w:rPr>
                <w:sz w:val="20"/>
                <w:szCs w:val="20"/>
                <w:color w:val="auto"/>
              </w:rPr>
            </w:pPr>
            <w:r>
              <w:rPr>
                <w:rFonts w:ascii="Arial" w:cs="Arial" w:eastAsia="Arial" w:hAnsi="Arial"/>
                <w:sz w:val="18"/>
                <w:szCs w:val="18"/>
                <w:color w:val="auto"/>
              </w:rPr>
              <w:t>Contributions:</w:t>
            </w:r>
          </w:p>
        </w:tc>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Employer</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23,068,616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22,313,378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Employee</w:t>
            </w: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31,180,426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28,748,324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contributions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54,249,042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51,061,702</w:t>
            </w:r>
          </w:p>
        </w:tc>
        <w:tc>
          <w:tcPr>
            <w:tcW w:w="0" w:type="dxa"/>
            <w:vAlign w:val="bottom"/>
          </w:tcPr>
          <w:p>
            <w:pPr>
              <w:spacing w:after="0"/>
              <w:rPr>
                <w:sz w:val="1"/>
                <w:szCs w:val="1"/>
                <w:color w:val="auto"/>
              </w:rPr>
            </w:pPr>
          </w:p>
        </w:tc>
      </w:tr>
      <w:tr>
        <w:trPr>
          <w:trHeight w:val="432"/>
        </w:trPr>
        <w:tc>
          <w:tcPr>
            <w:tcW w:w="4300" w:type="dxa"/>
            <w:vAlign w:val="bottom"/>
            <w:gridSpan w:val="2"/>
          </w:tcPr>
          <w:p>
            <w:pPr>
              <w:spacing w:after="0"/>
              <w:rPr>
                <w:sz w:val="20"/>
                <w:szCs w:val="20"/>
                <w:color w:val="auto"/>
              </w:rPr>
            </w:pPr>
            <w:r>
              <w:rPr>
                <w:rFonts w:ascii="Arial" w:cs="Arial" w:eastAsia="Arial" w:hAnsi="Arial"/>
                <w:sz w:val="18"/>
                <w:szCs w:val="18"/>
                <w:color w:val="auto"/>
              </w:rPr>
              <w:t>Participant withdrawals</w:t>
            </w:r>
          </w:p>
        </w:tc>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(54,497,080)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(34,603,947)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in net assets available for benefits</w:t>
            </w:r>
          </w:p>
        </w:tc>
        <w:tc>
          <w:tcPr>
            <w:tcW w:w="4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57,080,538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47,317,467</w:t>
            </w:r>
          </w:p>
        </w:tc>
        <w:tc>
          <w:tcPr>
            <w:tcW w:w="0" w:type="dxa"/>
            <w:vAlign w:val="bottom"/>
          </w:tcPr>
          <w:p>
            <w:pPr>
              <w:spacing w:after="0"/>
              <w:rPr>
                <w:sz w:val="1"/>
                <w:szCs w:val="1"/>
                <w:color w:val="auto"/>
              </w:rPr>
            </w:pPr>
          </w:p>
        </w:tc>
      </w:tr>
      <w:tr>
        <w:trPr>
          <w:trHeight w:val="432"/>
        </w:trPr>
        <w:tc>
          <w:tcPr>
            <w:tcW w:w="4300" w:type="dxa"/>
            <w:vAlign w:val="bottom"/>
            <w:gridSpan w:val="2"/>
          </w:tcPr>
          <w:p>
            <w:pPr>
              <w:spacing w:after="0"/>
              <w:rPr>
                <w:sz w:val="20"/>
                <w:szCs w:val="20"/>
                <w:color w:val="auto"/>
              </w:rPr>
            </w:pPr>
            <w:r>
              <w:rPr>
                <w:rFonts w:ascii="Arial" w:cs="Arial" w:eastAsia="Arial" w:hAnsi="Arial"/>
                <w:sz w:val="18"/>
                <w:szCs w:val="18"/>
                <w:color w:val="auto"/>
              </w:rPr>
              <w:t>Net assets available for benefits at beginning of year</w:t>
            </w:r>
          </w:p>
        </w:tc>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734,198,693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686,881,226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2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at end of year</w:t>
            </w:r>
          </w:p>
        </w:tc>
        <w:tc>
          <w:tcPr>
            <w:tcW w:w="4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791,279,231</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734,198,693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440" w:type="dxa"/>
            <w:vAlign w:val="bottom"/>
            <w:gridSpan w:val="2"/>
          </w:tcPr>
          <w:p>
            <w:pPr>
              <w:jc w:val="center"/>
              <w:ind w:right="1620"/>
              <w:spacing w:after="0"/>
              <w:rPr>
                <w:sz w:val="20"/>
                <w:szCs w:val="20"/>
                <w:color w:val="auto"/>
              </w:rPr>
            </w:pPr>
            <w:r>
              <w:rPr>
                <w:rFonts w:ascii="Arial" w:cs="Arial" w:eastAsia="Arial" w:hAnsi="Arial"/>
                <w:sz w:val="18"/>
                <w:szCs w:val="18"/>
                <w:color w:val="auto"/>
                <w:w w:val="87"/>
              </w:rPr>
              <w:t>See accompanying notes.</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340" w:type="dxa"/>
            <w:vAlign w:val="bottom"/>
          </w:tcPr>
          <w:p>
            <w:pPr>
              <w:jc w:val="right"/>
              <w:ind w:right="279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2006 and 2005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w:t>
      </w:r>
      <w:r>
        <w:rPr>
          <w:rFonts w:ascii="Arial" w:cs="Arial" w:eastAsia="Arial" w:hAnsi="Arial"/>
          <w:sz w:val="18"/>
          <w:szCs w:val="18"/>
          <w:b w:val="1"/>
          <w:bCs w:val="1"/>
          <w:color w:val="auto"/>
        </w:rPr>
        <w:t xml:space="preserve"> Description of Plan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description of the Analog Devices, Inc. (the “Company”) The Investment Partnership Plan (the “Plan”) provides only general information.</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Participants should refer to the Plan agreement for a more complete description of the Plan’s provisions.</w:t>
      </w:r>
    </w:p>
    <w:p>
      <w:pPr>
        <w:spacing w:after="0" w:line="103" w:lineRule="exact"/>
        <w:rPr>
          <w:sz w:val="20"/>
          <w:szCs w:val="20"/>
          <w:color w:val="auto"/>
        </w:rPr>
      </w:pPr>
    </w:p>
    <w:p>
      <w:pPr>
        <w:ind w:left="240" w:right="680" w:hanging="4"/>
        <w:spacing w:after="0" w:line="277"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Plan is a contributory defined contribution plan sponsored and administered by the Company. It is subject to the provisions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Retirement Income Security Act of 1974 (“ERISA”).</w:t>
      </w:r>
    </w:p>
    <w:p>
      <w:pPr>
        <w:spacing w:after="0" w:line="62" w:lineRule="exact"/>
        <w:rPr>
          <w:rFonts w:ascii="Arial" w:cs="Arial" w:eastAsia="Arial" w:hAnsi="Arial"/>
          <w:sz w:val="18"/>
          <w:szCs w:val="18"/>
          <w:color w:val="auto"/>
        </w:rPr>
      </w:pPr>
    </w:p>
    <w:p>
      <w:pPr>
        <w:ind w:left="240" w:right="180" w:hanging="4"/>
        <w:spacing w:after="0" w:line="264"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Domestic employees of the Company are eligible to participate in the Plan on the first day of employment. The Company contributions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on the first day following one year of service. For eligibility purposes, a year of service is a 12-month period during which an employee completes at least 1,000 hours of service.</w:t>
      </w:r>
    </w:p>
    <w:p>
      <w:pPr>
        <w:spacing w:after="0" w:line="73" w:lineRule="exact"/>
        <w:rPr>
          <w:rFonts w:ascii="Arial" w:cs="Arial" w:eastAsia="Arial" w:hAnsi="Arial"/>
          <w:sz w:val="18"/>
          <w:szCs w:val="18"/>
          <w:color w:val="auto"/>
        </w:rPr>
      </w:pPr>
    </w:p>
    <w:p>
      <w:pPr>
        <w:ind w:left="240" w:hanging="4"/>
        <w:spacing w:after="0" w:line="271" w:lineRule="auto"/>
        <w:tabs>
          <w:tab w:leader="none" w:pos="4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Contributions</w:t>
      </w:r>
      <w:r>
        <w:rPr>
          <w:rFonts w:ascii="Arial" w:cs="Arial" w:eastAsia="Arial" w:hAnsi="Arial"/>
          <w:sz w:val="17"/>
          <w:szCs w:val="17"/>
          <w:color w:val="auto"/>
        </w:rPr>
        <w:t>. Basic contributions will be made at the sole discretion of the Company. For 2006 and 2005, the Company decided to make the annual</w:t>
      </w:r>
      <w:r>
        <w:rPr>
          <w:rFonts w:ascii="Arial" w:cs="Arial" w:eastAsia="Arial" w:hAnsi="Arial"/>
          <w:sz w:val="17"/>
          <w:szCs w:val="17"/>
          <w:i w:val="1"/>
          <w:iCs w:val="1"/>
          <w:color w:val="auto"/>
        </w:rPr>
        <w:t xml:space="preserve"> </w:t>
      </w:r>
      <w:r>
        <w:rPr>
          <w:rFonts w:ascii="Arial" w:cs="Arial" w:eastAsia="Arial" w:hAnsi="Arial"/>
          <w:sz w:val="17"/>
          <w:szCs w:val="17"/>
          <w:color w:val="auto"/>
        </w:rPr>
        <w:t>basic contribution at 5% of each participant’s total eligible compensation. The Internal Revenue Service defined total eligible compensation as an amount not to exceed $220,000 for 2006 and $210,000 for 2005. For 2007, this amount will increase to $225,000. The Company matches each participant’s pre-tax contribution, if any, by contributing an amount not to exceed 3% of such participant’s total eligible compensation. A participant may voluntarily contribute to the Plan up to 50% of his or her pre-tax total eligible compensation; however, pre-tax contributions could not exceed $15,000 in 2006 and $14,000 in 2005. This amount will increase to $15,500 for 2007. Effective as of September 29, 2006, an employee who does not elect to make pre-tax contributions to the Plan nor gives the Company notice of his or her intent not to contribute within sixty days of his or her employment commencement date will be automatically enrolled to make a pre-tax contribution of 4% of his or her compensation.</w:t>
      </w:r>
    </w:p>
    <w:p>
      <w:pPr>
        <w:spacing w:after="0" w:line="71" w:lineRule="exact"/>
        <w:rPr>
          <w:sz w:val="20"/>
          <w:szCs w:val="20"/>
          <w:color w:val="auto"/>
        </w:rPr>
      </w:pPr>
    </w:p>
    <w:p>
      <w:pPr>
        <w:ind w:left="240" w:right="200"/>
        <w:spacing w:after="0" w:line="277" w:lineRule="auto"/>
        <w:rPr>
          <w:sz w:val="20"/>
          <w:szCs w:val="20"/>
          <w:color w:val="auto"/>
        </w:rPr>
      </w:pPr>
      <w:r>
        <w:rPr>
          <w:rFonts w:ascii="Arial" w:cs="Arial" w:eastAsia="Arial" w:hAnsi="Arial"/>
          <w:sz w:val="18"/>
          <w:szCs w:val="18"/>
          <w:color w:val="auto"/>
        </w:rPr>
        <w:t>Company contributions, participants’ pre-tax contributions and the net investment income related to all contributions are excluded from the participants’ income for federal income tax purposes until such amounts are withdrawn or distributed.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THE INVESTMENT PARTNERSHIP PLAN</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Years ended December 31, 2006 and 2005</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i w:val="1"/>
          <w:iCs w:val="1"/>
          <w:color w:val="auto"/>
        </w:rPr>
        <w:t>Investment Options</w:t>
      </w:r>
      <w:r>
        <w:rPr>
          <w:rFonts w:ascii="Arial" w:cs="Arial" w:eastAsia="Arial" w:hAnsi="Arial"/>
          <w:sz w:val="18"/>
          <w:szCs w:val="18"/>
          <w:color w:val="auto"/>
        </w:rPr>
        <w:t>. The investment options of the Plan are listed below.</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Analog Devices, Inc. Stock Fund</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Calamos Growth Fund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Fidelity Diversified International Fund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Fidelity Equity Income Fund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Fidelity Growth Company Fund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Fidelity Growth &amp; Income Portfolio</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Fidelity Low-Priced Stock Fund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Fidelity Freedom Income Fund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Fidelity Freedom 2000 Fund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Fidelity Freedom 2005 Fund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Fidelity Freedom 2010 Fund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Fidelity Freedom 2015 Fund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Fidelity Freedom 2020 Fund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Fidelity Freedom 2025 Fund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Fidelity Freedom 2030 Fund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Fidelity Freedom 2035 Fund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Fidelity Freedom 2040 Fund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Fidelity Magellan Fund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Fidelity U.S. Bond Index Fund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Fidelity U.S. Equity Index Commingled Pool</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Fidelity Income Fund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Hotchkis and Wiley Mid-Cap Value Fund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Templeton Foreign Fund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Spartan International Index Fund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Royce Low-Priced Stock Fund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Vanguard Mid-Cap Index Fund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Vanguard Short-Term Bond Index Fund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Vanguard Small-Cap Index Fund</w:t>
      </w:r>
    </w:p>
    <w:p>
      <w:pPr>
        <w:spacing w:after="0" w:line="103"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color w:val="auto"/>
        </w:rPr>
        <w:t>Additionally, participants have the option to invest assets in Fidelity, non-Fidelity funds and in a self-directed brokerage service that allows participants access to a wide variety of stocks, bonds, short-term securities and mutual funds.</w:t>
      </w:r>
    </w:p>
    <w:p>
      <w:pPr>
        <w:spacing w:after="0" w:line="62" w:lineRule="exact"/>
        <w:rPr>
          <w:sz w:val="20"/>
          <w:szCs w:val="20"/>
          <w:color w:val="auto"/>
        </w:rPr>
      </w:pPr>
    </w:p>
    <w:p>
      <w:pPr>
        <w:ind w:left="240" w:right="260" w:hanging="4"/>
        <w:spacing w:after="0" w:line="277"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w:t>
      </w:r>
      <w:r>
        <w:rPr>
          <w:rFonts w:ascii="Arial" w:cs="Arial" w:eastAsia="Arial" w:hAnsi="Arial"/>
          <w:sz w:val="18"/>
          <w:szCs w:val="18"/>
          <w:i w:val="1"/>
          <w:iCs w:val="1"/>
          <w:color w:val="auto"/>
        </w:rPr>
        <w:t xml:space="preserve"> Employee contributions</w:t>
      </w:r>
      <w:r>
        <w:rPr>
          <w:rFonts w:ascii="Arial" w:cs="Arial" w:eastAsia="Arial" w:hAnsi="Arial"/>
          <w:sz w:val="18"/>
          <w:szCs w:val="18"/>
          <w:color w:val="auto"/>
        </w:rPr>
        <w:t>: Employee contributions are immediately 100% vested and nonforfeitable at the time they are deducted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compensation. Investment income on employee contributions vests as earned.</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INVESTMENT PARTNERSHIP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2006 and 2005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Company Basic Contributions: </w:t>
      </w:r>
      <w:r>
        <w:rPr>
          <w:rFonts w:ascii="Arial" w:cs="Arial" w:eastAsia="Arial" w:hAnsi="Arial"/>
          <w:sz w:val="17"/>
          <w:szCs w:val="17"/>
          <w:color w:val="auto"/>
        </w:rPr>
        <w:t>Company basic contributions and investment earnings thereon become fully vested upon the first to occur of</w:t>
      </w:r>
    </w:p>
    <w:p>
      <w:pPr>
        <w:spacing w:after="0" w:line="35" w:lineRule="exact"/>
        <w:rPr>
          <w:sz w:val="20"/>
          <w:szCs w:val="20"/>
          <w:color w:val="auto"/>
        </w:rPr>
      </w:pPr>
    </w:p>
    <w:p>
      <w:pPr>
        <w:ind w:left="240" w:hanging="4"/>
        <w:spacing w:after="0" w:line="302" w:lineRule="auto"/>
        <w:tabs>
          <w:tab w:leader="none" w:pos="455"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completion of five years of service with the Company, (ii) reaching age 65, (iii) death or permanent disability while employed by the Company or (iv) if employment is terminated by the Company after December 31, 2005 due to job elimination, the closing of a facility or as the result of the disposition of a business unit. Effective January 1, 2007, Company basic contributions and investments earnings thereon become 100% vested after three years of service.</w:t>
      </w:r>
    </w:p>
    <w:p>
      <w:pPr>
        <w:spacing w:after="0" w:line="47" w:lineRule="exact"/>
        <w:rPr>
          <w:sz w:val="20"/>
          <w:szCs w:val="20"/>
          <w:color w:val="auto"/>
        </w:rPr>
      </w:pPr>
    </w:p>
    <w:p>
      <w:pPr>
        <w:ind w:left="240" w:right="20" w:firstLine="225"/>
        <w:spacing w:after="0" w:line="255" w:lineRule="auto"/>
        <w:rPr>
          <w:sz w:val="20"/>
          <w:szCs w:val="20"/>
          <w:color w:val="auto"/>
        </w:rPr>
      </w:pPr>
      <w:r>
        <w:rPr>
          <w:rFonts w:ascii="Arial" w:cs="Arial" w:eastAsia="Arial" w:hAnsi="Arial"/>
          <w:sz w:val="18"/>
          <w:szCs w:val="18"/>
          <w:i w:val="1"/>
          <w:iCs w:val="1"/>
          <w:color w:val="auto"/>
        </w:rPr>
        <w:t>Company Match Contributions</w:t>
      </w:r>
      <w:r>
        <w:rPr>
          <w:rFonts w:ascii="Arial" w:cs="Arial" w:eastAsia="Arial" w:hAnsi="Arial"/>
          <w:sz w:val="18"/>
          <w:szCs w:val="18"/>
          <w:color w:val="auto"/>
        </w:rPr>
        <w:t>: Effective January 1, 2002, company match contributions made thereon and investment earnings thereon become 100%</w:t>
      </w:r>
      <w:r>
        <w:rPr>
          <w:rFonts w:ascii="Arial" w:cs="Arial" w:eastAsia="Arial" w:hAnsi="Arial"/>
          <w:sz w:val="18"/>
          <w:szCs w:val="18"/>
          <w:i w:val="1"/>
          <w:iCs w:val="1"/>
          <w:color w:val="auto"/>
        </w:rPr>
        <w:t xml:space="preserve"> </w:t>
      </w:r>
      <w:r>
        <w:rPr>
          <w:rFonts w:ascii="Arial" w:cs="Arial" w:eastAsia="Arial" w:hAnsi="Arial"/>
          <w:sz w:val="18"/>
          <w:szCs w:val="18"/>
          <w:color w:val="auto"/>
        </w:rPr>
        <w:t>vested after three years of service. Company match contributions made prior to January 1, 2002 and investment earnings thereon become fully vested upon the first to occur of (i) completion of five years of service with the Company, (ii) reaching age 65, (iii) death or permanent disability while employed by the Company or (iv) if employment is terminated by the Company after December 31, 2005 due to job elimination, the closing of a facility or as the result of the disposition of a business unit. Effective January 1, 2007, Company basic contributions and investments earnings thereon become 100% vested after three years of service.</w:t>
      </w:r>
    </w:p>
    <w:p>
      <w:pPr>
        <w:spacing w:after="0" w:line="85" w:lineRule="exact"/>
        <w:rPr>
          <w:sz w:val="20"/>
          <w:szCs w:val="20"/>
          <w:color w:val="auto"/>
        </w:rPr>
      </w:pPr>
    </w:p>
    <w:p>
      <w:pPr>
        <w:jc w:val="both"/>
        <w:ind w:left="240" w:right="220" w:hanging="4"/>
        <w:spacing w:after="0" w:line="297"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Benefits</w:t>
      </w:r>
      <w:r>
        <w:rPr>
          <w:rFonts w:ascii="Arial" w:cs="Arial" w:eastAsia="Arial" w:hAnsi="Arial"/>
          <w:sz w:val="16"/>
          <w:szCs w:val="16"/>
          <w:color w:val="auto"/>
        </w:rPr>
        <w:t>. Upon normal retirement at age 65, death, permanent disability or termination of employment, the participant’s vested benefits are paid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or his or her beneficiary, at the election of the participant, either in a lump sum or in monthly installments over a period of up to ten years. A participant may elect to defer payment of his or her account until he or she attains age 70 1/2. However, if a participant’s vested benefits are less than $1,000 for 2006 and 2005, upon termination of employment, distribution will be made in the form of a lump-sum payment within one year following termination of employment. Participants may request an in-service withdrawal for any reason after he or she attains age 59 1/2.</w:t>
      </w:r>
    </w:p>
    <w:p>
      <w:pPr>
        <w:spacing w:after="0" w:line="50" w:lineRule="exact"/>
        <w:rPr>
          <w:rFonts w:ascii="Arial" w:cs="Arial" w:eastAsia="Arial" w:hAnsi="Arial"/>
          <w:sz w:val="16"/>
          <w:szCs w:val="16"/>
          <w:color w:val="auto"/>
        </w:rPr>
      </w:pPr>
    </w:p>
    <w:p>
      <w:pPr>
        <w:ind w:left="240" w:right="20" w:hanging="4"/>
        <w:spacing w:after="0" w:line="279" w:lineRule="auto"/>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Loans</w:t>
      </w:r>
      <w:r>
        <w:rPr>
          <w:rFonts w:ascii="Arial" w:cs="Arial" w:eastAsia="Arial" w:hAnsi="Arial"/>
          <w:sz w:val="17"/>
          <w:szCs w:val="17"/>
          <w:color w:val="auto"/>
        </w:rPr>
        <w:t>. Participants may borrow the lesser of 50% of their vested account balance or $50,000, as defined by the Plan. Participants repay loans plus</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to their accounts through payroll deductions, generally over a five-year period unless for the purchase of a primary residence, in which case the repayment period may be extended up to a maximum of twenty years. The interest rate on loans, which is announced quarterly, is tied to the interest rate of Treasury Bonds with 3- and 10-year maturities. Once determined, the interest rate is fixed for the duration of the loan.</w:t>
      </w:r>
    </w:p>
    <w:p>
      <w:pPr>
        <w:spacing w:after="0" w:line="63" w:lineRule="exact"/>
        <w:rPr>
          <w:rFonts w:ascii="Arial" w:cs="Arial" w:eastAsia="Arial" w:hAnsi="Arial"/>
          <w:sz w:val="17"/>
          <w:szCs w:val="17"/>
          <w:color w:val="auto"/>
        </w:rPr>
      </w:pPr>
    </w:p>
    <w:p>
      <w:pPr>
        <w:ind w:left="240" w:hanging="4"/>
        <w:spacing w:after="0" w:line="302"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Accounting</w:t>
      </w:r>
      <w:r>
        <w:rPr>
          <w:rFonts w:ascii="Arial" w:cs="Arial" w:eastAsia="Arial" w:hAnsi="Arial"/>
          <w:sz w:val="16"/>
          <w:szCs w:val="16"/>
          <w:color w:val="auto"/>
        </w:rPr>
        <w:t>. A separate account is maintained for each participant. Account balances are adjusted periodically for employee and Company contributions,</w:t>
      </w:r>
      <w:r>
        <w:rPr>
          <w:rFonts w:ascii="Arial" w:cs="Arial" w:eastAsia="Arial" w:hAnsi="Arial"/>
          <w:sz w:val="16"/>
          <w:szCs w:val="16"/>
          <w:i w:val="1"/>
          <w:iCs w:val="1"/>
          <w:color w:val="auto"/>
        </w:rPr>
        <w:t xml:space="preserve"> </w:t>
      </w:r>
      <w:r>
        <w:rPr>
          <w:rFonts w:ascii="Arial" w:cs="Arial" w:eastAsia="Arial" w:hAnsi="Arial"/>
          <w:sz w:val="16"/>
          <w:szCs w:val="16"/>
          <w:color w:val="auto"/>
        </w:rPr>
        <w:t>withdrawals and a pro rata share of net investment income or loss. Forfeitures that arise when participants terminate employment with the Company prior to vesting are used to offset future Company contributions and administrative expenses of the Plan. If an employee who had terminated after December 31, 1984 returns to the employment of the Company within five years, any amount that had been forfeited will be reinstated by the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INVESTMENT PARTNERSHIP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2006 and 2005</w:t>
      </w:r>
    </w:p>
    <w:p>
      <w:pPr>
        <w:spacing w:after="0" w:line="225" w:lineRule="exact"/>
        <w:rPr>
          <w:sz w:val="20"/>
          <w:szCs w:val="20"/>
          <w:color w:val="auto"/>
        </w:rPr>
      </w:pPr>
    </w:p>
    <w:p>
      <w:pPr>
        <w:ind w:left="240" w:right="100"/>
        <w:spacing w:after="0" w:line="264" w:lineRule="auto"/>
        <w:rPr>
          <w:sz w:val="20"/>
          <w:szCs w:val="20"/>
          <w:color w:val="auto"/>
        </w:rPr>
      </w:pPr>
      <w:r>
        <w:rPr>
          <w:rFonts w:ascii="Arial" w:cs="Arial" w:eastAsia="Arial" w:hAnsi="Arial"/>
          <w:sz w:val="18"/>
          <w:szCs w:val="18"/>
          <w:color w:val="auto"/>
        </w:rPr>
        <w:t>All transactions of the Plan (including contributions, withdrawals and exchanges) have been accounted for and reported using units as well as dollars. Net investment income (loss) in each fund is allocated based on the shares or units in each participant’s account, except for the Self-Directed Brokerage Service, whereby earnings are recorded on a transaction specific basis.</w:t>
      </w:r>
    </w:p>
    <w:p>
      <w:pPr>
        <w:spacing w:after="0" w:line="73" w:lineRule="exact"/>
        <w:rPr>
          <w:sz w:val="20"/>
          <w:szCs w:val="20"/>
          <w:color w:val="auto"/>
        </w:rPr>
      </w:pPr>
    </w:p>
    <w:p>
      <w:pPr>
        <w:ind w:left="240" w:right="160" w:hanging="4"/>
        <w:spacing w:after="0" w:line="279" w:lineRule="auto"/>
        <w:tabs>
          <w:tab w:leader="none" w:pos="420" w:val="left"/>
        </w:tabs>
        <w:numPr>
          <w:ilvl w:val="1"/>
          <w:numId w:val="9"/>
        </w:numPr>
        <w:rPr>
          <w:rFonts w:ascii="Arial" w:cs="Arial" w:eastAsia="Arial" w:hAnsi="Arial"/>
          <w:sz w:val="17"/>
          <w:szCs w:val="17"/>
          <w:color w:val="auto"/>
        </w:rPr>
      </w:pPr>
      <w:r>
        <w:rPr>
          <w:rFonts w:ascii="Arial" w:cs="Arial" w:eastAsia="Arial" w:hAnsi="Arial"/>
          <w:sz w:val="17"/>
          <w:szCs w:val="17"/>
          <w:i w:val="1"/>
          <w:iCs w:val="1"/>
          <w:color w:val="auto"/>
        </w:rPr>
        <w:t>Investment allocation</w:t>
      </w:r>
      <w:r>
        <w:rPr>
          <w:rFonts w:ascii="Arial" w:cs="Arial" w:eastAsia="Arial" w:hAnsi="Arial"/>
          <w:sz w:val="17"/>
          <w:szCs w:val="17"/>
          <w:color w:val="auto"/>
        </w:rPr>
        <w:t>. The vested and nonvested share of a participant’s account balance is invested in one or more of the funds depending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allocation instructions of the participant. In the absence of such allocation instructions, all amounts accruing to the participant are invested in the Fidelity Income Fund. Effective January 1, 2007, if a new participant does not make an investment election, their savings will be invested in a Fidelity Freedom Fund, based on their projected retirement timeframe. They may change this election at any time.</w:t>
      </w:r>
    </w:p>
    <w:p>
      <w:pPr>
        <w:spacing w:after="0" w:line="63" w:lineRule="exact"/>
        <w:rPr>
          <w:rFonts w:ascii="Arial" w:cs="Arial" w:eastAsia="Arial" w:hAnsi="Arial"/>
          <w:sz w:val="17"/>
          <w:szCs w:val="17"/>
          <w:color w:val="auto"/>
        </w:rPr>
      </w:pPr>
    </w:p>
    <w:p>
      <w:pPr>
        <w:ind w:left="240" w:right="380" w:hanging="4"/>
        <w:spacing w:after="0" w:line="342" w:lineRule="auto"/>
        <w:tabs>
          <w:tab w:leader="none" w:pos="510"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Continuation of the Plan</w:t>
      </w:r>
      <w:r>
        <w:rPr>
          <w:rFonts w:ascii="Arial" w:cs="Arial" w:eastAsia="Arial" w:hAnsi="Arial"/>
          <w:sz w:val="16"/>
          <w:szCs w:val="16"/>
          <w:color w:val="auto"/>
        </w:rPr>
        <w:t>. While the Company has not expressed any intent to terminate the Plan or suspend contributions, it is free to do so at any</w:t>
      </w:r>
      <w:r>
        <w:rPr>
          <w:rFonts w:ascii="Arial" w:cs="Arial" w:eastAsia="Arial" w:hAnsi="Arial"/>
          <w:sz w:val="16"/>
          <w:szCs w:val="16"/>
          <w:i w:val="1"/>
          <w:iCs w:val="1"/>
          <w:color w:val="auto"/>
        </w:rPr>
        <w:t xml:space="preserve"> </w:t>
      </w:r>
      <w:r>
        <w:rPr>
          <w:rFonts w:ascii="Arial" w:cs="Arial" w:eastAsia="Arial" w:hAnsi="Arial"/>
          <w:sz w:val="16"/>
          <w:szCs w:val="16"/>
          <w:color w:val="auto"/>
        </w:rPr>
        <w:t>time. In the event of such termination or suspension, each participant would have a nonforfeitable right to all monies in his or her account.</w:t>
      </w:r>
    </w:p>
    <w:p>
      <w:pPr>
        <w:spacing w:after="0" w:line="119" w:lineRule="exact"/>
        <w:rPr>
          <w:rFonts w:ascii="Arial" w:cs="Arial" w:eastAsia="Arial" w:hAnsi="Arial"/>
          <w:sz w:val="16"/>
          <w:szCs w:val="16"/>
          <w:color w:val="auto"/>
        </w:rPr>
      </w:pPr>
    </w:p>
    <w:p>
      <w:pPr>
        <w:ind w:left="220" w:hanging="212"/>
        <w:spacing w:after="0"/>
        <w:tabs>
          <w:tab w:leader="none" w:pos="2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rFonts w:ascii="Arial" w:cs="Arial" w:eastAsia="Arial" w:hAnsi="Arial"/>
          <w:sz w:val="18"/>
          <w:szCs w:val="18"/>
          <w:b w:val="1"/>
          <w:bCs w:val="1"/>
          <w:color w:val="auto"/>
        </w:rPr>
      </w:pPr>
    </w:p>
    <w:p>
      <w:pPr>
        <w:ind w:left="420" w:hanging="184"/>
        <w:spacing w:after="0"/>
        <w:tabs>
          <w:tab w:leader="none" w:pos="42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Basis of presentation</w:t>
      </w:r>
      <w:r>
        <w:rPr>
          <w:rFonts w:ascii="Arial" w:cs="Arial" w:eastAsia="Arial" w:hAnsi="Arial"/>
          <w:sz w:val="18"/>
          <w:szCs w:val="18"/>
          <w:color w:val="auto"/>
        </w:rPr>
        <w:t>. The accompanying financial statements have been prepared on the accrual basis of accounting.</w:t>
      </w:r>
    </w:p>
    <w:p>
      <w:pPr>
        <w:spacing w:after="0" w:line="117" w:lineRule="exact"/>
        <w:rPr>
          <w:rFonts w:ascii="Arial" w:cs="Arial" w:eastAsia="Arial" w:hAnsi="Arial"/>
          <w:sz w:val="18"/>
          <w:szCs w:val="18"/>
          <w:color w:val="auto"/>
        </w:rPr>
      </w:pPr>
    </w:p>
    <w:p>
      <w:pPr>
        <w:ind w:left="240" w:right="180" w:hanging="4"/>
        <w:spacing w:after="0" w:line="277" w:lineRule="auto"/>
        <w:tabs>
          <w:tab w:leader="none" w:pos="42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Investments are reported at fair value, based on quoted market prices. Participant loans are reported at their outstanding carrying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which approximates fair value.</w:t>
      </w:r>
    </w:p>
    <w:p>
      <w:pPr>
        <w:spacing w:after="0" w:line="62" w:lineRule="exact"/>
        <w:rPr>
          <w:rFonts w:ascii="Arial" w:cs="Arial" w:eastAsia="Arial" w:hAnsi="Arial"/>
          <w:sz w:val="18"/>
          <w:szCs w:val="18"/>
          <w:color w:val="auto"/>
        </w:rPr>
      </w:pPr>
    </w:p>
    <w:p>
      <w:pPr>
        <w:ind w:left="240" w:right="20" w:hanging="4"/>
        <w:spacing w:after="0" w:line="277" w:lineRule="auto"/>
        <w:tabs>
          <w:tab w:leader="none" w:pos="42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Contributions. </w:t>
      </w:r>
      <w:r>
        <w:rPr>
          <w:rFonts w:ascii="Arial" w:cs="Arial" w:eastAsia="Arial" w:hAnsi="Arial"/>
          <w:sz w:val="18"/>
          <w:szCs w:val="18"/>
          <w:color w:val="auto"/>
        </w:rPr>
        <w:t>Contributions from employees are recorded when the Company makes payroll deductions from plan participants. Company contributions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are accrued at the end of the period in which they become obligations of the Company based upon the terms of the Plan.</w:t>
      </w:r>
    </w:p>
    <w:p>
      <w:pPr>
        <w:spacing w:after="0" w:line="62" w:lineRule="exact"/>
        <w:rPr>
          <w:rFonts w:ascii="Arial" w:cs="Arial" w:eastAsia="Arial" w:hAnsi="Arial"/>
          <w:sz w:val="18"/>
          <w:szCs w:val="18"/>
          <w:color w:val="auto"/>
        </w:rPr>
      </w:pPr>
    </w:p>
    <w:p>
      <w:pPr>
        <w:jc w:val="both"/>
        <w:ind w:left="240" w:hanging="4"/>
        <w:spacing w:after="0" w:line="264" w:lineRule="auto"/>
        <w:tabs>
          <w:tab w:leader="none" w:pos="42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Investment income (loss)</w:t>
      </w:r>
      <w:r>
        <w:rPr>
          <w:rFonts w:ascii="Arial" w:cs="Arial" w:eastAsia="Arial" w:hAnsi="Arial"/>
          <w:sz w:val="18"/>
          <w:szCs w:val="18"/>
          <w:color w:val="auto"/>
        </w:rPr>
        <w:t>. Net investment income (loss) consists of interest income, dividends and capital gain/loss distributions from the money market</w:t>
      </w:r>
      <w:r>
        <w:rPr>
          <w:rFonts w:ascii="Arial" w:cs="Arial" w:eastAsia="Arial" w:hAnsi="Arial"/>
          <w:sz w:val="18"/>
          <w:szCs w:val="18"/>
          <w:i w:val="1"/>
          <w:iCs w:val="1"/>
          <w:color w:val="auto"/>
        </w:rPr>
        <w:t xml:space="preserve"> </w:t>
      </w:r>
      <w:r>
        <w:rPr>
          <w:rFonts w:ascii="Arial" w:cs="Arial" w:eastAsia="Arial" w:hAnsi="Arial"/>
          <w:sz w:val="18"/>
          <w:szCs w:val="18"/>
          <w:color w:val="auto"/>
        </w:rPr>
        <w:t>and mutual funds, realized gains or losses on sales of investments and the change in net unrealized appreciation (depreciation) between the cost and market value of investments at the beginning and end of the period.</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All interest, dividends and capital gains distributions are reinvested in the respective funds and are recorded as earned on an accrual basis.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INVESTMENT PARTNERSHIP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2006 and 2005</w:t>
      </w:r>
    </w:p>
    <w:p>
      <w:pPr>
        <w:spacing w:after="0" w:line="225" w:lineRule="exact"/>
        <w:rPr>
          <w:sz w:val="20"/>
          <w:szCs w:val="20"/>
          <w:color w:val="auto"/>
        </w:rPr>
      </w:pPr>
    </w:p>
    <w:p>
      <w:pPr>
        <w:ind w:left="240" w:right="80" w:hanging="4"/>
        <w:spacing w:after="0" w:line="257" w:lineRule="auto"/>
        <w:tabs>
          <w:tab w:leader="none" w:pos="42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Income tax status. </w:t>
      </w:r>
      <w:r>
        <w:rPr>
          <w:rFonts w:ascii="Arial" w:cs="Arial" w:eastAsia="Arial" w:hAnsi="Arial"/>
          <w:sz w:val="18"/>
          <w:szCs w:val="18"/>
          <w:color w:val="auto"/>
        </w:rPr>
        <w:t>The Plan has received a determination letter from the Internal Revenue Service, dated May 1, 2003, stating that the Plan is 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Section 401(a) of the Internal Revenue Code (the “Code”) and, therefore, the related trust is exempt from taxation. Subsequent to this determination by the Internal Revenue Service, the Plan was amended. Once qualified, the Plan is required to operate in conformity with the Code to maintain its qualification. The Plan Committee believes the Plan is being operated in compliance with the applicable requirements of the Code and, therefore, that the Plan, as amended, is qualified and the related trust is tax exempt.</w:t>
      </w:r>
    </w:p>
    <w:p>
      <w:pPr>
        <w:spacing w:after="0" w:line="80" w:lineRule="exact"/>
        <w:rPr>
          <w:rFonts w:ascii="Arial" w:cs="Arial" w:eastAsia="Arial" w:hAnsi="Arial"/>
          <w:sz w:val="18"/>
          <w:szCs w:val="18"/>
          <w:i w:val="1"/>
          <w:iCs w:val="1"/>
          <w:color w:val="auto"/>
        </w:rPr>
      </w:pPr>
    </w:p>
    <w:p>
      <w:pPr>
        <w:ind w:left="240" w:right="20" w:hanging="4"/>
        <w:spacing w:after="0" w:line="286" w:lineRule="auto"/>
        <w:tabs>
          <w:tab w:leader="none" w:pos="42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Related Party. </w:t>
      </w:r>
      <w:r>
        <w:rPr>
          <w:rFonts w:ascii="Arial" w:cs="Arial" w:eastAsia="Arial" w:hAnsi="Arial"/>
          <w:sz w:val="17"/>
          <w:szCs w:val="17"/>
          <w:color w:val="auto"/>
        </w:rPr>
        <w:t>Certain Plan investments are shares of mutual funds managed by FMR Corp. FMR Corp. is a related party to the trustee and recordkeeper</w:t>
      </w:r>
      <w:r>
        <w:rPr>
          <w:rFonts w:ascii="Arial" w:cs="Arial" w:eastAsia="Arial" w:hAnsi="Arial"/>
          <w:sz w:val="17"/>
          <w:szCs w:val="17"/>
          <w:i w:val="1"/>
          <w:iCs w:val="1"/>
          <w:color w:val="auto"/>
        </w:rPr>
        <w:t xml:space="preserve"> </w:t>
      </w:r>
      <w:r>
        <w:rPr>
          <w:rFonts w:ascii="Arial" w:cs="Arial" w:eastAsia="Arial" w:hAnsi="Arial"/>
          <w:sz w:val="17"/>
          <w:szCs w:val="17"/>
          <w:color w:val="auto"/>
        </w:rPr>
        <w:t>of the Plan, and therefore, these transactions qualify as party-in-interest. Fees paid by the Company to the trustee and recordkeeper for administrative expenses amounted to $41,178 and $37,465 for the years ended December 31, 2006 and 2005, respectively.</w:t>
      </w:r>
    </w:p>
    <w:p>
      <w:pPr>
        <w:spacing w:after="0" w:line="57" w:lineRule="exact"/>
        <w:rPr>
          <w:sz w:val="20"/>
          <w:szCs w:val="20"/>
          <w:color w:val="auto"/>
        </w:rPr>
      </w:pPr>
    </w:p>
    <w:p>
      <w:pPr>
        <w:ind w:left="240" w:right="60"/>
        <w:spacing w:after="0" w:line="264" w:lineRule="auto"/>
        <w:rPr>
          <w:sz w:val="20"/>
          <w:szCs w:val="20"/>
          <w:color w:val="auto"/>
        </w:rPr>
      </w:pPr>
      <w:r>
        <w:rPr>
          <w:rFonts w:ascii="Arial" w:cs="Arial" w:eastAsia="Arial" w:hAnsi="Arial"/>
          <w:sz w:val="18"/>
          <w:szCs w:val="18"/>
          <w:color w:val="auto"/>
        </w:rPr>
        <w:t>The Plan also offers the Analog Devices, Inc. Common Stock Fund investment option. The Analog Devices, Inc. Common Stock Fund is designed for investment in the common stock of the Company. In addition, some of the investments in the Plan hold the Company’s Common stock. These transactions qualify as party-in-interest transactions.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Loans to participants also qualify as party-in-interest transactions.</w:t>
      </w:r>
    </w:p>
    <w:p>
      <w:pPr>
        <w:spacing w:after="0" w:line="117" w:lineRule="exact"/>
        <w:rPr>
          <w:sz w:val="20"/>
          <w:szCs w:val="20"/>
          <w:color w:val="auto"/>
        </w:rPr>
      </w:pPr>
    </w:p>
    <w:p>
      <w:pPr>
        <w:ind w:left="240" w:hanging="4"/>
        <w:spacing w:after="0" w:line="277" w:lineRule="auto"/>
        <w:tabs>
          <w:tab w:leader="none" w:pos="4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Administrative expenses</w:t>
      </w:r>
      <w:r>
        <w:rPr>
          <w:rFonts w:ascii="Arial" w:cs="Arial" w:eastAsia="Arial" w:hAnsi="Arial"/>
          <w:sz w:val="18"/>
          <w:szCs w:val="18"/>
          <w:color w:val="auto"/>
        </w:rPr>
        <w:t>. For the years ended December 31, 2006 and 2005, the Company elected to pay the administrative expenses of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resulting from participant loans and investment fees are deducted directly from participant accounts.</w:t>
      </w:r>
    </w:p>
    <w:p>
      <w:pPr>
        <w:spacing w:after="0" w:line="62" w:lineRule="exact"/>
        <w:rPr>
          <w:rFonts w:ascii="Arial" w:cs="Arial" w:eastAsia="Arial" w:hAnsi="Arial"/>
          <w:sz w:val="18"/>
          <w:szCs w:val="18"/>
          <w:i w:val="1"/>
          <w:iCs w:val="1"/>
          <w:color w:val="auto"/>
        </w:rPr>
      </w:pPr>
    </w:p>
    <w:p>
      <w:pPr>
        <w:ind w:left="240" w:right="200" w:hanging="4"/>
        <w:spacing w:after="0" w:line="286" w:lineRule="auto"/>
        <w:tabs>
          <w:tab w:leader="none" w:pos="420"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financial statements in conformity with U.S. generally accepted accounting principles requires management to</w:t>
      </w:r>
      <w:r>
        <w:rPr>
          <w:rFonts w:ascii="Arial" w:cs="Arial" w:eastAsia="Arial" w:hAnsi="Arial"/>
          <w:sz w:val="17"/>
          <w:szCs w:val="17"/>
          <w:i w:val="1"/>
          <w:iCs w:val="1"/>
          <w:color w:val="auto"/>
        </w:rPr>
        <w:t xml:space="preserve"> </w:t>
      </w:r>
      <w:r>
        <w:rPr>
          <w:rFonts w:ascii="Arial" w:cs="Arial" w:eastAsia="Arial" w:hAnsi="Arial"/>
          <w:sz w:val="17"/>
          <w:szCs w:val="17"/>
          <w:color w:val="auto"/>
        </w:rPr>
        <w:t>make estimates that affect the reported amounts of assets and liabilities at the date of the financial statements and the reported amounts of changes in net assets available for benefits during the reporting period. Actual results could differ from those estimates</w:t>
      </w:r>
      <w:r>
        <w:rPr>
          <w:rFonts w:ascii="Arial" w:cs="Arial" w:eastAsia="Arial" w:hAnsi="Arial"/>
          <w:sz w:val="17"/>
          <w:szCs w:val="17"/>
          <w:i w:val="1"/>
          <w:iCs w:val="1"/>
          <w:color w:val="auto"/>
        </w:rPr>
        <w:t>.</w:t>
      </w:r>
    </w:p>
    <w:p>
      <w:pPr>
        <w:spacing w:after="0" w:line="57" w:lineRule="exact"/>
        <w:rPr>
          <w:rFonts w:ascii="Arial" w:cs="Arial" w:eastAsia="Arial" w:hAnsi="Arial"/>
          <w:sz w:val="17"/>
          <w:szCs w:val="17"/>
          <w:i w:val="1"/>
          <w:iCs w:val="1"/>
          <w:color w:val="auto"/>
        </w:rPr>
      </w:pPr>
    </w:p>
    <w:p>
      <w:pPr>
        <w:jc w:val="both"/>
        <w:ind w:left="240" w:right="100" w:hanging="4"/>
        <w:spacing w:after="0" w:line="259" w:lineRule="auto"/>
        <w:tabs>
          <w:tab w:leader="none" w:pos="42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Risk and uncertainties. </w:t>
      </w:r>
      <w:r>
        <w:rPr>
          <w:rFonts w:ascii="Arial" w:cs="Arial" w:eastAsia="Arial" w:hAnsi="Arial"/>
          <w:sz w:val="18"/>
          <w:szCs w:val="18"/>
          <w:color w:val="auto"/>
        </w:rPr>
        <w:t>The Plan and its participants invest in various securities. Investment securities are exposed to various risks such as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2006 and 2005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8"/>
          <w:szCs w:val="18"/>
          <w:color w:val="auto"/>
        </w:rPr>
        <w:t>.</w:t>
      </w:r>
      <w:r>
        <w:rPr>
          <w:rFonts w:ascii="Arial" w:cs="Arial" w:eastAsia="Arial" w:hAnsi="Arial"/>
          <w:sz w:val="18"/>
          <w:szCs w:val="18"/>
          <w:b w:val="1"/>
          <w:bCs w:val="1"/>
          <w:color w:val="auto"/>
        </w:rPr>
        <w:t xml:space="preserve"> Trustee and Plan Recordkeeper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Fidelity Management Trust Company and Fidelity Institutional Retirement Services Company serve as trustee and recordkeeper, respectively, to the Plan.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8"/>
          <w:szCs w:val="18"/>
          <w:color w:val="auto"/>
        </w:rPr>
        <w:t>.</w:t>
      </w:r>
      <w:r>
        <w:rPr>
          <w:rFonts w:ascii="Arial" w:cs="Arial" w:eastAsia="Arial" w:hAnsi="Arial"/>
          <w:sz w:val="18"/>
          <w:szCs w:val="18"/>
          <w:b w:val="1"/>
          <w:bCs w:val="1"/>
          <w:color w:val="auto"/>
        </w:rPr>
        <w:t xml:space="preserve"> Investments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investments represent five percent or more of the Plan’s net assets:</w:t>
      </w:r>
    </w:p>
    <w:p>
      <w:pPr>
        <w:spacing w:after="0" w:line="221" w:lineRule="exact"/>
        <w:rPr>
          <w:sz w:val="20"/>
          <w:szCs w:val="20"/>
          <w:color w:val="auto"/>
        </w:rPr>
      </w:pPr>
    </w:p>
    <w:tbl>
      <w:tblPr>
        <w:tblLayout w:type="fixed"/>
        <w:tblInd w:w="3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680" w:type="dxa"/>
            <w:vAlign w:val="bottom"/>
            <w:gridSpan w:val="4"/>
          </w:tcPr>
          <w:p>
            <w:pPr>
              <w:ind w:left="880"/>
              <w:spacing w:after="0"/>
              <w:rPr>
                <w:sz w:val="20"/>
                <w:szCs w:val="20"/>
                <w:color w:val="auto"/>
              </w:rPr>
            </w:pPr>
            <w:r>
              <w:rPr>
                <w:rFonts w:ascii="Arial" w:cs="Arial" w:eastAsia="Arial" w:hAnsi="Arial"/>
                <w:sz w:val="14"/>
                <w:szCs w:val="14"/>
                <w:i w:val="1"/>
                <w:i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0" w:type="dxa"/>
            <w:vAlign w:val="bottom"/>
            <w:tcBorders>
              <w:top w:val="single" w:sz="8" w:color="auto"/>
            </w:tcBorders>
          </w:tcPr>
          <w:p>
            <w:pPr>
              <w:jc w:val="right"/>
              <w:ind w:right="288"/>
              <w:spacing w:after="0" w:line="142" w:lineRule="exact"/>
              <w:rPr>
                <w:sz w:val="20"/>
                <w:szCs w:val="20"/>
                <w:color w:val="auto"/>
              </w:rPr>
            </w:pPr>
            <w:r>
              <w:rPr>
                <w:rFonts w:ascii="Arial" w:cs="Arial" w:eastAsia="Arial" w:hAnsi="Arial"/>
                <w:sz w:val="14"/>
                <w:szCs w:val="14"/>
                <w:color w:val="auto"/>
              </w:rPr>
              <w:t>2006</w:t>
            </w:r>
          </w:p>
        </w:tc>
        <w:tc>
          <w:tcPr>
            <w:tcW w:w="158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Analog Devices, Inc. Common Stock Fund</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$125,861,256</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$147,848,532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560" w:type="dxa"/>
            <w:vAlign w:val="bottom"/>
            <w:gridSpan w:val="2"/>
          </w:tcPr>
          <w:p>
            <w:pPr>
              <w:spacing w:after="0"/>
              <w:rPr>
                <w:sz w:val="20"/>
                <w:szCs w:val="20"/>
                <w:color w:val="auto"/>
              </w:rPr>
            </w:pPr>
            <w:r>
              <w:rPr>
                <w:rFonts w:ascii="Arial" w:cs="Arial" w:eastAsia="Arial" w:hAnsi="Arial"/>
                <w:sz w:val="18"/>
                <w:szCs w:val="18"/>
                <w:color w:val="auto"/>
              </w:rPr>
              <w:t>Fidelity Income Fund</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133,130,425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135,205,496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Fidelity Equity Income Fund</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60,971,905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49,788,467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560" w:type="dxa"/>
            <w:vAlign w:val="bottom"/>
            <w:gridSpan w:val="2"/>
          </w:tcPr>
          <w:p>
            <w:pPr>
              <w:spacing w:after="0"/>
              <w:rPr>
                <w:sz w:val="20"/>
                <w:szCs w:val="20"/>
                <w:color w:val="auto"/>
              </w:rPr>
            </w:pPr>
            <w:r>
              <w:rPr>
                <w:rFonts w:ascii="Arial" w:cs="Arial" w:eastAsia="Arial" w:hAnsi="Arial"/>
                <w:sz w:val="18"/>
                <w:szCs w:val="18"/>
                <w:color w:val="auto"/>
              </w:rPr>
              <w:t>Fidelity Growth Company Fund</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50,664,578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46,925,654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Fidelity Low-Priced Stock Fund</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50,900,019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46,016,158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560" w:type="dxa"/>
            <w:vAlign w:val="bottom"/>
            <w:gridSpan w:val="2"/>
          </w:tcPr>
          <w:p>
            <w:pPr>
              <w:spacing w:after="0"/>
              <w:rPr>
                <w:sz w:val="20"/>
                <w:szCs w:val="20"/>
                <w:color w:val="auto"/>
              </w:rPr>
            </w:pPr>
            <w:r>
              <w:rPr>
                <w:rFonts w:ascii="Arial" w:cs="Arial" w:eastAsia="Arial" w:hAnsi="Arial"/>
                <w:sz w:val="18"/>
                <w:szCs w:val="18"/>
                <w:color w:val="auto"/>
              </w:rPr>
              <w:t>Fidelity Magellan Fund</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41,550,184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current year balance is less than 5% of the Plan’s net assets.</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Plan’s investments (including gains and losses on investments bought and sold, as well as held during the year) appreciated in value as follows:</w:t>
      </w:r>
    </w:p>
    <w:p>
      <w:pPr>
        <w:spacing w:after="0" w:line="232" w:lineRule="exact"/>
        <w:rPr>
          <w:sz w:val="20"/>
          <w:szCs w:val="20"/>
          <w:color w:val="auto"/>
        </w:rPr>
      </w:pPr>
    </w:p>
    <w:p>
      <w:pPr>
        <w:jc w:val="center"/>
        <w:ind w:left="8140"/>
        <w:spacing w:after="0"/>
        <w:rPr>
          <w:sz w:val="20"/>
          <w:szCs w:val="20"/>
          <w:color w:val="auto"/>
        </w:rPr>
      </w:pPr>
      <w:r>
        <w:rPr>
          <w:rFonts w:ascii="Arial" w:cs="Arial" w:eastAsia="Arial" w:hAnsi="Arial"/>
          <w:sz w:val="14"/>
          <w:szCs w:val="14"/>
          <w:i w:val="1"/>
          <w:iCs w:val="1"/>
          <w:color w:val="auto"/>
        </w:rPr>
        <w:t>Year Ended</w:t>
      </w:r>
    </w:p>
    <w:p>
      <w:pPr>
        <w:jc w:val="center"/>
        <w:ind w:left="8140"/>
        <w:spacing w:after="0" w:line="231" w:lineRule="auto"/>
        <w:rPr>
          <w:sz w:val="20"/>
          <w:szCs w:val="20"/>
          <w:color w:val="auto"/>
        </w:rPr>
      </w:pPr>
      <w:r>
        <w:rPr>
          <w:rFonts w:ascii="Arial" w:cs="Arial" w:eastAsia="Arial" w:hAnsi="Arial"/>
          <w:sz w:val="14"/>
          <w:szCs w:val="14"/>
          <w:i w:val="1"/>
          <w:iCs w:val="1"/>
          <w:color w:val="auto"/>
        </w:rPr>
        <w:t>December 31,</w:t>
      </w:r>
    </w:p>
    <w:tbl>
      <w:tblPr>
        <w:tblLayout w:type="fixed"/>
        <w:tblInd w:w="0" w:type="dxa"/>
        <w:tblCellMar>
          <w:top w:w="0" w:type="dxa"/>
          <w:left w:w="0" w:type="dxa"/>
          <w:bottom w:w="0" w:type="dxa"/>
          <w:right w:w="0" w:type="dxa"/>
        </w:tblCellMar>
      </w:tblPr>
      <w:tr>
        <w:trPr>
          <w:trHeight w:val="142"/>
        </w:trPr>
        <w:tc>
          <w:tcPr>
            <w:tcW w:w="3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color w:val="auto"/>
              </w:rPr>
              <w:t>2006</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2005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5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(8,304,622)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(3,987,255)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Mutual funds</w:t>
            </w:r>
          </w:p>
        </w:tc>
        <w:tc>
          <w:tcPr>
            <w:tcW w:w="4880" w:type="dxa"/>
            <w:vAlign w:val="bottom"/>
            <w:gridSpan w:val="2"/>
          </w:tcPr>
          <w:p>
            <w:pPr>
              <w:jc w:val="right"/>
              <w:spacing w:after="0"/>
              <w:rPr>
                <w:sz w:val="20"/>
                <w:szCs w:val="20"/>
                <w:color w:val="auto"/>
              </w:rPr>
            </w:pPr>
            <w:r>
              <w:rPr>
                <w:rFonts w:ascii="Arial" w:cs="Arial" w:eastAsia="Arial" w:hAnsi="Arial"/>
                <w:sz w:val="18"/>
                <w:szCs w:val="18"/>
                <w:color w:val="auto"/>
              </w:rPr>
              <w:t>20,873,831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12,313,619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Bonds</w:t>
            </w: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Others</w:t>
            </w:r>
          </w:p>
        </w:tc>
        <w:tc>
          <w:tcPr>
            <w:tcW w:w="39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161,596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(20,417)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appreciation in fair value of investments</w:t>
            </w: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12,734,153</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8,301,457</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980" w:type="dxa"/>
            <w:vAlign w:val="bottom"/>
            <w:vMerge w:val="restart"/>
          </w:tcPr>
          <w:p>
            <w:pPr>
              <w:jc w:val="right"/>
              <w:ind w:right="2690"/>
              <w:spacing w:after="0"/>
              <w:rPr>
                <w:sz w:val="20"/>
                <w:szCs w:val="20"/>
                <w:color w:val="auto"/>
              </w:rPr>
            </w:pPr>
            <w:r>
              <w:rPr>
                <w:rFonts w:ascii="Arial" w:cs="Arial" w:eastAsia="Arial" w:hAnsi="Arial"/>
                <w:sz w:val="18"/>
                <w:szCs w:val="18"/>
                <w:color w:val="auto"/>
              </w:rPr>
              <w:t>11</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Borders>
              <w:bottom w:val="single" w:sz="8" w:color="808080"/>
            </w:tcBorders>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ANALOG DEVICES, INC.</w:t>
      </w:r>
    </w:p>
    <w:p>
      <w:pPr>
        <w:spacing w:after="0" w:line="333" w:lineRule="exact"/>
        <w:rPr>
          <w:sz w:val="20"/>
          <w:szCs w:val="20"/>
          <w:color w:val="auto"/>
        </w:rPr>
      </w:pPr>
    </w:p>
    <w:p>
      <w:pPr>
        <w:jc w:val="right"/>
        <w:ind w:right="2859"/>
        <w:spacing w:after="0"/>
        <w:rPr>
          <w:sz w:val="20"/>
          <w:szCs w:val="20"/>
          <w:color w:val="auto"/>
        </w:rPr>
      </w:pPr>
      <w:r>
        <w:rPr>
          <w:rFonts w:ascii="Arial" w:cs="Arial" w:eastAsia="Arial" w:hAnsi="Arial"/>
          <w:sz w:val="18"/>
          <w:szCs w:val="18"/>
          <w:color w:val="auto"/>
        </w:rPr>
        <w:t>THE INVESTMENT PARTNERSHIP PLAN</w:t>
      </w:r>
    </w:p>
    <w:p>
      <w:pPr>
        <w:spacing w:after="0" w:line="33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SUPPLEMENTAL SCHEDULE</w:t>
      </w:r>
    </w:p>
    <w:p>
      <w:pPr>
        <w:spacing w:after="0" w:line="33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DECEMBER 31, 2006</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NO: 04-2348234 PLAN NO: 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H-LINE 4i — SCHEDULE OF ASSETS (HELD AT END OF YEAR)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color w:val="auto"/>
                <w:w w:val="94"/>
              </w:rPr>
              <w:t>Current</w:t>
            </w:r>
          </w:p>
        </w:tc>
      </w:tr>
      <w:tr>
        <w:trPr>
          <w:trHeight w:val="167"/>
        </w:trPr>
        <w:tc>
          <w:tcPr>
            <w:tcW w:w="8640" w:type="dxa"/>
            <w:vAlign w:val="bottom"/>
          </w:tcPr>
          <w:p>
            <w:pPr>
              <w:spacing w:after="0"/>
              <w:rPr>
                <w:sz w:val="14"/>
                <w:szCs w:val="14"/>
                <w:color w:val="auto"/>
              </w:rPr>
            </w:pPr>
          </w:p>
        </w:tc>
        <w:tc>
          <w:tcPr>
            <w:tcW w:w="1660" w:type="dxa"/>
            <w:vAlign w:val="bottom"/>
            <w:gridSpan w:val="2"/>
          </w:tcPr>
          <w:p>
            <w:pPr>
              <w:ind w:left="32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color w:val="auto"/>
                <w:w w:val="89"/>
              </w:rPr>
              <w:t>Value</w:t>
            </w: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Investment:</w:t>
            </w:r>
          </w:p>
        </w:tc>
        <w:tc>
          <w:tcPr>
            <w:tcW w:w="10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Income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133,130,425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133,130,425</w:t>
            </w:r>
          </w:p>
        </w:tc>
        <w:tc>
          <w:tcPr>
            <w:tcW w:w="80" w:type="dxa"/>
            <w:vAlign w:val="bottom"/>
          </w:tcPr>
          <w:p>
            <w:pPr>
              <w:spacing w:after="0"/>
              <w:rPr>
                <w:sz w:val="18"/>
                <w:szCs w:val="18"/>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Diversified International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798,613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29,508,763</w:t>
            </w:r>
          </w:p>
        </w:tc>
        <w:tc>
          <w:tcPr>
            <w:tcW w:w="80" w:type="dxa"/>
            <w:vAlign w:val="bottom"/>
            <w:shd w:val="clear" w:color="auto" w:fill="CCEEFF"/>
          </w:tcPr>
          <w:p>
            <w:pPr>
              <w:spacing w:after="0"/>
              <w:rPr>
                <w:sz w:val="18"/>
                <w:szCs w:val="18"/>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Equity Income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1,041,365</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60,971,905</w:t>
            </w:r>
          </w:p>
        </w:tc>
        <w:tc>
          <w:tcPr>
            <w:tcW w:w="80" w:type="dxa"/>
            <w:vAlign w:val="bottom"/>
          </w:tcPr>
          <w:p>
            <w:pPr>
              <w:spacing w:after="0"/>
              <w:rPr>
                <w:sz w:val="18"/>
                <w:szCs w:val="18"/>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Income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260,826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3,009,933</w:t>
            </w:r>
          </w:p>
        </w:tc>
        <w:tc>
          <w:tcPr>
            <w:tcW w:w="80" w:type="dxa"/>
            <w:vAlign w:val="bottom"/>
            <w:shd w:val="clear" w:color="auto" w:fill="CCEEFF"/>
          </w:tcPr>
          <w:p>
            <w:pPr>
              <w:spacing w:after="0"/>
              <w:rPr>
                <w:sz w:val="18"/>
                <w:szCs w:val="18"/>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2000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150,649</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1,877,085</w:t>
            </w:r>
          </w:p>
        </w:tc>
        <w:tc>
          <w:tcPr>
            <w:tcW w:w="80" w:type="dxa"/>
            <w:vAlign w:val="bottom"/>
          </w:tcPr>
          <w:p>
            <w:pPr>
              <w:spacing w:after="0"/>
              <w:rPr>
                <w:sz w:val="18"/>
                <w:szCs w:val="18"/>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2005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23,634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274,387</w:t>
            </w:r>
          </w:p>
        </w:tc>
        <w:tc>
          <w:tcPr>
            <w:tcW w:w="80" w:type="dxa"/>
            <w:vAlign w:val="bottom"/>
            <w:shd w:val="clear" w:color="auto" w:fill="CCEEFF"/>
          </w:tcPr>
          <w:p>
            <w:pPr>
              <w:spacing w:after="0"/>
              <w:rPr>
                <w:sz w:val="18"/>
                <w:szCs w:val="18"/>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2010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821,439</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12,009,437</w:t>
            </w:r>
          </w:p>
        </w:tc>
        <w:tc>
          <w:tcPr>
            <w:tcW w:w="80" w:type="dxa"/>
            <w:vAlign w:val="bottom"/>
          </w:tcPr>
          <w:p>
            <w:pPr>
              <w:spacing w:after="0"/>
              <w:rPr>
                <w:sz w:val="18"/>
                <w:szCs w:val="18"/>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2015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109,794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1,339,483</w:t>
            </w:r>
          </w:p>
        </w:tc>
        <w:tc>
          <w:tcPr>
            <w:tcW w:w="80" w:type="dxa"/>
            <w:vAlign w:val="bottom"/>
            <w:shd w:val="clear" w:color="auto" w:fill="CCEEFF"/>
          </w:tcPr>
          <w:p>
            <w:pPr>
              <w:spacing w:after="0"/>
              <w:rPr>
                <w:sz w:val="18"/>
                <w:szCs w:val="18"/>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2020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747,629</w:t>
            </w:r>
          </w:p>
        </w:tc>
        <w:tc>
          <w:tcPr>
            <w:tcW w:w="1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11,610,683</w:t>
            </w: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2025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120,829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1,542,988</w:t>
            </w:r>
          </w:p>
        </w:tc>
        <w:tc>
          <w:tcPr>
            <w:tcW w:w="80" w:type="dxa"/>
            <w:vAlign w:val="bottom"/>
            <w:shd w:val="clear" w:color="auto" w:fill="CCEEFF"/>
          </w:tcPr>
          <w:p>
            <w:pPr>
              <w:spacing w:after="0"/>
              <w:rPr>
                <w:sz w:val="18"/>
                <w:szCs w:val="18"/>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2030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997,425</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15,988,719</w:t>
            </w:r>
          </w:p>
        </w:tc>
        <w:tc>
          <w:tcPr>
            <w:tcW w:w="80" w:type="dxa"/>
            <w:vAlign w:val="bottom"/>
          </w:tcPr>
          <w:p>
            <w:pPr>
              <w:spacing w:after="0"/>
              <w:rPr>
                <w:sz w:val="18"/>
                <w:szCs w:val="18"/>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2035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125,539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1,655,865</w:t>
            </w:r>
          </w:p>
        </w:tc>
        <w:tc>
          <w:tcPr>
            <w:tcW w:w="80" w:type="dxa"/>
            <w:vAlign w:val="bottom"/>
            <w:shd w:val="clear" w:color="auto" w:fill="CCEEFF"/>
          </w:tcPr>
          <w:p>
            <w:pPr>
              <w:spacing w:after="0"/>
              <w:rPr>
                <w:sz w:val="18"/>
                <w:szCs w:val="18"/>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2040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524,391</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4,971,231</w:t>
            </w:r>
          </w:p>
        </w:tc>
        <w:tc>
          <w:tcPr>
            <w:tcW w:w="80" w:type="dxa"/>
            <w:vAlign w:val="bottom"/>
          </w:tcPr>
          <w:p>
            <w:pPr>
              <w:spacing w:after="0"/>
              <w:rPr>
                <w:sz w:val="18"/>
                <w:szCs w:val="18"/>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Growth Company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726,791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50,664,578</w:t>
            </w:r>
          </w:p>
        </w:tc>
        <w:tc>
          <w:tcPr>
            <w:tcW w:w="80" w:type="dxa"/>
            <w:vAlign w:val="bottom"/>
            <w:shd w:val="clear" w:color="auto" w:fill="CCEEFF"/>
          </w:tcPr>
          <w:p>
            <w:pPr>
              <w:spacing w:after="0"/>
              <w:rPr>
                <w:sz w:val="18"/>
                <w:szCs w:val="18"/>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Growth &amp; Income Portfolio</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586,013</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18,254,320</w:t>
            </w:r>
          </w:p>
        </w:tc>
        <w:tc>
          <w:tcPr>
            <w:tcW w:w="80" w:type="dxa"/>
            <w:vAlign w:val="bottom"/>
          </w:tcPr>
          <w:p>
            <w:pPr>
              <w:spacing w:after="0"/>
              <w:rPr>
                <w:sz w:val="18"/>
                <w:szCs w:val="18"/>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Low-Priced Stock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1,169,040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50,900,019</w:t>
            </w:r>
          </w:p>
        </w:tc>
        <w:tc>
          <w:tcPr>
            <w:tcW w:w="80" w:type="dxa"/>
            <w:vAlign w:val="bottom"/>
            <w:shd w:val="clear" w:color="auto" w:fill="CCEEFF"/>
          </w:tcPr>
          <w:p>
            <w:pPr>
              <w:spacing w:after="0"/>
              <w:rPr>
                <w:sz w:val="18"/>
                <w:szCs w:val="18"/>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Magellan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418,828</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37,493,482</w:t>
            </w:r>
          </w:p>
        </w:tc>
        <w:tc>
          <w:tcPr>
            <w:tcW w:w="80" w:type="dxa"/>
            <w:vAlign w:val="bottom"/>
          </w:tcPr>
          <w:p>
            <w:pPr>
              <w:spacing w:after="0"/>
              <w:rPr>
                <w:sz w:val="18"/>
                <w:szCs w:val="18"/>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U.S. Bond Index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2,239,883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24,325,128</w:t>
            </w:r>
          </w:p>
        </w:tc>
        <w:tc>
          <w:tcPr>
            <w:tcW w:w="80" w:type="dxa"/>
            <w:vAlign w:val="bottom"/>
            <w:shd w:val="clear" w:color="auto" w:fill="CCEEFF"/>
          </w:tcPr>
          <w:p>
            <w:pPr>
              <w:spacing w:after="0"/>
              <w:rPr>
                <w:sz w:val="18"/>
                <w:szCs w:val="18"/>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U.S. Equity Index Commingled Pool</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520,134</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23,619,291</w:t>
            </w:r>
          </w:p>
        </w:tc>
        <w:tc>
          <w:tcPr>
            <w:tcW w:w="80" w:type="dxa"/>
            <w:vAlign w:val="bottom"/>
          </w:tcPr>
          <w:p>
            <w:pPr>
              <w:spacing w:after="0"/>
              <w:rPr>
                <w:sz w:val="18"/>
                <w:szCs w:val="18"/>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Calamos Growth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158,010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8,516,736</w:t>
            </w:r>
          </w:p>
        </w:tc>
        <w:tc>
          <w:tcPr>
            <w:tcW w:w="80" w:type="dxa"/>
            <w:vAlign w:val="bottom"/>
            <w:shd w:val="clear" w:color="auto" w:fill="CCEEFF"/>
          </w:tcPr>
          <w:p>
            <w:pPr>
              <w:spacing w:after="0"/>
              <w:rPr>
                <w:sz w:val="18"/>
                <w:szCs w:val="18"/>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Hotchkis and Wiley Mid-Cap Value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855,460</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25,535,481</w:t>
            </w:r>
          </w:p>
        </w:tc>
        <w:tc>
          <w:tcPr>
            <w:tcW w:w="80" w:type="dxa"/>
            <w:vAlign w:val="bottom"/>
          </w:tcPr>
          <w:p>
            <w:pPr>
              <w:spacing w:after="0"/>
              <w:rPr>
                <w:sz w:val="18"/>
                <w:szCs w:val="18"/>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Royce Low-Priced Stock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703,571</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11,841,101</w:t>
            </w: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Templeton Foreign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1,570,662</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21,423,829</w:t>
            </w:r>
          </w:p>
        </w:tc>
        <w:tc>
          <w:tcPr>
            <w:tcW w:w="80" w:type="dxa"/>
            <w:vAlign w:val="bottom"/>
          </w:tcPr>
          <w:p>
            <w:pPr>
              <w:spacing w:after="0"/>
              <w:rPr>
                <w:sz w:val="18"/>
                <w:szCs w:val="18"/>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Spartan International Index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273,972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12,093,144</w:t>
            </w:r>
          </w:p>
        </w:tc>
        <w:tc>
          <w:tcPr>
            <w:tcW w:w="80" w:type="dxa"/>
            <w:vAlign w:val="bottom"/>
            <w:shd w:val="clear" w:color="auto" w:fill="CCEEFF"/>
          </w:tcPr>
          <w:p>
            <w:pPr>
              <w:spacing w:after="0"/>
              <w:rPr>
                <w:sz w:val="18"/>
                <w:szCs w:val="18"/>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Vanguard Mid-Cap Index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601,164</w:t>
            </w:r>
          </w:p>
        </w:tc>
        <w:tc>
          <w:tcPr>
            <w:tcW w:w="1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11,891,017</w:t>
            </w: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Vanguard Short-Term Bond Index Fund</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420,342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4,157,189</w:t>
            </w:r>
          </w:p>
        </w:tc>
        <w:tc>
          <w:tcPr>
            <w:tcW w:w="80" w:type="dxa"/>
            <w:vAlign w:val="bottom"/>
            <w:shd w:val="clear" w:color="auto" w:fill="CCEEFF"/>
          </w:tcPr>
          <w:p>
            <w:pPr>
              <w:spacing w:after="0"/>
              <w:rPr>
                <w:sz w:val="18"/>
                <w:szCs w:val="18"/>
                <w:color w:val="auto"/>
              </w:rPr>
            </w:pPr>
          </w:p>
        </w:tc>
      </w:tr>
      <w:tr>
        <w:trPr>
          <w:trHeight w:val="216"/>
        </w:trPr>
        <w:tc>
          <w:tcPr>
            <w:tcW w:w="8640" w:type="dxa"/>
            <w:vAlign w:val="bottom"/>
          </w:tcPr>
          <w:p>
            <w:pPr>
              <w:ind w:left="220"/>
              <w:spacing w:after="0"/>
              <w:rPr>
                <w:sz w:val="20"/>
                <w:szCs w:val="20"/>
                <w:color w:val="auto"/>
              </w:rPr>
            </w:pPr>
            <w:r>
              <w:rPr>
                <w:rFonts w:ascii="Arial" w:cs="Arial" w:eastAsia="Arial" w:hAnsi="Arial"/>
                <w:sz w:val="18"/>
                <w:szCs w:val="18"/>
                <w:color w:val="auto"/>
              </w:rPr>
              <w:t>Vanguard Small-Cap Index Fund</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159,305</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5,196,534</w:t>
            </w:r>
          </w:p>
        </w:tc>
        <w:tc>
          <w:tcPr>
            <w:tcW w:w="80" w:type="dxa"/>
            <w:vAlign w:val="bottom"/>
          </w:tcPr>
          <w:p>
            <w:pPr>
              <w:spacing w:after="0"/>
              <w:rPr>
                <w:sz w:val="18"/>
                <w:szCs w:val="18"/>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Participants Self-Directed Brokerage Accounts</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71,141,916</w:t>
            </w:r>
          </w:p>
        </w:tc>
        <w:tc>
          <w:tcPr>
            <w:tcW w:w="80" w:type="dxa"/>
            <w:vAlign w:val="bottom"/>
            <w:shd w:val="clear" w:color="auto" w:fill="CCEEFF"/>
          </w:tcPr>
          <w:p>
            <w:pPr>
              <w:spacing w:after="0"/>
              <w:rPr>
                <w:sz w:val="18"/>
                <w:szCs w:val="18"/>
                <w:color w:val="auto"/>
              </w:rPr>
            </w:pPr>
          </w:p>
        </w:tc>
      </w:tr>
      <w:tr>
        <w:trPr>
          <w:trHeight w:val="223"/>
        </w:trPr>
        <w:tc>
          <w:tcPr>
            <w:tcW w:w="8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654,944,669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8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Analog Devices, Inc. Common Stock Fund:</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40" w:type="dxa"/>
            <w:vAlign w:val="bottom"/>
          </w:tcPr>
          <w:p>
            <w:pPr>
              <w:ind w:left="420"/>
              <w:spacing w:after="0"/>
              <w:rPr>
                <w:sz w:val="20"/>
                <w:szCs w:val="20"/>
                <w:color w:val="auto"/>
              </w:rPr>
            </w:pPr>
            <w:r>
              <w:rPr>
                <w:rFonts w:ascii="Arial" w:cs="Arial" w:eastAsia="Arial" w:hAnsi="Arial"/>
                <w:sz w:val="18"/>
                <w:szCs w:val="18"/>
                <w:color w:val="auto"/>
              </w:rPr>
              <w:t>Analog Devices Inc. Common Stock</w:t>
            </w:r>
            <w:r>
              <w:rPr>
                <w:rFonts w:ascii="Arial" w:cs="Arial" w:eastAsia="Arial" w:hAnsi="Arial"/>
                <w:sz w:val="15"/>
                <w:szCs w:val="15"/>
                <w:color w:val="auto"/>
              </w:rPr>
              <w:t>(1)</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3,651,687</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120,030,952</w:t>
            </w:r>
          </w:p>
        </w:tc>
        <w:tc>
          <w:tcPr>
            <w:tcW w:w="80" w:type="dxa"/>
            <w:vAlign w:val="bottom"/>
          </w:tcPr>
          <w:p>
            <w:pPr>
              <w:spacing w:after="0"/>
              <w:rPr>
                <w:sz w:val="18"/>
                <w:szCs w:val="18"/>
                <w:color w:val="auto"/>
              </w:rPr>
            </w:pPr>
          </w:p>
        </w:tc>
      </w:tr>
      <w:tr>
        <w:trPr>
          <w:trHeight w:val="216"/>
        </w:trPr>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Institutional Cash Portfolio — Money Market Portfolio</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5,830,304</w:t>
            </w:r>
          </w:p>
        </w:tc>
        <w:tc>
          <w:tcPr>
            <w:tcW w:w="80" w:type="dxa"/>
            <w:vAlign w:val="bottom"/>
            <w:shd w:val="clear" w:color="auto" w:fill="CCEEFF"/>
          </w:tcPr>
          <w:p>
            <w:pPr>
              <w:spacing w:after="0"/>
              <w:rPr>
                <w:sz w:val="18"/>
                <w:szCs w:val="18"/>
                <w:color w:val="auto"/>
              </w:rPr>
            </w:pPr>
          </w:p>
        </w:tc>
      </w:tr>
      <w:tr>
        <w:trPr>
          <w:trHeight w:val="223"/>
        </w:trPr>
        <w:tc>
          <w:tcPr>
            <w:tcW w:w="8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125,861,256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86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8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780,805,925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
        </w:trPr>
        <w:tc>
          <w:tcPr>
            <w:tcW w:w="8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8640" w:type="dxa"/>
            <w:vAlign w:val="bottom"/>
          </w:tcPr>
          <w:p>
            <w:pPr>
              <w:ind w:left="220"/>
              <w:spacing w:after="0"/>
              <w:rPr>
                <w:sz w:val="20"/>
                <w:szCs w:val="20"/>
                <w:color w:val="auto"/>
              </w:rPr>
            </w:pPr>
            <w:r>
              <w:rPr>
                <w:rFonts w:ascii="Arial" w:cs="Arial" w:eastAsia="Arial" w:hAnsi="Arial"/>
                <w:sz w:val="18"/>
                <w:szCs w:val="18"/>
                <w:color w:val="auto"/>
              </w:rPr>
              <w:t xml:space="preserve">Participant Loans Receivable </w:t>
            </w:r>
            <w:r>
              <w:rPr>
                <w:rFonts w:ascii="Arial" w:cs="Arial" w:eastAsia="Arial" w:hAnsi="Arial"/>
                <w:sz w:val="15"/>
                <w:szCs w:val="15"/>
                <w:color w:val="auto"/>
              </w:rPr>
              <w:t>(1) (2)</w:t>
            </w:r>
          </w:p>
        </w:tc>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9,468,752</w:t>
            </w:r>
          </w:p>
        </w:tc>
        <w:tc>
          <w:tcPr>
            <w:tcW w:w="80" w:type="dxa"/>
            <w:vAlign w:val="bottom"/>
          </w:tcPr>
          <w:p>
            <w:pPr>
              <w:spacing w:after="0"/>
              <w:rPr>
                <w:sz w:val="24"/>
                <w:szCs w:val="24"/>
                <w:color w:val="auto"/>
              </w:rPr>
            </w:pPr>
          </w:p>
        </w:tc>
      </w:tr>
      <w:tr>
        <w:trPr>
          <w:trHeight w:val="20"/>
        </w:trPr>
        <w:tc>
          <w:tcPr>
            <w:tcW w:w="8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240" w:hanging="232"/>
        <w:spacing w:after="0"/>
        <w:tabs>
          <w:tab w:leader="none" w:pos="240" w:val="left"/>
        </w:tabs>
        <w:numPr>
          <w:ilvl w:val="0"/>
          <w:numId w:val="13"/>
        </w:numPr>
        <w:rPr>
          <w:rFonts w:ascii="Arial" w:cs="Arial" w:eastAsia="Arial" w:hAnsi="Arial"/>
          <w:sz w:val="15"/>
          <w:szCs w:val="15"/>
          <w:color w:val="auto"/>
        </w:rPr>
      </w:pPr>
      <w:r>
        <w:rPr>
          <w:rFonts w:ascii="Arial" w:cs="Arial" w:eastAsia="Arial" w:hAnsi="Arial"/>
          <w:sz w:val="18"/>
          <w:szCs w:val="18"/>
          <w:color w:val="auto"/>
        </w:rPr>
        <w:t>Indicates party-in-interest to the Plan.</w:t>
      </w:r>
    </w:p>
    <w:p>
      <w:pPr>
        <w:spacing w:after="0" w:line="76" w:lineRule="exact"/>
        <w:rPr>
          <w:rFonts w:ascii="Arial" w:cs="Arial" w:eastAsia="Arial" w:hAnsi="Arial"/>
          <w:sz w:val="15"/>
          <w:szCs w:val="15"/>
          <w:color w:val="auto"/>
        </w:rPr>
      </w:pPr>
    </w:p>
    <w:p>
      <w:pPr>
        <w:ind w:left="240" w:hanging="232"/>
        <w:spacing w:after="0"/>
        <w:tabs>
          <w:tab w:leader="none" w:pos="240" w:val="left"/>
        </w:tabs>
        <w:numPr>
          <w:ilvl w:val="0"/>
          <w:numId w:val="13"/>
        </w:numPr>
        <w:rPr>
          <w:rFonts w:ascii="Arial" w:cs="Arial" w:eastAsia="Arial" w:hAnsi="Arial"/>
          <w:sz w:val="14"/>
          <w:szCs w:val="14"/>
          <w:color w:val="auto"/>
        </w:rPr>
      </w:pPr>
      <w:r>
        <w:rPr>
          <w:rFonts w:ascii="Arial" w:cs="Arial" w:eastAsia="Arial" w:hAnsi="Arial"/>
          <w:sz w:val="17"/>
          <w:szCs w:val="17"/>
          <w:color w:val="auto"/>
        </w:rPr>
        <w:t>The loan account at December 31, 2006 bears interest at rates ranging from 3.5% to 10.00%, with terms ranging from less than 1 year to 20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Note: Cost information has not been included because all investments are participant-directed.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by the undersigned hereunto duly authorized.</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u w:val="single" w:color="auto"/>
          <w:color w:val="auto"/>
        </w:rPr>
        <w:t>THE INVESTMENT PARTNERSHIP PLAN</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(the Plan)</w:t>
      </w:r>
    </w:p>
    <w:p>
      <w:pPr>
        <w:spacing w:after="0" w:line="2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 /s/ Joseph E. McDonough</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Joseph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-130810</wp:posOffset>
            </wp:positionV>
            <wp:extent cx="29159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Vice President-Finance and Chief Financial Officer of</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Analog Devices, Inc. and Member of The Investment</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Partnership Plan Administration Committee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June 27, 2007</w:t>
      </w:r>
    </w:p>
    <w:p>
      <w:pPr>
        <w:spacing w:after="0" w:line="1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19" w:right="4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Statements (Form S-8 Nos. 33-2502, 2-95495, 33-43128, and 333-08493) pertaining to the Analog Devices, Inc. The Investment Partnership Plan of our report, dated June 25, 2007, with respect to the financial statements and schedule of the Analog Devices Inc. The Investment Partnership Plan included in this Annual Report (Form 11-K) for the year ended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251460</wp:posOffset>
            </wp:positionV>
            <wp:extent cx="2341245" cy="6343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4124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25, 2007</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5"/>
    </w:lvl>
  </w:abstractNum>
  <w:abstractNum w:abstractNumId="6">
    <w:nsid w:val="4DB127F8"/>
    <w:multiLevelType w:val="hybridMultilevel"/>
    <w:lvl w:ilvl="0">
      <w:lvlJc w:val="left"/>
      <w:lvlText w:val="(%1)"/>
      <w:numFmt w:val="lowerRoman"/>
      <w:start w:val="1"/>
    </w:lvl>
  </w:abstractNum>
  <w:abstractNum w:abstractNumId="7">
    <w:nsid w:val="216231B"/>
    <w:multiLevelType w:val="hybridMultilevel"/>
    <w:lvl w:ilvl="0">
      <w:lvlJc w:val="left"/>
      <w:lvlText w:val="%1."/>
      <w:numFmt w:val="decimal"/>
      <w:start w:val="6"/>
    </w:lvl>
  </w:abstractNum>
  <w:abstractNum w:abstractNumId="8">
    <w:nsid w:val="1F16E9E8"/>
    <w:multiLevelType w:val="hybridMultilevel"/>
    <w:lvl w:ilvl="0">
      <w:lvlJc w:val="left"/>
      <w:lvlText w:val="%1"/>
      <w:numFmt w:val="upperLetter"/>
      <w:start w:val="1"/>
    </w:lvl>
    <w:lvl w:ilvl="1">
      <w:lvlJc w:val="left"/>
      <w:lvlText w:val="%2."/>
      <w:numFmt w:val="decimal"/>
      <w:start w:val="9"/>
    </w:lvl>
  </w:abstractNum>
  <w:abstractNum w:abstractNumId="9">
    <w:nsid w:val="1190CDE7"/>
    <w:multiLevelType w:val="hybridMultilevel"/>
    <w:lvl w:ilvl="0">
      <w:lvlJc w:val="left"/>
      <w:lvlText w:val="%1."/>
      <w:numFmt w:val="upperLetter"/>
      <w:start w:val="2"/>
    </w:lvl>
    <w:lvl w:ilvl="1">
      <w:lvlJc w:val="left"/>
      <w:lvlText w:val="%2."/>
      <w:numFmt w:val="decimal"/>
      <w:start w:val="1"/>
    </w:lvl>
  </w:abstractNum>
  <w:abstractNum w:abstractNumId="10">
    <w:nsid w:val="66EF438D"/>
    <w:multiLevelType w:val="hybridMultilevel"/>
    <w:lvl w:ilvl="0">
      <w:lvlJc w:val="left"/>
      <w:lvlText w:val="%1."/>
      <w:numFmt w:val="decimal"/>
      <w:start w:val="5"/>
    </w:lvl>
  </w:abstractNum>
  <w:abstractNum w:abstractNumId="11">
    <w:nsid w:val="140E0F76"/>
    <w:multiLevelType w:val="hybridMultilevel"/>
    <w:lvl w:ilvl="0">
      <w:lvlJc w:val="left"/>
      <w:lvlText w:val="%1."/>
      <w:numFmt w:val="decimal"/>
      <w:start w:val="7"/>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2019-12-11T16:28:42Z</dcterms:created>
  <dcterms:modified xsi:type="dcterms:W3CDTF">2019-12-11T16:28:42Z</dcterms:modified>
</cp:coreProperties>
</file>