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7"/>
          <w:szCs w:val="17"/>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424"/>
        <w:spacing w:after="0"/>
        <w:rPr>
          <w:sz w:val="20"/>
          <w:szCs w:val="20"/>
          <w:color w:val="auto"/>
        </w:rPr>
      </w:pPr>
      <w:r>
        <w:rPr>
          <w:rFonts w:ascii="Times New Roman" w:cs="Times New Roman" w:eastAsia="Times New Roman" w:hAnsi="Times New Roman"/>
          <w:sz w:val="17"/>
          <w:szCs w:val="17"/>
          <w:b w:val="1"/>
          <w:bCs w:val="1"/>
          <w:color w:val="auto"/>
        </w:rPr>
        <w:t>One Analog Way, Wilmington,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01887</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800"/>
          </w:cols>
          <w:pgMar w:left="440" w:top="293" w:right="459" w:bottom="1440" w:gutter="0" w:footer="0" w:header="0"/>
        </w:sect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On November 17, 2024, Gregory Bryant notified Analog Devices, Inc. (the “Company”) of his decision to resign as Executive Vice President and President of Business Units of the Company to explore other opportunities, effective upon the appointment of his replacement by the Company’s Board of Directors (the “Board”). Mr. Bryant will remain employed by the Company through March 31, 2025, to assist in the transition of his role and responsibilities.</w:t>
      </w:r>
    </w:p>
    <w:p>
      <w:pPr>
        <w:spacing w:after="0" w:line="180"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Mr. Bryant’s decision to resign does not relate to any disagreement with the Company or its Board on any matter relating to the Company’s operations, policies, practices, or financial performance.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Following Mr. Bryant’s resignation, on November 19, 2024, the Board appointed Martin Cotter as Senior Vice President, Vertical Business Units, effective as of December 1, 2024. In this role, Mr. Cotter will have oversight of the Company’s vertical business units. Mr. Cotter currently serves as the Company’s President of EMEA and Senior Vice President of Industrial &amp; Multi Markets Business Unit, and prior to that he served in roles of increasing responsibility at the Company for over 35 years.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shall not be deemed to be “filed” for purposes of Section 18 of the Securities Exchange Act of 1934, as amended, or otherwise subject to the liabilities of that section. The information contained in this Item 7.01 shall not be incorporated into any registration statement or other document filed by the Company with the U.S. Securities and Exchange Commission under the Securities Act of 1933, whether made before or after the date hereof, regardless of any general incorporation language in such filing, except as shall be expressly set forth by specific reference in such filing.</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20, 2024</w:t>
            </w:r>
          </w:p>
        </w:tc>
        <w:tc>
          <w:tcPr>
            <w:tcW w:w="7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Janene I. Asgeirsson</w:t>
            </w:r>
          </w:p>
        </w:tc>
      </w:tr>
      <w:tr>
        <w:trPr>
          <w:trHeight w:val="205"/>
        </w:trPr>
        <w:tc>
          <w:tcPr>
            <w:tcW w:w="3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Janene I. Asgeirsson</w:t>
            </w:r>
          </w:p>
        </w:tc>
      </w:tr>
      <w:tr>
        <w:trPr>
          <w:trHeight w:val="216"/>
        </w:trPr>
        <w:tc>
          <w:tcPr>
            <w:tcW w:w="3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Legal Officer and Corporate</w:t>
            </w:r>
          </w:p>
        </w:tc>
      </w:tr>
      <w:tr>
        <w:trPr>
          <w:trHeight w:val="234"/>
        </w:trPr>
        <w:tc>
          <w:tcPr>
            <w:tcW w:w="3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2024-11-20T15:16:13Z</dcterms:created>
  <dcterms:modified xsi:type="dcterms:W3CDTF">2024-11-20T15:16:13Z</dcterms:modified>
</cp:coreProperties>
</file>