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Form 11-K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0" w:lineRule="exact"/>
        <w:rPr>
          <w:sz w:val="24"/>
          <w:szCs w:val="24"/>
          <w:color w:val="auto"/>
        </w:rPr>
      </w:pPr>
    </w:p>
    <w:p>
      <w:pPr>
        <w:ind w:left="460" w:hanging="452"/>
        <w:spacing w:after="0" w:line="237"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ANNUAL REPORT PURSUANT TO SECTION 15 (d) OF THE SECURITIES EXCHANGE ACT OF 1934 (NO FEE REQUIRED)</w:t>
      </w:r>
    </w:p>
    <w:p>
      <w:pPr>
        <w:spacing w:after="0" w:line="138"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For the fiscal year ended December 31, 2011</w:t>
      </w:r>
    </w:p>
    <w:p>
      <w:pPr>
        <w:spacing w:after="0" w:line="171"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OR</w:t>
      </w:r>
    </w:p>
    <w:p>
      <w:pPr>
        <w:spacing w:after="0" w:line="199"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21"/>
          <w:szCs w:val="21"/>
          <w:color w:val="auto"/>
        </w:rPr>
      </w:pPr>
      <w:r>
        <w:rPr>
          <w:rFonts w:ascii="Arial" w:cs="Arial" w:eastAsia="Arial" w:hAnsi="Arial"/>
          <w:sz w:val="21"/>
          <w:szCs w:val="21"/>
          <w:b w:val="1"/>
          <w:bCs w:val="1"/>
          <w:color w:val="auto"/>
        </w:rPr>
        <w:t>TRANSITION REPORT PURSUANT TO SECTION 15 (d) OF THE SECURITIES EXCHANGE ACT OF 1934 (NO</w:t>
      </w:r>
    </w:p>
    <w:p>
      <w:pPr>
        <w:spacing w:after="0" w:line="25" w:lineRule="exact"/>
        <w:rPr>
          <w:rFonts w:ascii="MS PGothic" w:cs="MS PGothic" w:eastAsia="MS PGothic" w:hAnsi="MS PGothic"/>
          <w:sz w:val="21"/>
          <w:szCs w:val="21"/>
          <w:color w:val="auto"/>
        </w:rPr>
      </w:pPr>
    </w:p>
    <w:p>
      <w:pPr>
        <w:ind w:left="460"/>
        <w:spacing w:after="0"/>
        <w:rPr>
          <w:rFonts w:ascii="MS PGothic" w:cs="MS PGothic" w:eastAsia="MS PGothic" w:hAnsi="MS PGothic"/>
          <w:sz w:val="21"/>
          <w:szCs w:val="21"/>
          <w:color w:val="auto"/>
        </w:rPr>
      </w:pPr>
      <w:r>
        <w:rPr>
          <w:rFonts w:ascii="Arial" w:cs="Arial" w:eastAsia="Arial" w:hAnsi="Arial"/>
          <w:sz w:val="22"/>
          <w:szCs w:val="22"/>
          <w:b w:val="1"/>
          <w:bCs w:val="1"/>
          <w:color w:val="auto"/>
        </w:rPr>
        <w:t>FEE REQUIRED)</w:t>
      </w:r>
    </w:p>
    <w:p>
      <w:pPr>
        <w:spacing w:after="0" w:line="141" w:lineRule="exact"/>
        <w:rPr>
          <w:sz w:val="24"/>
          <w:szCs w:val="24"/>
          <w:color w:val="auto"/>
        </w:rPr>
      </w:pPr>
    </w:p>
    <w:p>
      <w:pPr>
        <w:ind w:left="460"/>
        <w:spacing w:after="0"/>
        <w:tabs>
          <w:tab w:leader="none" w:pos="36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171"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Commission file number 1-7819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7"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ANALOG DEVICES, INC.</w:t>
      </w:r>
    </w:p>
    <w:p>
      <w:pPr>
        <w:spacing w:after="0" w:line="55" w:lineRule="exact"/>
        <w:rPr>
          <w:sz w:val="24"/>
          <w:szCs w:val="24"/>
          <w:color w:val="auto"/>
        </w:rPr>
      </w:pPr>
    </w:p>
    <w:p>
      <w:pPr>
        <w:jc w:val="center"/>
        <w:ind w:right="-99"/>
        <w:spacing w:after="0"/>
        <w:rPr>
          <w:sz w:val="20"/>
          <w:szCs w:val="20"/>
          <w:color w:val="auto"/>
        </w:rPr>
      </w:pPr>
      <w:r>
        <w:rPr>
          <w:rFonts w:ascii="Arial" w:cs="Arial" w:eastAsia="Arial" w:hAnsi="Arial"/>
          <w:sz w:val="43"/>
          <w:szCs w:val="43"/>
          <w:b w:val="1"/>
          <w:bCs w:val="1"/>
          <w:color w:val="auto"/>
        </w:rPr>
        <w:t>THE INVESTMENT PARTNERSHIP PLAN</w:t>
      </w:r>
    </w:p>
    <w:p>
      <w:pPr>
        <w:spacing w:after="0" w:line="4" w:lineRule="exact"/>
        <w:rPr>
          <w:sz w:val="24"/>
          <w:szCs w:val="24"/>
          <w:color w:val="auto"/>
        </w:rPr>
      </w:pPr>
    </w:p>
    <w:p>
      <w:pPr>
        <w:ind w:left="3980"/>
        <w:spacing w:after="0"/>
        <w:rPr>
          <w:sz w:val="20"/>
          <w:szCs w:val="20"/>
          <w:color w:val="auto"/>
        </w:rPr>
      </w:pPr>
      <w:r>
        <w:rPr>
          <w:rFonts w:ascii="Arial" w:cs="Arial" w:eastAsia="Arial" w:hAnsi="Arial"/>
          <w:sz w:val="18"/>
          <w:szCs w:val="18"/>
          <w:i w:val="1"/>
          <w:iCs w:val="1"/>
          <w:color w:val="auto"/>
        </w:rPr>
        <w:t>(Full title of the plan and the address of the plan,</w:t>
      </w:r>
    </w:p>
    <w:p>
      <w:pPr>
        <w:spacing w:after="0" w:line="1" w:lineRule="exact"/>
        <w:rPr>
          <w:sz w:val="24"/>
          <w:szCs w:val="24"/>
          <w:color w:val="auto"/>
        </w:rPr>
      </w:pPr>
    </w:p>
    <w:p>
      <w:pPr>
        <w:ind w:left="4040"/>
        <w:spacing w:after="0"/>
        <w:rPr>
          <w:sz w:val="20"/>
          <w:szCs w:val="20"/>
          <w:color w:val="auto"/>
        </w:rPr>
      </w:pPr>
      <w:r>
        <w:rPr>
          <w:rFonts w:ascii="Arial" w:cs="Arial" w:eastAsia="Arial" w:hAnsi="Arial"/>
          <w:sz w:val="18"/>
          <w:szCs w:val="18"/>
          <w:i w:val="1"/>
          <w:iCs w:val="1"/>
          <w:color w:val="auto"/>
        </w:rPr>
        <w:t>if different from that of the issuer named below)</w:t>
      </w:r>
    </w:p>
    <w:p>
      <w:pPr>
        <w:spacing w:after="0" w:line="130"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ANALOG DEVICES, INC.</w:t>
      </w:r>
    </w:p>
    <w:p>
      <w:pPr>
        <w:spacing w:after="0" w:line="54" w:lineRule="exact"/>
        <w:rPr>
          <w:sz w:val="24"/>
          <w:szCs w:val="24"/>
          <w:color w:val="auto"/>
        </w:rPr>
      </w:pPr>
    </w:p>
    <w:p>
      <w:pPr>
        <w:jc w:val="center"/>
        <w:ind w:right="-99"/>
        <w:spacing w:after="0"/>
        <w:rPr>
          <w:sz w:val="20"/>
          <w:szCs w:val="20"/>
          <w:color w:val="auto"/>
        </w:rPr>
      </w:pPr>
      <w:r>
        <w:rPr>
          <w:rFonts w:ascii="Arial" w:cs="Arial" w:eastAsia="Arial" w:hAnsi="Arial"/>
          <w:sz w:val="18"/>
          <w:szCs w:val="18"/>
          <w:i w:val="1"/>
          <w:iCs w:val="1"/>
          <w:color w:val="auto"/>
        </w:rPr>
        <w:t>(Name of issuer of the securities held pursuant to the plan and the</w:t>
      </w:r>
    </w:p>
    <w:p>
      <w:pPr>
        <w:spacing w:after="0" w:line="1" w:lineRule="exact"/>
        <w:rPr>
          <w:sz w:val="24"/>
          <w:szCs w:val="24"/>
          <w:color w:val="auto"/>
        </w:rPr>
      </w:pPr>
    </w:p>
    <w:p>
      <w:pPr>
        <w:jc w:val="center"/>
        <w:ind w:right="-99"/>
        <w:spacing w:after="0"/>
        <w:rPr>
          <w:sz w:val="20"/>
          <w:szCs w:val="20"/>
          <w:color w:val="auto"/>
        </w:rPr>
      </w:pPr>
      <w:r>
        <w:rPr>
          <w:rFonts w:ascii="Arial" w:cs="Arial" w:eastAsia="Arial" w:hAnsi="Arial"/>
          <w:sz w:val="18"/>
          <w:szCs w:val="18"/>
          <w:i w:val="1"/>
          <w:iCs w:val="1"/>
          <w:color w:val="auto"/>
        </w:rPr>
        <w:t>address of its principal executive office)</w:t>
      </w:r>
    </w:p>
    <w:p>
      <w:pPr>
        <w:spacing w:after="0" w:line="165"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One Technology Way</w:t>
      </w:r>
    </w:p>
    <w:p>
      <w:pPr>
        <w:spacing w:after="0" w:line="15"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Norwood, Massachusetts 02062-9106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84455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118745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314" w:right="319" w:bottom="1440" w:gutter="0" w:footer="0" w:header="0"/>
        </w:sectPr>
      </w:pPr>
    </w:p>
    <w:bookmarkStart w:id="1" w:name="page2"/>
    <w:bookmarkEnd w:id="1"/>
    <w:p>
      <w:pPr>
        <w:jc w:val="center"/>
        <w:ind w:right="-1192"/>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ANALOG DEVICES, INC.</w:t>
      </w:r>
    </w:p>
    <w:p>
      <w:pPr>
        <w:spacing w:after="0" w:line="171" w:lineRule="exact"/>
        <w:rPr>
          <w:sz w:val="20"/>
          <w:szCs w:val="20"/>
          <w:color w:val="auto"/>
        </w:rPr>
      </w:pPr>
    </w:p>
    <w:p>
      <w:pPr>
        <w:jc w:val="center"/>
        <w:ind w:right="-1192"/>
        <w:spacing w:after="0"/>
        <w:rPr>
          <w:sz w:val="20"/>
          <w:szCs w:val="20"/>
          <w:color w:val="auto"/>
        </w:rPr>
      </w:pPr>
      <w:r>
        <w:rPr>
          <w:rFonts w:ascii="Arial" w:cs="Arial" w:eastAsia="Arial" w:hAnsi="Arial"/>
          <w:sz w:val="18"/>
          <w:szCs w:val="18"/>
          <w:color w:val="auto"/>
        </w:rPr>
        <w:t>THE INVESTMENT PARTNERSHIP PLAN</w:t>
      </w:r>
    </w:p>
    <w:p>
      <w:pPr>
        <w:spacing w:after="0" w:line="171" w:lineRule="exact"/>
        <w:rPr>
          <w:sz w:val="20"/>
          <w:szCs w:val="20"/>
          <w:color w:val="auto"/>
        </w:rPr>
      </w:pPr>
    </w:p>
    <w:p>
      <w:pPr>
        <w:jc w:val="center"/>
        <w:ind w:right="-1192"/>
        <w:spacing w:after="0"/>
        <w:rPr>
          <w:sz w:val="20"/>
          <w:szCs w:val="20"/>
          <w:color w:val="auto"/>
        </w:rPr>
      </w:pPr>
      <w:r>
        <w:rPr>
          <w:rFonts w:ascii="Arial" w:cs="Arial" w:eastAsia="Arial" w:hAnsi="Arial"/>
          <w:sz w:val="18"/>
          <w:szCs w:val="18"/>
          <w:u w:val="single" w:color="auto"/>
          <w:color w:val="auto"/>
        </w:rPr>
        <w:t>Financial Statements</w:t>
      </w:r>
    </w:p>
    <w:p>
      <w:pPr>
        <w:spacing w:after="0" w:line="212" w:lineRule="exact"/>
        <w:rPr>
          <w:sz w:val="20"/>
          <w:szCs w:val="20"/>
          <w:color w:val="auto"/>
        </w:rPr>
      </w:pPr>
    </w:p>
    <w:p>
      <w:pPr>
        <w:ind w:left="452" w:hanging="452"/>
        <w:spacing w:after="0"/>
        <w:tabs>
          <w:tab w:leader="none" w:pos="452" w:val="left"/>
        </w:tabs>
        <w:numPr>
          <w:ilvl w:val="0"/>
          <w:numId w:val="3"/>
        </w:numPr>
        <w:rPr>
          <w:rFonts w:ascii="Arial" w:cs="Arial" w:eastAsia="Arial" w:hAnsi="Arial"/>
          <w:sz w:val="18"/>
          <w:szCs w:val="18"/>
          <w:color w:val="auto"/>
        </w:rPr>
      </w:pPr>
      <w:r>
        <w:rPr>
          <w:rFonts w:ascii="Arial" w:cs="Arial" w:eastAsia="Arial" w:hAnsi="Arial"/>
          <w:sz w:val="18"/>
          <w:szCs w:val="18"/>
          <w:color w:val="auto"/>
        </w:rPr>
        <w:t>Report of Independent Registered Public Accounting Firm.</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3"/>
        </w:numPr>
        <w:rPr>
          <w:rFonts w:ascii="Arial" w:cs="Arial" w:eastAsia="Arial" w:hAnsi="Arial"/>
          <w:sz w:val="18"/>
          <w:szCs w:val="18"/>
          <w:color w:val="auto"/>
        </w:rPr>
      </w:pPr>
      <w:r>
        <w:rPr>
          <w:rFonts w:ascii="Arial" w:cs="Arial" w:eastAsia="Arial" w:hAnsi="Arial"/>
          <w:sz w:val="18"/>
          <w:szCs w:val="18"/>
          <w:color w:val="auto"/>
        </w:rPr>
        <w:t>Statements of Net Assets Available for Benefits as of December 31, 2011 and 2010.</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3"/>
        </w:numPr>
        <w:rPr>
          <w:rFonts w:ascii="Arial" w:cs="Arial" w:eastAsia="Arial" w:hAnsi="Arial"/>
          <w:sz w:val="15"/>
          <w:szCs w:val="15"/>
          <w:color w:val="auto"/>
        </w:rPr>
      </w:pPr>
      <w:r>
        <w:rPr>
          <w:rFonts w:ascii="Arial" w:cs="Arial" w:eastAsia="Arial" w:hAnsi="Arial"/>
          <w:sz w:val="15"/>
          <w:szCs w:val="15"/>
          <w:color w:val="auto"/>
        </w:rPr>
        <w:t>Statements of Changes in Net Assets Available for Benefits for the Years Ended December 31, 2011 and 2010.</w:t>
      </w:r>
    </w:p>
    <w:p>
      <w:pPr>
        <w:spacing w:after="0" w:line="124" w:lineRule="exact"/>
        <w:rPr>
          <w:rFonts w:ascii="Arial" w:cs="Arial" w:eastAsia="Arial" w:hAnsi="Arial"/>
          <w:sz w:val="15"/>
          <w:szCs w:val="15"/>
          <w:color w:val="auto"/>
        </w:rPr>
      </w:pPr>
    </w:p>
    <w:p>
      <w:pPr>
        <w:ind w:left="452" w:hanging="452"/>
        <w:spacing w:after="0"/>
        <w:tabs>
          <w:tab w:leader="none" w:pos="452" w:val="left"/>
        </w:tabs>
        <w:numPr>
          <w:ilvl w:val="0"/>
          <w:numId w:val="3"/>
        </w:numPr>
        <w:rPr>
          <w:rFonts w:ascii="Arial" w:cs="Arial" w:eastAsia="Arial" w:hAnsi="Arial"/>
          <w:sz w:val="18"/>
          <w:szCs w:val="18"/>
          <w:color w:val="auto"/>
        </w:rPr>
      </w:pPr>
      <w:r>
        <w:rPr>
          <w:rFonts w:ascii="Arial" w:cs="Arial" w:eastAsia="Arial" w:hAnsi="Arial"/>
          <w:sz w:val="18"/>
          <w:szCs w:val="18"/>
          <w:color w:val="auto"/>
        </w:rPr>
        <w:t>Notes to Financial Statements.</w:t>
      </w:r>
    </w:p>
    <w:p>
      <w:pPr>
        <w:spacing w:after="0" w:line="333" w:lineRule="exact"/>
        <w:rPr>
          <w:sz w:val="20"/>
          <w:szCs w:val="20"/>
          <w:color w:val="auto"/>
        </w:rPr>
      </w:pPr>
    </w:p>
    <w:p>
      <w:pPr>
        <w:ind w:left="4872"/>
        <w:spacing w:after="0"/>
        <w:rPr>
          <w:sz w:val="20"/>
          <w:szCs w:val="20"/>
          <w:color w:val="auto"/>
        </w:rPr>
      </w:pPr>
      <w:r>
        <w:rPr>
          <w:rFonts w:ascii="Arial" w:cs="Arial" w:eastAsia="Arial" w:hAnsi="Arial"/>
          <w:sz w:val="18"/>
          <w:szCs w:val="18"/>
          <w:u w:val="single" w:color="auto"/>
          <w:color w:val="auto"/>
        </w:rPr>
        <w:t>Supplemental Schedule</w:t>
      </w:r>
    </w:p>
    <w:p>
      <w:pPr>
        <w:spacing w:after="0" w:line="212" w:lineRule="exact"/>
        <w:rPr>
          <w:sz w:val="20"/>
          <w:szCs w:val="20"/>
          <w:color w:val="auto"/>
        </w:rPr>
      </w:pPr>
    </w:p>
    <w:p>
      <w:pPr>
        <w:ind w:left="452" w:hanging="452"/>
        <w:spacing w:after="0"/>
        <w:tabs>
          <w:tab w:leader="none" w:pos="452" w:val="left"/>
        </w:tabs>
        <w:numPr>
          <w:ilvl w:val="0"/>
          <w:numId w:val="4"/>
        </w:numPr>
        <w:rPr>
          <w:rFonts w:ascii="Arial" w:cs="Arial" w:eastAsia="Arial" w:hAnsi="Arial"/>
          <w:sz w:val="18"/>
          <w:szCs w:val="18"/>
          <w:color w:val="auto"/>
        </w:rPr>
      </w:pPr>
      <w:r>
        <w:rPr>
          <w:rFonts w:ascii="Arial" w:cs="Arial" w:eastAsia="Arial" w:hAnsi="Arial"/>
          <w:sz w:val="18"/>
          <w:szCs w:val="18"/>
          <w:color w:val="auto"/>
        </w:rPr>
        <w:t>Schedule H-Line 4i – Schedule of Assets (Held at End of Year).</w:t>
      </w:r>
    </w:p>
    <w:p>
      <w:pPr>
        <w:spacing w:after="0" w:line="333" w:lineRule="exact"/>
        <w:rPr>
          <w:sz w:val="20"/>
          <w:szCs w:val="20"/>
          <w:color w:val="auto"/>
        </w:rPr>
      </w:pPr>
    </w:p>
    <w:p>
      <w:pPr>
        <w:ind w:left="5412"/>
        <w:spacing w:after="0"/>
        <w:rPr>
          <w:sz w:val="20"/>
          <w:szCs w:val="20"/>
          <w:color w:val="auto"/>
        </w:rPr>
      </w:pPr>
      <w:r>
        <w:rPr>
          <w:rFonts w:ascii="Arial" w:cs="Arial" w:eastAsia="Arial" w:hAnsi="Arial"/>
          <w:sz w:val="18"/>
          <w:szCs w:val="18"/>
          <w:u w:val="single" w:color="auto"/>
          <w:color w:val="auto"/>
        </w:rPr>
        <w:t>Exhibits</w:t>
      </w:r>
    </w:p>
    <w:p>
      <w:pPr>
        <w:spacing w:after="0" w:line="212" w:lineRule="exact"/>
        <w:rPr>
          <w:sz w:val="20"/>
          <w:szCs w:val="20"/>
          <w:color w:val="auto"/>
        </w:rPr>
      </w:pPr>
    </w:p>
    <w:p>
      <w:pPr>
        <w:jc w:val="right"/>
        <w:ind w:left="5672" w:right="4439" w:hanging="5672"/>
        <w:spacing w:after="0" w:line="525" w:lineRule="auto"/>
        <w:tabs>
          <w:tab w:leader="none" w:pos="456" w:val="left"/>
        </w:tabs>
        <w:numPr>
          <w:ilvl w:val="0"/>
          <w:numId w:val="5"/>
        </w:numPr>
        <w:rPr>
          <w:rFonts w:ascii="Arial" w:cs="Arial" w:eastAsia="Arial" w:hAnsi="Arial"/>
          <w:sz w:val="16"/>
          <w:szCs w:val="16"/>
          <w:color w:val="auto"/>
        </w:rPr>
      </w:pPr>
      <w:r>
        <w:rPr>
          <w:rFonts w:ascii="Arial" w:cs="Arial" w:eastAsia="Arial" w:hAnsi="Arial"/>
          <w:sz w:val="16"/>
          <w:szCs w:val="16"/>
          <w:color w:val="auto"/>
        </w:rPr>
        <w:t>Consent of Independent Registered Public Accounting Firm, filed herewith. 2</w:t>
      </w:r>
    </w:p>
    <w:p>
      <w:pPr>
        <w:sectPr>
          <w:pgSz w:w="11900" w:h="16838" w:orient="portrait"/>
          <w:cols w:equalWidth="0" w:num="1">
            <w:col w:w="10211"/>
          </w:cols>
          <w:pgMar w:left="248" w:top="280" w:right="1440"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Report of Independent Registered Public Accounting Firm</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Administration Committee and Participants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Analog Devices,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Investment Partnership Plan</w:t>
      </w:r>
    </w:p>
    <w:p>
      <w:pPr>
        <w:spacing w:after="0" w:line="84"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We have audited the accompanying statements of net assets available for benefits of Analog Devices, Inc. The Investment Partnership Plan as of December 31, 2011 and 2010, and the related statements of changes in net assets available for benefits for the years then ended. These financial statements are the responsibility of the Plan’s management. Our responsibility is to express an opinion on these financial statements based on our audits.</w:t>
      </w:r>
    </w:p>
    <w:p>
      <w:pPr>
        <w:spacing w:after="0" w:line="10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We were not engaged to perform an audit of the Plan’s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Plan’s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118" w:lineRule="exact"/>
        <w:rPr>
          <w:sz w:val="20"/>
          <w:szCs w:val="20"/>
          <w:color w:val="auto"/>
        </w:rPr>
      </w:pPr>
    </w:p>
    <w:p>
      <w:pPr>
        <w:ind w:right="80"/>
        <w:spacing w:after="0" w:line="370" w:lineRule="auto"/>
        <w:rPr>
          <w:sz w:val="20"/>
          <w:szCs w:val="20"/>
          <w:color w:val="auto"/>
        </w:rPr>
      </w:pPr>
      <w:r>
        <w:rPr>
          <w:rFonts w:ascii="Arial" w:cs="Arial" w:eastAsia="Arial" w:hAnsi="Arial"/>
          <w:sz w:val="15"/>
          <w:szCs w:val="15"/>
          <w:color w:val="auto"/>
        </w:rPr>
        <w:t>In our opinion, the financial statements referred to above present fairly, in all material respects, the net assets available for benefits of the Plan at December 31, 2011 and 2010, and the changes in its net assets available for benefits for the years then ended, in conformity with U.S. generally accepted accounting principles.</w:t>
      </w:r>
    </w:p>
    <w:p>
      <w:pPr>
        <w:spacing w:after="0" w:line="62" w:lineRule="exact"/>
        <w:rPr>
          <w:sz w:val="20"/>
          <w:szCs w:val="20"/>
          <w:color w:val="auto"/>
        </w:rPr>
      </w:pPr>
    </w:p>
    <w:p>
      <w:pPr>
        <w:ind w:right="80"/>
        <w:spacing w:after="0" w:line="318" w:lineRule="auto"/>
        <w:rPr>
          <w:sz w:val="20"/>
          <w:szCs w:val="20"/>
          <w:color w:val="auto"/>
        </w:rPr>
      </w:pPr>
      <w:r>
        <w:rPr>
          <w:rFonts w:ascii="Arial" w:cs="Arial" w:eastAsia="Arial" w:hAnsi="Arial"/>
          <w:sz w:val="15"/>
          <w:szCs w:val="15"/>
          <w:color w:val="auto"/>
        </w:rPr>
        <w:t>Our audits were conducted for the purpose of forming an opinion on the financial statements taken as a whole. The accompanying supplemental schedule of assets (held at end of year) as of December 31, 2011, is presented for purposes of additional analysis and is not a required part of the financial statements but is supplementary information required by the Department of Labor’s Rules and Regulations for Reporting and Disclosure under the Employee Retirement Income Security Act of 1974. Such information is the responsibility of the Plan’s management. This information has been subjected to the auditing procedures applied in our audits of the financial statements and, in our opinion, is fairly stated in all material respects in relation to the financial statements taken as a whole.</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June 8, 2012</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80" w:right="25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ANALOG DEVICES,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INVESTMENT PARTNERSHIP PLAN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STATEMENTS OF NET ASSETS AVAILABLE FOR BENEFITS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2011 and 2010</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6760" w:type="dxa"/>
            <w:vAlign w:val="bottom"/>
            <w:gridSpan w:val="4"/>
          </w:tcPr>
          <w:p>
            <w:pPr>
              <w:jc w:val="right"/>
              <w:ind w:right="360"/>
              <w:spacing w:after="0"/>
              <w:rPr>
                <w:sz w:val="20"/>
                <w:szCs w:val="20"/>
                <w:color w:val="auto"/>
              </w:rPr>
            </w:pPr>
            <w:r>
              <w:rPr>
                <w:rFonts w:ascii="Arial" w:cs="Arial" w:eastAsia="Arial" w:hAnsi="Arial"/>
                <w:sz w:val="14"/>
                <w:szCs w:val="14"/>
                <w:color w:val="auto"/>
              </w:rPr>
              <w:t>2011</w:t>
            </w:r>
          </w:p>
        </w:tc>
        <w:tc>
          <w:tcPr>
            <w:tcW w:w="1280" w:type="dxa"/>
            <w:vAlign w:val="bottom"/>
            <w:gridSpan w:val="2"/>
          </w:tcPr>
          <w:p>
            <w:pPr>
              <w:jc w:val="right"/>
              <w:ind w:right="340"/>
              <w:spacing w:after="0"/>
              <w:rPr>
                <w:sz w:val="20"/>
                <w:szCs w:val="20"/>
                <w:color w:val="auto"/>
              </w:rPr>
            </w:pPr>
            <w:r>
              <w:rPr>
                <w:rFonts w:ascii="Arial" w:cs="Arial" w:eastAsia="Arial" w:hAnsi="Arial"/>
                <w:sz w:val="14"/>
                <w:szCs w:val="14"/>
                <w:color w:val="auto"/>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260" w:type="dxa"/>
            <w:vAlign w:val="bottom"/>
            <w:tcBorders>
              <w:top w:val="single" w:sz="8" w:color="CCEEFF"/>
            </w:tcBorders>
            <w:shd w:val="clear" w:color="auto" w:fill="CCEEFF"/>
          </w:tcPr>
          <w:p>
            <w:pPr>
              <w:spacing w:after="0"/>
              <w:rPr>
                <w:sz w:val="13"/>
                <w:szCs w:val="13"/>
                <w:color w:val="auto"/>
              </w:rPr>
            </w:pPr>
          </w:p>
        </w:tc>
        <w:tc>
          <w:tcPr>
            <w:tcW w:w="5800" w:type="dxa"/>
            <w:vAlign w:val="bottom"/>
            <w:tcBorders>
              <w:top w:val="single" w:sz="8" w:color="CCEEFF"/>
            </w:tcBorders>
            <w:gridSpan w:val="3"/>
            <w:shd w:val="clear" w:color="auto" w:fill="CCEEFF"/>
          </w:tcPr>
          <w:p>
            <w:pPr>
              <w:ind w:left="840"/>
              <w:spacing w:after="0" w:line="156" w:lineRule="exact"/>
              <w:rPr>
                <w:sz w:val="20"/>
                <w:szCs w:val="20"/>
                <w:color w:val="auto"/>
              </w:rPr>
            </w:pPr>
            <w:r>
              <w:rPr>
                <w:rFonts w:ascii="Arial" w:cs="Arial" w:eastAsia="Arial" w:hAnsi="Arial"/>
                <w:sz w:val="18"/>
                <w:szCs w:val="18"/>
                <w:color w:val="auto"/>
              </w:rPr>
              <w:t>ASSETS</w:t>
            </w:r>
          </w:p>
        </w:tc>
        <w:tc>
          <w:tcPr>
            <w:tcW w:w="960" w:type="dxa"/>
            <w:vAlign w:val="bottom"/>
            <w:tcBorders>
              <w:top w:val="single" w:sz="8" w:color="auto"/>
            </w:tcBorders>
            <w:shd w:val="clear" w:color="auto" w:fill="CCEEFF"/>
          </w:tcPr>
          <w:p>
            <w:pPr>
              <w:spacing w:after="0"/>
              <w:rPr>
                <w:sz w:val="13"/>
                <w:szCs w:val="13"/>
                <w:color w:val="auto"/>
              </w:rPr>
            </w:pPr>
          </w:p>
        </w:tc>
        <w:tc>
          <w:tcPr>
            <w:tcW w:w="320" w:type="dxa"/>
            <w:vAlign w:val="bottom"/>
            <w:tcBorders>
              <w:top w:val="single" w:sz="8" w:color="CCEEFF"/>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26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auto"/>
            </w:tcBorders>
            <w:shd w:val="clear" w:color="auto" w:fill="CCEEFF"/>
          </w:tcPr>
          <w:p>
            <w:pPr>
              <w:spacing w:after="0" w:line="20" w:lineRule="exact"/>
              <w:rPr>
                <w:sz w:val="1"/>
                <w:szCs w:val="1"/>
                <w:color w:val="auto"/>
              </w:rPr>
            </w:pPr>
          </w:p>
        </w:tc>
        <w:tc>
          <w:tcPr>
            <w:tcW w:w="434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3280" w:type="dxa"/>
            <w:vAlign w:val="bottom"/>
            <w:gridSpan w:val="2"/>
          </w:tcPr>
          <w:p>
            <w:pPr>
              <w:spacing w:after="0"/>
              <w:rPr>
                <w:sz w:val="20"/>
                <w:szCs w:val="20"/>
                <w:color w:val="auto"/>
              </w:rPr>
            </w:pPr>
            <w:r>
              <w:rPr>
                <w:rFonts w:ascii="Arial" w:cs="Arial" w:eastAsia="Arial" w:hAnsi="Arial"/>
                <w:sz w:val="18"/>
                <w:szCs w:val="18"/>
                <w:color w:val="auto"/>
              </w:rPr>
              <w:t>Investments, at fair value</w:t>
            </w:r>
          </w:p>
        </w:tc>
        <w:tc>
          <w:tcPr>
            <w:tcW w:w="6760" w:type="dxa"/>
            <w:vAlign w:val="bottom"/>
            <w:gridSpan w:val="4"/>
          </w:tcPr>
          <w:p>
            <w:pPr>
              <w:jc w:val="right"/>
              <w:spacing w:after="0"/>
              <w:rPr>
                <w:sz w:val="20"/>
                <w:szCs w:val="20"/>
                <w:color w:val="auto"/>
              </w:rPr>
            </w:pPr>
            <w:r>
              <w:rPr>
                <w:rFonts w:ascii="Arial" w:cs="Arial" w:eastAsia="Arial" w:hAnsi="Arial"/>
                <w:sz w:val="18"/>
                <w:szCs w:val="18"/>
                <w:color w:val="auto"/>
              </w:rPr>
              <w:t>$791,693,835</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$794,496,241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260" w:type="dxa"/>
            <w:vAlign w:val="bottom"/>
          </w:tcPr>
          <w:p>
            <w:pPr>
              <w:spacing w:after="0"/>
              <w:rPr>
                <w:sz w:val="9"/>
                <w:szCs w:val="9"/>
                <w:color w:val="auto"/>
              </w:rPr>
            </w:pPr>
          </w:p>
        </w:tc>
        <w:tc>
          <w:tcPr>
            <w:tcW w:w="840" w:type="dxa"/>
            <w:vAlign w:val="bottom"/>
          </w:tcPr>
          <w:p>
            <w:pPr>
              <w:spacing w:after="0"/>
              <w:rPr>
                <w:sz w:val="9"/>
                <w:szCs w:val="9"/>
                <w:color w:val="auto"/>
              </w:rPr>
            </w:pPr>
          </w:p>
        </w:tc>
        <w:tc>
          <w:tcPr>
            <w:tcW w:w="620" w:type="dxa"/>
            <w:vAlign w:val="bottom"/>
          </w:tcPr>
          <w:p>
            <w:pPr>
              <w:spacing w:after="0"/>
              <w:rPr>
                <w:sz w:val="9"/>
                <w:szCs w:val="9"/>
                <w:color w:val="auto"/>
              </w:rPr>
            </w:pPr>
          </w:p>
        </w:tc>
        <w:tc>
          <w:tcPr>
            <w:tcW w:w="4340" w:type="dxa"/>
            <w:vAlign w:val="bottom"/>
          </w:tcPr>
          <w:p>
            <w:pPr>
              <w:spacing w:after="0"/>
              <w:rPr>
                <w:sz w:val="9"/>
                <w:szCs w:val="9"/>
                <w:color w:val="auto"/>
              </w:rPr>
            </w:pPr>
          </w:p>
        </w:tc>
        <w:tc>
          <w:tcPr>
            <w:tcW w:w="960" w:type="dxa"/>
            <w:vAlign w:val="bottom"/>
          </w:tcPr>
          <w:p>
            <w:pPr>
              <w:spacing w:after="0"/>
              <w:rPr>
                <w:sz w:val="9"/>
                <w:szCs w:val="9"/>
                <w:color w:val="auto"/>
              </w:rPr>
            </w:pPr>
          </w:p>
        </w:tc>
        <w:tc>
          <w:tcPr>
            <w:tcW w:w="3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Accrued interest and dividends</w:t>
            </w:r>
          </w:p>
        </w:tc>
        <w:tc>
          <w:tcPr>
            <w:tcW w:w="67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20,887</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17,867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3280" w:type="dxa"/>
            <w:vAlign w:val="bottom"/>
            <w:gridSpan w:val="2"/>
          </w:tcPr>
          <w:p>
            <w:pPr>
              <w:spacing w:after="0"/>
              <w:rPr>
                <w:sz w:val="20"/>
                <w:szCs w:val="20"/>
                <w:color w:val="auto"/>
              </w:rPr>
            </w:pPr>
            <w:r>
              <w:rPr>
                <w:rFonts w:ascii="Arial" w:cs="Arial" w:eastAsia="Arial" w:hAnsi="Arial"/>
                <w:sz w:val="18"/>
                <w:szCs w:val="18"/>
                <w:color w:val="auto"/>
              </w:rPr>
              <w:t>Notes receivable from participants</w:t>
            </w:r>
          </w:p>
        </w:tc>
        <w:tc>
          <w:tcPr>
            <w:tcW w:w="6760" w:type="dxa"/>
            <w:vAlign w:val="bottom"/>
            <w:gridSpan w:val="4"/>
          </w:tcPr>
          <w:p>
            <w:pPr>
              <w:jc w:val="right"/>
              <w:spacing w:after="0"/>
              <w:rPr>
                <w:sz w:val="20"/>
                <w:szCs w:val="20"/>
                <w:color w:val="auto"/>
              </w:rPr>
            </w:pPr>
            <w:r>
              <w:rPr>
                <w:rFonts w:ascii="Arial" w:cs="Arial" w:eastAsia="Arial" w:hAnsi="Arial"/>
                <w:sz w:val="18"/>
                <w:szCs w:val="18"/>
                <w:color w:val="auto"/>
              </w:rPr>
              <w:t>8,967,825</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8,688,893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32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340" w:type="dxa"/>
            <w:vAlign w:val="bottom"/>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Net assets available for benefits</w:t>
            </w:r>
          </w:p>
        </w:tc>
        <w:tc>
          <w:tcPr>
            <w:tcW w:w="6760" w:type="dxa"/>
            <w:vAlign w:val="bottom"/>
            <w:gridSpan w:val="4"/>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800,682,547</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803,203,001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300" w:type="dxa"/>
            <w:vAlign w:val="bottom"/>
            <w:gridSpan w:val="2"/>
          </w:tcPr>
          <w:p>
            <w:pPr>
              <w:jc w:val="center"/>
              <w:ind w:right="3360"/>
              <w:spacing w:after="0"/>
              <w:rPr>
                <w:sz w:val="20"/>
                <w:szCs w:val="20"/>
                <w:color w:val="auto"/>
              </w:rPr>
            </w:pPr>
            <w:r>
              <w:rPr>
                <w:rFonts w:ascii="Arial" w:cs="Arial" w:eastAsia="Arial" w:hAnsi="Arial"/>
                <w:sz w:val="18"/>
                <w:szCs w:val="18"/>
                <w:color w:val="auto"/>
                <w:w w:val="85"/>
              </w:rPr>
              <w:t>See accompanying notes.</w:t>
            </w: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5800" w:type="dxa"/>
            <w:vAlign w:val="bottom"/>
            <w:gridSpan w:val="3"/>
          </w:tcPr>
          <w:p>
            <w:pPr>
              <w:jc w:val="right"/>
              <w:ind w:right="3232"/>
              <w:spacing w:after="0"/>
              <w:rPr>
                <w:sz w:val="20"/>
                <w:szCs w:val="20"/>
                <w:color w:val="auto"/>
              </w:rPr>
            </w:pPr>
            <w:r>
              <w:rPr>
                <w:rFonts w:ascii="Arial" w:cs="Arial" w:eastAsia="Arial" w:hAnsi="Arial"/>
                <w:sz w:val="18"/>
                <w:szCs w:val="18"/>
                <w:color w:val="auto"/>
              </w:rPr>
              <w:t>4</w:t>
            </w: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0"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ANALOG DEVICES,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INVESTMENT PARTNERSHIP PLAN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STATEMENTS OF CHANGES IN NET ASSETS AVAILABLE FOR BENEFITS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Years ended December 31, 2011 and 2010</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5300" w:type="dxa"/>
            <w:vAlign w:val="bottom"/>
            <w:gridSpan w:val="2"/>
          </w:tcPr>
          <w:p>
            <w:pPr>
              <w:jc w:val="right"/>
              <w:ind w:right="272"/>
              <w:spacing w:after="0"/>
              <w:rPr>
                <w:sz w:val="20"/>
                <w:szCs w:val="20"/>
                <w:color w:val="auto"/>
              </w:rPr>
            </w:pPr>
            <w:r>
              <w:rPr>
                <w:rFonts w:ascii="Arial" w:cs="Arial" w:eastAsia="Arial" w:hAnsi="Arial"/>
                <w:sz w:val="14"/>
                <w:szCs w:val="14"/>
                <w:color w:val="auto"/>
              </w:rPr>
              <w:t>2011</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right"/>
              <w:ind w:right="274"/>
              <w:spacing w:after="0"/>
              <w:rPr>
                <w:sz w:val="20"/>
                <w:szCs w:val="20"/>
                <w:color w:val="auto"/>
              </w:rPr>
            </w:pPr>
            <w:r>
              <w:rPr>
                <w:rFonts w:ascii="Arial" w:cs="Arial" w:eastAsia="Arial" w:hAnsi="Arial"/>
                <w:sz w:val="14"/>
                <w:szCs w:val="14"/>
                <w:color w:val="auto"/>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4700" w:type="dxa"/>
            <w:vAlign w:val="bottom"/>
          </w:tcPr>
          <w:p>
            <w:pPr>
              <w:spacing w:after="0"/>
              <w:rPr>
                <w:sz w:val="7"/>
                <w:szCs w:val="7"/>
                <w:color w:val="auto"/>
              </w:rPr>
            </w:pPr>
          </w:p>
        </w:tc>
        <w:tc>
          <w:tcPr>
            <w:tcW w:w="4320" w:type="dxa"/>
            <w:vAlign w:val="bottom"/>
          </w:tcPr>
          <w:p>
            <w:pPr>
              <w:spacing w:after="0"/>
              <w:rPr>
                <w:sz w:val="7"/>
                <w:szCs w:val="7"/>
                <w:color w:val="auto"/>
              </w:rPr>
            </w:pPr>
          </w:p>
        </w:tc>
        <w:tc>
          <w:tcPr>
            <w:tcW w:w="980" w:type="dxa"/>
            <w:vAlign w:val="bottom"/>
            <w:tcBorders>
              <w:top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88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Additions</w:t>
            </w:r>
          </w:p>
        </w:tc>
        <w:tc>
          <w:tcPr>
            <w:tcW w:w="4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Investment income:</w:t>
            </w:r>
          </w:p>
        </w:tc>
        <w:tc>
          <w:tcPr>
            <w:tcW w:w="4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1"/>
              </w:rPr>
              <w:t>Net (depreciation) appreciation in fair value of investments</w:t>
            </w:r>
          </w:p>
        </w:tc>
        <w:tc>
          <w:tcPr>
            <w:tcW w:w="56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 (40,573,934)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79,766,322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420"/>
              <w:spacing w:after="0"/>
              <w:rPr>
                <w:sz w:val="20"/>
                <w:szCs w:val="20"/>
                <w:color w:val="auto"/>
              </w:rPr>
            </w:pPr>
            <w:r>
              <w:rPr>
                <w:rFonts w:ascii="Arial" w:cs="Arial" w:eastAsia="Arial" w:hAnsi="Arial"/>
                <w:sz w:val="18"/>
                <w:szCs w:val="18"/>
                <w:color w:val="auto"/>
              </w:rPr>
              <w:t>Dividends, interest and capital gains distributions</w:t>
            </w:r>
          </w:p>
        </w:tc>
        <w:tc>
          <w:tcPr>
            <w:tcW w:w="5300" w:type="dxa"/>
            <w:vAlign w:val="bottom"/>
            <w:gridSpan w:val="2"/>
          </w:tcPr>
          <w:p>
            <w:pPr>
              <w:jc w:val="right"/>
              <w:spacing w:after="0"/>
              <w:rPr>
                <w:sz w:val="20"/>
                <w:szCs w:val="20"/>
                <w:color w:val="auto"/>
              </w:rPr>
            </w:pPr>
            <w:r>
              <w:rPr>
                <w:rFonts w:ascii="Arial" w:cs="Arial" w:eastAsia="Arial" w:hAnsi="Arial"/>
                <w:sz w:val="18"/>
                <w:szCs w:val="18"/>
                <w:color w:val="auto"/>
              </w:rPr>
              <w:t>19,865,448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10,885,895</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4700" w:type="dxa"/>
            <w:vAlign w:val="bottom"/>
          </w:tcPr>
          <w:p>
            <w:pPr>
              <w:spacing w:after="0"/>
              <w:rPr>
                <w:sz w:val="10"/>
                <w:szCs w:val="10"/>
                <w:color w:val="auto"/>
              </w:rPr>
            </w:pPr>
          </w:p>
        </w:tc>
        <w:tc>
          <w:tcPr>
            <w:tcW w:w="4320" w:type="dxa"/>
            <w:vAlign w:val="bottom"/>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investment (loss) income</w:t>
            </w:r>
          </w:p>
        </w:tc>
        <w:tc>
          <w:tcPr>
            <w:tcW w:w="56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(20,708,486)</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90,652,217</w:t>
            </w:r>
          </w:p>
        </w:tc>
        <w:tc>
          <w:tcPr>
            <w:tcW w:w="0" w:type="dxa"/>
            <w:vAlign w:val="bottom"/>
          </w:tcPr>
          <w:p>
            <w:pPr>
              <w:spacing w:after="0"/>
              <w:rPr>
                <w:sz w:val="1"/>
                <w:szCs w:val="1"/>
                <w:color w:val="auto"/>
              </w:rPr>
            </w:pPr>
          </w:p>
        </w:tc>
      </w:tr>
      <w:tr>
        <w:trPr>
          <w:trHeight w:val="322"/>
        </w:trPr>
        <w:tc>
          <w:tcPr>
            <w:tcW w:w="4720" w:type="dxa"/>
            <w:vAlign w:val="bottom"/>
            <w:gridSpan w:val="2"/>
          </w:tcPr>
          <w:p>
            <w:pPr>
              <w:spacing w:after="0"/>
              <w:rPr>
                <w:sz w:val="20"/>
                <w:szCs w:val="20"/>
                <w:color w:val="auto"/>
              </w:rPr>
            </w:pPr>
            <w:r>
              <w:rPr>
                <w:rFonts w:ascii="Arial" w:cs="Arial" w:eastAsia="Arial" w:hAnsi="Arial"/>
                <w:sz w:val="18"/>
                <w:szCs w:val="18"/>
                <w:color w:val="auto"/>
              </w:rPr>
              <w:t>Interest income on notes receivable from participants</w:t>
            </w:r>
          </w:p>
        </w:tc>
        <w:tc>
          <w:tcPr>
            <w:tcW w:w="5300" w:type="dxa"/>
            <w:vAlign w:val="bottom"/>
            <w:gridSpan w:val="2"/>
          </w:tcPr>
          <w:p>
            <w:pPr>
              <w:jc w:val="right"/>
              <w:spacing w:after="0"/>
              <w:rPr>
                <w:sz w:val="20"/>
                <w:szCs w:val="20"/>
                <w:color w:val="auto"/>
              </w:rPr>
            </w:pPr>
            <w:r>
              <w:rPr>
                <w:rFonts w:ascii="Arial" w:cs="Arial" w:eastAsia="Arial" w:hAnsi="Arial"/>
                <w:sz w:val="18"/>
                <w:szCs w:val="18"/>
                <w:color w:val="auto"/>
              </w:rPr>
              <w:t>389,274</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423,874</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4700" w:type="dxa"/>
            <w:vAlign w:val="bottom"/>
          </w:tcPr>
          <w:p>
            <w:pPr>
              <w:spacing w:after="0"/>
              <w:rPr>
                <w:sz w:val="9"/>
                <w:szCs w:val="9"/>
                <w:color w:val="auto"/>
              </w:rPr>
            </w:pPr>
          </w:p>
        </w:tc>
        <w:tc>
          <w:tcPr>
            <w:tcW w:w="4320" w:type="dxa"/>
            <w:vAlign w:val="bottom"/>
          </w:tcPr>
          <w:p>
            <w:pPr>
              <w:spacing w:after="0"/>
              <w:rPr>
                <w:sz w:val="9"/>
                <w:szCs w:val="9"/>
                <w:color w:val="auto"/>
              </w:rPr>
            </w:pPr>
          </w:p>
        </w:tc>
        <w:tc>
          <w:tcPr>
            <w:tcW w:w="9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Contributions:</w:t>
            </w:r>
          </w:p>
        </w:tc>
        <w:tc>
          <w:tcPr>
            <w:tcW w:w="4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420"/>
              <w:spacing w:after="0"/>
              <w:rPr>
                <w:sz w:val="20"/>
                <w:szCs w:val="20"/>
                <w:color w:val="auto"/>
              </w:rPr>
            </w:pPr>
            <w:r>
              <w:rPr>
                <w:rFonts w:ascii="Arial" w:cs="Arial" w:eastAsia="Arial" w:hAnsi="Arial"/>
                <w:sz w:val="18"/>
                <w:szCs w:val="18"/>
                <w:color w:val="auto"/>
              </w:rPr>
              <w:t>Employer</w:t>
            </w:r>
          </w:p>
        </w:tc>
        <w:tc>
          <w:tcPr>
            <w:tcW w:w="5300" w:type="dxa"/>
            <w:vAlign w:val="bottom"/>
            <w:gridSpan w:val="2"/>
          </w:tcPr>
          <w:p>
            <w:pPr>
              <w:jc w:val="right"/>
              <w:spacing w:after="0"/>
              <w:rPr>
                <w:sz w:val="20"/>
                <w:szCs w:val="20"/>
                <w:color w:val="auto"/>
              </w:rPr>
            </w:pPr>
            <w:r>
              <w:rPr>
                <w:rFonts w:ascii="Arial" w:cs="Arial" w:eastAsia="Arial" w:hAnsi="Arial"/>
                <w:sz w:val="18"/>
                <w:szCs w:val="18"/>
                <w:color w:val="auto"/>
              </w:rPr>
              <w:t>21,969,298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20,047,857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Participant</w:t>
            </w:r>
          </w:p>
        </w:tc>
        <w:tc>
          <w:tcPr>
            <w:tcW w:w="5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29,926,212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28,090,834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420"/>
              <w:spacing w:after="0"/>
              <w:rPr>
                <w:sz w:val="20"/>
                <w:szCs w:val="20"/>
                <w:color w:val="auto"/>
              </w:rPr>
            </w:pPr>
            <w:r>
              <w:rPr>
                <w:rFonts w:ascii="Arial" w:cs="Arial" w:eastAsia="Arial" w:hAnsi="Arial"/>
                <w:sz w:val="18"/>
                <w:szCs w:val="18"/>
                <w:color w:val="auto"/>
              </w:rPr>
              <w:t>Rollover</w:t>
            </w:r>
          </w:p>
        </w:tc>
        <w:tc>
          <w:tcPr>
            <w:tcW w:w="5300" w:type="dxa"/>
            <w:vAlign w:val="bottom"/>
            <w:gridSpan w:val="2"/>
          </w:tcPr>
          <w:p>
            <w:pPr>
              <w:jc w:val="right"/>
              <w:spacing w:after="0"/>
              <w:rPr>
                <w:sz w:val="20"/>
                <w:szCs w:val="20"/>
                <w:color w:val="auto"/>
              </w:rPr>
            </w:pPr>
            <w:r>
              <w:rPr>
                <w:rFonts w:ascii="Arial" w:cs="Arial" w:eastAsia="Arial" w:hAnsi="Arial"/>
                <w:sz w:val="18"/>
                <w:szCs w:val="18"/>
                <w:color w:val="auto"/>
              </w:rPr>
              <w:t>4,064,142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1,461,468</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4700" w:type="dxa"/>
            <w:vAlign w:val="bottom"/>
          </w:tcPr>
          <w:p>
            <w:pPr>
              <w:spacing w:after="0"/>
              <w:rPr>
                <w:sz w:val="10"/>
                <w:szCs w:val="10"/>
                <w:color w:val="auto"/>
              </w:rPr>
            </w:pPr>
          </w:p>
        </w:tc>
        <w:tc>
          <w:tcPr>
            <w:tcW w:w="4320" w:type="dxa"/>
            <w:vAlign w:val="bottom"/>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contributions</w:t>
            </w:r>
          </w:p>
        </w:tc>
        <w:tc>
          <w:tcPr>
            <w:tcW w:w="432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55,959,652</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49,600,159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4700" w:type="dxa"/>
            <w:vAlign w:val="bottom"/>
          </w:tcPr>
          <w:p>
            <w:pPr>
              <w:ind w:left="860"/>
              <w:spacing w:after="0"/>
              <w:rPr>
                <w:sz w:val="20"/>
                <w:szCs w:val="20"/>
                <w:color w:val="auto"/>
              </w:rPr>
            </w:pPr>
            <w:r>
              <w:rPr>
                <w:rFonts w:ascii="Arial" w:cs="Arial" w:eastAsia="Arial" w:hAnsi="Arial"/>
                <w:sz w:val="18"/>
                <w:szCs w:val="18"/>
                <w:color w:val="auto"/>
              </w:rPr>
              <w:t>Total additions, net of investment loss</w:t>
            </w:r>
          </w:p>
        </w:tc>
        <w:tc>
          <w:tcPr>
            <w:tcW w:w="5300" w:type="dxa"/>
            <w:vAlign w:val="bottom"/>
            <w:gridSpan w:val="2"/>
          </w:tcPr>
          <w:p>
            <w:pPr>
              <w:jc w:val="right"/>
              <w:spacing w:after="0"/>
              <w:rPr>
                <w:sz w:val="20"/>
                <w:szCs w:val="20"/>
                <w:color w:val="auto"/>
              </w:rPr>
            </w:pPr>
            <w:r>
              <w:rPr>
                <w:rFonts w:ascii="Arial" w:cs="Arial" w:eastAsia="Arial" w:hAnsi="Arial"/>
                <w:sz w:val="18"/>
                <w:szCs w:val="18"/>
                <w:color w:val="auto"/>
              </w:rPr>
              <w:t>35,640,440</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85"/>
              </w:rPr>
              <w:t>140,676,250</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4700" w:type="dxa"/>
            <w:vAlign w:val="bottom"/>
          </w:tcPr>
          <w:p>
            <w:pPr>
              <w:spacing w:after="0"/>
              <w:rPr>
                <w:sz w:val="9"/>
                <w:szCs w:val="9"/>
                <w:color w:val="auto"/>
              </w:rPr>
            </w:pPr>
          </w:p>
        </w:tc>
        <w:tc>
          <w:tcPr>
            <w:tcW w:w="4320" w:type="dxa"/>
            <w:vAlign w:val="bottom"/>
          </w:tcPr>
          <w:p>
            <w:pPr>
              <w:spacing w:after="0"/>
              <w:rPr>
                <w:sz w:val="9"/>
                <w:szCs w:val="9"/>
                <w:color w:val="auto"/>
              </w:rPr>
            </w:pPr>
          </w:p>
        </w:tc>
        <w:tc>
          <w:tcPr>
            <w:tcW w:w="9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Deductions</w:t>
            </w:r>
          </w:p>
        </w:tc>
        <w:tc>
          <w:tcPr>
            <w:tcW w:w="4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Benefit payments</w:t>
            </w:r>
          </w:p>
        </w:tc>
        <w:tc>
          <w:tcPr>
            <w:tcW w:w="5620" w:type="dxa"/>
            <w:vAlign w:val="bottom"/>
            <w:gridSpan w:val="3"/>
          </w:tcPr>
          <w:p>
            <w:pPr>
              <w:jc w:val="right"/>
              <w:ind w:right="260"/>
              <w:spacing w:after="0"/>
              <w:rPr>
                <w:sz w:val="20"/>
                <w:szCs w:val="20"/>
                <w:color w:val="auto"/>
              </w:rPr>
            </w:pPr>
            <w:r>
              <w:rPr>
                <w:rFonts w:ascii="Arial" w:cs="Arial" w:eastAsia="Arial" w:hAnsi="Arial"/>
                <w:sz w:val="18"/>
                <w:szCs w:val="18"/>
                <w:color w:val="auto"/>
              </w:rPr>
              <w:t>(38,160,894)</w:t>
            </w:r>
          </w:p>
        </w:tc>
        <w:tc>
          <w:tcPr>
            <w:tcW w:w="10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(52,882,431)</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4700" w:type="dxa"/>
            <w:vAlign w:val="bottom"/>
          </w:tcPr>
          <w:p>
            <w:pPr>
              <w:spacing w:after="0"/>
              <w:rPr>
                <w:sz w:val="10"/>
                <w:szCs w:val="10"/>
                <w:color w:val="auto"/>
              </w:rPr>
            </w:pPr>
          </w:p>
        </w:tc>
        <w:tc>
          <w:tcPr>
            <w:tcW w:w="4320" w:type="dxa"/>
            <w:vAlign w:val="bottom"/>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0"/>
              </w:rPr>
              <w:t>Net (decrease) increase in net assets available for benefits</w:t>
            </w:r>
          </w:p>
        </w:tc>
        <w:tc>
          <w:tcPr>
            <w:tcW w:w="56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(2,520,454)</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87,793,819</w:t>
            </w:r>
          </w:p>
        </w:tc>
        <w:tc>
          <w:tcPr>
            <w:tcW w:w="0" w:type="dxa"/>
            <w:vAlign w:val="bottom"/>
          </w:tcPr>
          <w:p>
            <w:pPr>
              <w:spacing w:after="0"/>
              <w:rPr>
                <w:sz w:val="1"/>
                <w:szCs w:val="1"/>
                <w:color w:val="auto"/>
              </w:rPr>
            </w:pPr>
          </w:p>
        </w:tc>
      </w:tr>
      <w:tr>
        <w:trPr>
          <w:trHeight w:val="323"/>
        </w:trPr>
        <w:tc>
          <w:tcPr>
            <w:tcW w:w="4720" w:type="dxa"/>
            <w:vAlign w:val="bottom"/>
            <w:gridSpan w:val="2"/>
          </w:tcPr>
          <w:p>
            <w:pPr>
              <w:spacing w:after="0"/>
              <w:rPr>
                <w:sz w:val="20"/>
                <w:szCs w:val="20"/>
                <w:color w:val="auto"/>
              </w:rPr>
            </w:pPr>
            <w:r>
              <w:rPr>
                <w:rFonts w:ascii="Arial" w:cs="Arial" w:eastAsia="Arial" w:hAnsi="Arial"/>
                <w:sz w:val="18"/>
                <w:szCs w:val="18"/>
                <w:color w:val="auto"/>
              </w:rPr>
              <w:t>Net assets available for benefits at beginning of year</w:t>
            </w:r>
          </w:p>
        </w:tc>
        <w:tc>
          <w:tcPr>
            <w:tcW w:w="5300" w:type="dxa"/>
            <w:vAlign w:val="bottom"/>
            <w:gridSpan w:val="2"/>
          </w:tcPr>
          <w:p>
            <w:pPr>
              <w:jc w:val="right"/>
              <w:spacing w:after="0"/>
              <w:rPr>
                <w:sz w:val="20"/>
                <w:szCs w:val="20"/>
                <w:color w:val="auto"/>
              </w:rPr>
            </w:pPr>
            <w:r>
              <w:rPr>
                <w:rFonts w:ascii="Arial" w:cs="Arial" w:eastAsia="Arial" w:hAnsi="Arial"/>
                <w:sz w:val="18"/>
                <w:szCs w:val="18"/>
                <w:color w:val="auto"/>
              </w:rPr>
              <w:t>803,203,001</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85"/>
              </w:rPr>
              <w:t>715,409,182</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4700" w:type="dxa"/>
            <w:vAlign w:val="bottom"/>
          </w:tcPr>
          <w:p>
            <w:pPr>
              <w:spacing w:after="0"/>
              <w:rPr>
                <w:sz w:val="10"/>
                <w:szCs w:val="10"/>
                <w:color w:val="auto"/>
              </w:rPr>
            </w:pPr>
          </w:p>
        </w:tc>
        <w:tc>
          <w:tcPr>
            <w:tcW w:w="4320" w:type="dxa"/>
            <w:vAlign w:val="bottom"/>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Net assets available for benefits at end of year</w:t>
            </w:r>
          </w:p>
        </w:tc>
        <w:tc>
          <w:tcPr>
            <w:tcW w:w="432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800,682,547</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803,203,001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2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5620" w:type="dxa"/>
            <w:vAlign w:val="bottom"/>
            <w:gridSpan w:val="3"/>
          </w:tcPr>
          <w:p>
            <w:pPr>
              <w:jc w:val="center"/>
              <w:ind w:right="3640"/>
              <w:spacing w:after="0"/>
              <w:rPr>
                <w:sz w:val="20"/>
                <w:szCs w:val="20"/>
                <w:color w:val="auto"/>
              </w:rPr>
            </w:pPr>
            <w:r>
              <w:rPr>
                <w:rFonts w:ascii="Arial" w:cs="Arial" w:eastAsia="Arial" w:hAnsi="Arial"/>
                <w:sz w:val="18"/>
                <w:szCs w:val="18"/>
                <w:color w:val="auto"/>
                <w:w w:val="85"/>
              </w:rPr>
              <w:t>See accompanying notes.</w:t>
            </w: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4320" w:type="dxa"/>
            <w:vAlign w:val="bottom"/>
          </w:tcPr>
          <w:p>
            <w:pPr>
              <w:jc w:val="right"/>
              <w:ind w:right="3194"/>
              <w:spacing w:after="0"/>
              <w:rPr>
                <w:sz w:val="20"/>
                <w:szCs w:val="20"/>
                <w:color w:val="auto"/>
              </w:rPr>
            </w:pPr>
            <w:r>
              <w:rPr>
                <w:rFonts w:ascii="Arial" w:cs="Arial" w:eastAsia="Arial" w:hAnsi="Arial"/>
                <w:sz w:val="18"/>
                <w:szCs w:val="18"/>
                <w:color w:val="auto"/>
              </w:rPr>
              <w:t>5</w:t>
            </w: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0" w:right="239" w:bottom="1440" w:gutter="0" w:footer="0" w:header="0"/>
        </w:sectPr>
      </w:pPr>
    </w:p>
    <w:bookmarkStart w:id="5" w:name="page6"/>
    <w:bookmarkEnd w:id="5"/>
    <w:p>
      <w:pPr>
        <w:jc w:val="center"/>
        <w:ind w:right="-31"/>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ANALOG DEVICES, INC.</w:t>
      </w:r>
    </w:p>
    <w:p>
      <w:pPr>
        <w:spacing w:after="0" w:line="171"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THE INVESTMENT PARTNERSHIP PLAN</w:t>
      </w:r>
    </w:p>
    <w:p>
      <w:pPr>
        <w:spacing w:after="0" w:line="171"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NOTES TO FINANCIAL STATEMENTS</w:t>
      </w:r>
    </w:p>
    <w:p>
      <w:pPr>
        <w:spacing w:after="0" w:line="171"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Years ended December 31, 2011 and 2010</w:t>
      </w:r>
    </w:p>
    <w:p>
      <w:pPr>
        <w:spacing w:after="0" w:line="206" w:lineRule="exact"/>
        <w:rPr>
          <w:sz w:val="20"/>
          <w:szCs w:val="20"/>
          <w:color w:val="auto"/>
        </w:rPr>
      </w:pPr>
    </w:p>
    <w:p>
      <w:pPr>
        <w:ind w:left="452" w:hanging="452"/>
        <w:spacing w:after="0"/>
        <w:tabs>
          <w:tab w:leader="none" w:pos="452"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Plan</w:t>
      </w:r>
    </w:p>
    <w:p>
      <w:pPr>
        <w:spacing w:after="0" w:line="96" w:lineRule="exact"/>
        <w:rPr>
          <w:rFonts w:ascii="Arial" w:cs="Arial" w:eastAsia="Arial" w:hAnsi="Arial"/>
          <w:sz w:val="18"/>
          <w:szCs w:val="18"/>
          <w:b w:val="1"/>
          <w:bCs w:val="1"/>
          <w:color w:val="auto"/>
        </w:rPr>
      </w:pPr>
    </w:p>
    <w:p>
      <w:pPr>
        <w:ind w:left="452" w:right="16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The following description of the Analog Devices, Inc. (the “Company”) The Investment Partnership Plan (the “Plan”) provides only general information. Participants should refer to the Plan agreement for a more complete description of the Plan’s provisions.</w:t>
      </w:r>
    </w:p>
    <w:p>
      <w:pPr>
        <w:spacing w:after="0" w:line="50" w:lineRule="exact"/>
        <w:rPr>
          <w:rFonts w:ascii="Arial" w:cs="Arial" w:eastAsia="Arial" w:hAnsi="Arial"/>
          <w:sz w:val="18"/>
          <w:szCs w:val="18"/>
          <w:b w:val="1"/>
          <w:bCs w:val="1"/>
          <w:color w:val="auto"/>
        </w:rPr>
      </w:pPr>
    </w:p>
    <w:p>
      <w:pPr>
        <w:ind w:left="452" w:right="360" w:firstLine="4"/>
        <w:spacing w:after="0" w:line="259" w:lineRule="auto"/>
        <w:tabs>
          <w:tab w:leader="none" w:pos="628" w:val="left"/>
        </w:tabs>
        <w:numPr>
          <w:ilvl w:val="1"/>
          <w:numId w:val="6"/>
        </w:numPr>
        <w:rPr>
          <w:rFonts w:ascii="Arial" w:cs="Arial" w:eastAsia="Arial" w:hAnsi="Arial"/>
          <w:sz w:val="18"/>
          <w:szCs w:val="18"/>
          <w:color w:val="auto"/>
        </w:rPr>
      </w:pPr>
      <w:r>
        <w:rPr>
          <w:rFonts w:ascii="Arial" w:cs="Arial" w:eastAsia="Arial" w:hAnsi="Arial"/>
          <w:sz w:val="18"/>
          <w:szCs w:val="18"/>
          <w:i w:val="1"/>
          <w:iCs w:val="1"/>
          <w:color w:val="auto"/>
        </w:rPr>
        <w:t>General</w:t>
      </w:r>
      <w:r>
        <w:rPr>
          <w:rFonts w:ascii="Arial" w:cs="Arial" w:eastAsia="Arial" w:hAnsi="Arial"/>
          <w:sz w:val="18"/>
          <w:szCs w:val="18"/>
          <w:color w:val="auto"/>
        </w:rPr>
        <w:t>. The Plan is a contributory defined contribution plan sponsored and administered by the Company. The Administrative Committee (the</w:t>
      </w:r>
      <w:r>
        <w:rPr>
          <w:rFonts w:ascii="Arial" w:cs="Arial" w:eastAsia="Arial" w:hAnsi="Arial"/>
          <w:sz w:val="18"/>
          <w:szCs w:val="18"/>
          <w:i w:val="1"/>
          <w:iCs w:val="1"/>
          <w:color w:val="auto"/>
        </w:rPr>
        <w:t xml:space="preserve"> </w:t>
      </w:r>
      <w:r>
        <w:rPr>
          <w:rFonts w:ascii="Arial" w:cs="Arial" w:eastAsia="Arial" w:hAnsi="Arial"/>
          <w:sz w:val="18"/>
          <w:szCs w:val="18"/>
          <w:color w:val="auto"/>
        </w:rPr>
        <w:t>“Committee”) is responsible for the administration of the plan. It is subject to the provisions of the Employee Retirement Income Security Act of 1974 (“ERISA”).</w:t>
      </w:r>
    </w:p>
    <w:p>
      <w:pPr>
        <w:spacing w:after="0" w:line="59" w:lineRule="exact"/>
        <w:rPr>
          <w:rFonts w:ascii="Arial" w:cs="Arial" w:eastAsia="Arial" w:hAnsi="Arial"/>
          <w:sz w:val="18"/>
          <w:szCs w:val="18"/>
          <w:color w:val="auto"/>
        </w:rPr>
      </w:pPr>
    </w:p>
    <w:p>
      <w:pPr>
        <w:ind w:left="452" w:right="200" w:firstLine="4"/>
        <w:spacing w:after="0" w:line="259" w:lineRule="auto"/>
        <w:tabs>
          <w:tab w:leader="none" w:pos="628" w:val="left"/>
        </w:tabs>
        <w:numPr>
          <w:ilvl w:val="1"/>
          <w:numId w:val="6"/>
        </w:numPr>
        <w:rPr>
          <w:rFonts w:ascii="Arial" w:cs="Arial" w:eastAsia="Arial" w:hAnsi="Arial"/>
          <w:sz w:val="18"/>
          <w:szCs w:val="18"/>
          <w:color w:val="auto"/>
        </w:rPr>
      </w:pPr>
      <w:r>
        <w:rPr>
          <w:rFonts w:ascii="Arial" w:cs="Arial" w:eastAsia="Arial" w:hAnsi="Arial"/>
          <w:sz w:val="18"/>
          <w:szCs w:val="18"/>
          <w:i w:val="1"/>
          <w:iCs w:val="1"/>
          <w:color w:val="auto"/>
        </w:rPr>
        <w:t>Eligibility</w:t>
      </w:r>
      <w:r>
        <w:rPr>
          <w:rFonts w:ascii="Arial" w:cs="Arial" w:eastAsia="Arial" w:hAnsi="Arial"/>
          <w:sz w:val="18"/>
          <w:szCs w:val="18"/>
          <w:color w:val="auto"/>
        </w:rPr>
        <w:t>. Domestic employees of the Company are eligible to participate in the Plan on the first day of employment. The Company contributions are</w:t>
      </w:r>
      <w:r>
        <w:rPr>
          <w:rFonts w:ascii="Arial" w:cs="Arial" w:eastAsia="Arial" w:hAnsi="Arial"/>
          <w:sz w:val="18"/>
          <w:szCs w:val="18"/>
          <w:i w:val="1"/>
          <w:iCs w:val="1"/>
          <w:color w:val="auto"/>
        </w:rPr>
        <w:t xml:space="preserve"> </w:t>
      </w:r>
      <w:r>
        <w:rPr>
          <w:rFonts w:ascii="Arial" w:cs="Arial" w:eastAsia="Arial" w:hAnsi="Arial"/>
          <w:sz w:val="18"/>
          <w:szCs w:val="18"/>
          <w:color w:val="auto"/>
        </w:rPr>
        <w:t>effective upon the first day following one year of service. For eligibility purposes, a year of service is a 12-month period during which an employee completes at least 1,000 hours of service.</w:t>
      </w:r>
    </w:p>
    <w:p>
      <w:pPr>
        <w:spacing w:after="0" w:line="59" w:lineRule="exact"/>
        <w:rPr>
          <w:rFonts w:ascii="Arial" w:cs="Arial" w:eastAsia="Arial" w:hAnsi="Arial"/>
          <w:sz w:val="18"/>
          <w:szCs w:val="18"/>
          <w:color w:val="auto"/>
        </w:rPr>
      </w:pPr>
    </w:p>
    <w:p>
      <w:pPr>
        <w:ind w:left="452" w:firstLine="4"/>
        <w:spacing w:after="0" w:line="289" w:lineRule="auto"/>
        <w:tabs>
          <w:tab w:leader="none" w:pos="628" w:val="left"/>
        </w:tabs>
        <w:numPr>
          <w:ilvl w:val="1"/>
          <w:numId w:val="6"/>
        </w:numPr>
        <w:rPr>
          <w:rFonts w:ascii="Arial" w:cs="Arial" w:eastAsia="Arial" w:hAnsi="Arial"/>
          <w:sz w:val="16"/>
          <w:szCs w:val="16"/>
          <w:color w:val="auto"/>
        </w:rPr>
      </w:pPr>
      <w:r>
        <w:rPr>
          <w:rFonts w:ascii="Arial" w:cs="Arial" w:eastAsia="Arial" w:hAnsi="Arial"/>
          <w:sz w:val="16"/>
          <w:szCs w:val="16"/>
          <w:i w:val="1"/>
          <w:iCs w:val="1"/>
          <w:color w:val="auto"/>
        </w:rPr>
        <w:t>Contributions</w:t>
      </w:r>
      <w:r>
        <w:rPr>
          <w:rFonts w:ascii="Arial" w:cs="Arial" w:eastAsia="Arial" w:hAnsi="Arial"/>
          <w:sz w:val="16"/>
          <w:szCs w:val="16"/>
          <w:color w:val="auto"/>
        </w:rPr>
        <w:t>. Basic contributions are made at the sole discretion of the Company. For 2011 and 2010, the Company made annual basic contributions of</w:t>
      </w:r>
      <w:r>
        <w:rPr>
          <w:rFonts w:ascii="Arial" w:cs="Arial" w:eastAsia="Arial" w:hAnsi="Arial"/>
          <w:sz w:val="16"/>
          <w:szCs w:val="16"/>
          <w:i w:val="1"/>
          <w:iCs w:val="1"/>
          <w:color w:val="auto"/>
        </w:rPr>
        <w:t xml:space="preserve"> </w:t>
      </w:r>
      <w:r>
        <w:rPr>
          <w:rFonts w:ascii="Arial" w:cs="Arial" w:eastAsia="Arial" w:hAnsi="Arial"/>
          <w:sz w:val="16"/>
          <w:szCs w:val="16"/>
          <w:color w:val="auto"/>
        </w:rPr>
        <w:t>5% of each participant’s total eligible compensation. The Internal Revenue Code limited total eligible compensation to an amount not to exceed $245,000 for 2011 and 2010. For 2012, this limitation will increase to $250,000. In addition to the basic contribution, the Company matches each participant’s pre-tax contribution, if any, by contributing an amount of 100% of the first 2% of total eligible pay contributed on a pre-tax basis plus 50% of the next 2%, not to exceed 3% of such participant’s total eligible compensation. A participant may elect to contribute up to 50% of his or her pre-tax total eligible compensation to the Plan; however, pre-tax contributions were limited to $16,500 in 2011 and 2010. This amount will increase to $17,000 for 2012. Eligible participants are automatically enrolled in the Plan after sixty days from their employment commencement date, unless they affirmatively decline to participate. If a participant is automatically enrolled, a participant’s pre-tax deferral is set at 4% of eligible compensation.</w:t>
      </w:r>
    </w:p>
    <w:p>
      <w:pPr>
        <w:spacing w:after="0" w:line="37" w:lineRule="exact"/>
        <w:rPr>
          <w:sz w:val="20"/>
          <w:szCs w:val="20"/>
          <w:color w:val="auto"/>
        </w:rPr>
      </w:pPr>
    </w:p>
    <w:p>
      <w:pPr>
        <w:ind w:left="452" w:right="220"/>
        <w:spacing w:after="0" w:line="268" w:lineRule="auto"/>
        <w:rPr>
          <w:sz w:val="20"/>
          <w:szCs w:val="20"/>
          <w:color w:val="auto"/>
        </w:rPr>
      </w:pPr>
      <w:r>
        <w:rPr>
          <w:rFonts w:ascii="Arial" w:cs="Arial" w:eastAsia="Arial" w:hAnsi="Arial"/>
          <w:sz w:val="18"/>
          <w:szCs w:val="18"/>
          <w:color w:val="auto"/>
        </w:rPr>
        <w:t>Company contributions, participants’ pre-tax contributions and the net investment income related to all contributions are excluded from the participants’ income for federal income tax purposes until such amounts are withdrawn or distributed.</w:t>
      </w:r>
    </w:p>
    <w:p>
      <w:pPr>
        <w:spacing w:after="0" w:line="118"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92"/>
          </w:cols>
          <w:pgMar w:left="248" w:top="280" w:right="259" w:bottom="1440" w:gutter="0" w:footer="0" w:header="0"/>
        </w:sectPr>
      </w:pPr>
    </w:p>
    <w:bookmarkStart w:id="6" w:name="page7"/>
    <w:bookmarkEnd w:id="6"/>
    <w:p>
      <w:pPr>
        <w:jc w:val="center"/>
        <w:ind w:right="1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ANALOG DEVICES, INC.</w:t>
      </w:r>
    </w:p>
    <w:p>
      <w:pPr>
        <w:spacing w:after="0" w:line="171"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THE INVESTMENT PARTNERSHIP PLAN</w:t>
      </w:r>
    </w:p>
    <w:p>
      <w:pPr>
        <w:spacing w:after="0" w:line="171"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NOTES TO FINANCIAL STATEMENTS</w:t>
      </w:r>
    </w:p>
    <w:p>
      <w:pPr>
        <w:spacing w:after="0" w:line="171"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Years ended December 31, 2011 and 2010</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4. </w:t>
      </w:r>
      <w:r>
        <w:rPr>
          <w:rFonts w:ascii="Arial" w:cs="Arial" w:eastAsia="Arial" w:hAnsi="Arial"/>
          <w:sz w:val="18"/>
          <w:szCs w:val="18"/>
          <w:i w:val="1"/>
          <w:iCs w:val="1"/>
          <w:color w:val="auto"/>
        </w:rPr>
        <w:t>Investment Options</w:t>
      </w:r>
      <w:r>
        <w:rPr>
          <w:rFonts w:ascii="Arial" w:cs="Arial" w:eastAsia="Arial" w:hAnsi="Arial"/>
          <w:sz w:val="18"/>
          <w:szCs w:val="18"/>
          <w:color w:val="auto"/>
        </w:rPr>
        <w:t>. The investment options of the Plan are listed below.</w:t>
      </w:r>
    </w:p>
    <w:p>
      <w:pPr>
        <w:spacing w:after="0" w:line="90"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Analog Devices, Inc. Common Stock Fund</w:t>
      </w:r>
    </w:p>
    <w:p>
      <w:pPr>
        <w:spacing w:after="0" w:line="15"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Calamos Growth Fund</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Fidelity Diversified International Fund</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Fidelity Equity-Income Fund</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Fidelity Growth Company Fund</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Fidelity Low-Priced Stock Fund</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Fidelity Freedom Income Fund</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Fidelity Freedom 2000 Fund</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Fidelity Freedom 2005 Fund</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Fidelity Freedom 2010 Fund</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Fidelity Freedom 2015 Fund</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Fidelity Freedom 2020 Fund</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Fidelity Freedom 2025 Fund</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Fidelity Freedom 2030 Fund</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Fidelity Freedom 2035 Fund</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Fidelity Freedom 2040 Fund</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Fidelity Freedom 2045 Fund</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Fidelity Freedom 2050 Fund</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Fidelity Institutional Money Market Fund</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Fidelity U.S. Equity Index Commingled Pool</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Hotchkis and Wiley Mid-Cap Value Fund</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Oppenheimer Developing Markets Fund</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Pyramis Large Cap Core Commingled Pool</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Royce Low-Priced Stock Fund</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Spartan International Index Fund</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Spartan U.S. Bond Index Fund</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Templeton Foreign Fund</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Vanguard Mid-Cap Index Fund</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Vanguard Short-Term Bond Index Fund</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Vanguard Small-Cap Index Fund</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Vanguard Inflation-Protected Securities Fund</w:t>
      </w:r>
    </w:p>
    <w:p>
      <w:pPr>
        <w:spacing w:after="0" w:line="8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Additionally, participants have the option to invest assets in a self-directed brokerage service that allows participants access to a wide variety of stocks, bonds, short-term securities and mutual funds.</w:t>
      </w:r>
    </w:p>
    <w:p>
      <w:pPr>
        <w:spacing w:after="0" w:line="118"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620"/>
          </w:cols>
          <w:pgMar w:left="700" w:top="280" w:right="579" w:bottom="1440" w:gutter="0" w:footer="0" w:header="0"/>
        </w:sectPr>
      </w:pPr>
    </w:p>
    <w:bookmarkStart w:id="7" w:name="page8"/>
    <w:bookmarkEnd w:id="7"/>
    <w:p>
      <w:pPr>
        <w:ind w:left="42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ANALOG DEVICES, INC.</w:t>
      </w:r>
    </w:p>
    <w:p>
      <w:pPr>
        <w:spacing w:after="0" w:line="171"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THE INVESTMENT PARTNERSHIP PLAN</w:t>
      </w:r>
    </w:p>
    <w:p>
      <w:pPr>
        <w:spacing w:after="0" w:line="171" w:lineRule="exact"/>
        <w:rPr>
          <w:sz w:val="20"/>
          <w:szCs w:val="20"/>
          <w:color w:val="auto"/>
        </w:rPr>
      </w:pPr>
    </w:p>
    <w:p>
      <w:pPr>
        <w:ind w:left="3760"/>
        <w:spacing w:after="0"/>
        <w:rPr>
          <w:sz w:val="20"/>
          <w:szCs w:val="20"/>
          <w:color w:val="auto"/>
        </w:rPr>
      </w:pPr>
      <w:r>
        <w:rPr>
          <w:rFonts w:ascii="Arial" w:cs="Arial" w:eastAsia="Arial" w:hAnsi="Arial"/>
          <w:sz w:val="18"/>
          <w:szCs w:val="18"/>
          <w:color w:val="auto"/>
        </w:rPr>
        <w:t>NOTES TO FINANCIAL STATEMENTS</w:t>
      </w:r>
    </w:p>
    <w:p>
      <w:pPr>
        <w:spacing w:after="0" w:line="171" w:lineRule="exact"/>
        <w:rPr>
          <w:sz w:val="20"/>
          <w:szCs w:val="20"/>
          <w:color w:val="auto"/>
        </w:rPr>
      </w:pPr>
    </w:p>
    <w:p>
      <w:pPr>
        <w:ind w:left="3780"/>
        <w:spacing w:after="0"/>
        <w:rPr>
          <w:sz w:val="20"/>
          <w:szCs w:val="20"/>
          <w:color w:val="auto"/>
        </w:rPr>
      </w:pPr>
      <w:r>
        <w:rPr>
          <w:rFonts w:ascii="Arial" w:cs="Arial" w:eastAsia="Arial" w:hAnsi="Arial"/>
          <w:sz w:val="18"/>
          <w:szCs w:val="18"/>
          <w:color w:val="auto"/>
        </w:rPr>
        <w:t>Years ended December 31, 2011 and 2010</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5. </w:t>
      </w:r>
      <w:r>
        <w:rPr>
          <w:rFonts w:ascii="Arial" w:cs="Arial" w:eastAsia="Arial" w:hAnsi="Arial"/>
          <w:sz w:val="18"/>
          <w:szCs w:val="18"/>
          <w:i w:val="1"/>
          <w:iCs w:val="1"/>
          <w:color w:val="auto"/>
        </w:rPr>
        <w:t>Vesting</w:t>
      </w:r>
      <w:r>
        <w:rPr>
          <w:rFonts w:ascii="Arial" w:cs="Arial" w:eastAsia="Arial" w:hAnsi="Arial"/>
          <w:sz w:val="18"/>
          <w:szCs w:val="18"/>
          <w:color w:val="auto"/>
        </w:rPr>
        <w:t xml:space="preserve">. </w:t>
      </w:r>
      <w:r>
        <w:rPr>
          <w:rFonts w:ascii="Arial" w:cs="Arial" w:eastAsia="Arial" w:hAnsi="Arial"/>
          <w:sz w:val="18"/>
          <w:szCs w:val="18"/>
          <w:i w:val="1"/>
          <w:iCs w:val="1"/>
          <w:color w:val="auto"/>
        </w:rPr>
        <w:t>Participant contributions</w:t>
      </w:r>
      <w:r>
        <w:rPr>
          <w:rFonts w:ascii="Arial" w:cs="Arial" w:eastAsia="Arial" w:hAnsi="Arial"/>
          <w:sz w:val="18"/>
          <w:szCs w:val="18"/>
          <w:color w:val="auto"/>
        </w:rPr>
        <w:t>: Participants are immediately 100% vested in their contributions plus actual earnings thereon.</w:t>
      </w:r>
    </w:p>
    <w:p>
      <w:pPr>
        <w:spacing w:after="0" w:line="90" w:lineRule="exact"/>
        <w:rPr>
          <w:sz w:val="20"/>
          <w:szCs w:val="20"/>
          <w:color w:val="auto"/>
        </w:rPr>
      </w:pPr>
    </w:p>
    <w:p>
      <w:pPr>
        <w:ind w:left="220"/>
        <w:spacing w:after="0"/>
        <w:rPr>
          <w:sz w:val="20"/>
          <w:szCs w:val="20"/>
          <w:color w:val="auto"/>
        </w:rPr>
      </w:pPr>
      <w:r>
        <w:rPr>
          <w:rFonts w:ascii="Arial" w:cs="Arial" w:eastAsia="Arial" w:hAnsi="Arial"/>
          <w:sz w:val="16"/>
          <w:szCs w:val="16"/>
          <w:i w:val="1"/>
          <w:iCs w:val="1"/>
          <w:color w:val="auto"/>
        </w:rPr>
        <w:t xml:space="preserve">Company Contributions: </w:t>
      </w:r>
      <w:r>
        <w:rPr>
          <w:rFonts w:ascii="Arial" w:cs="Arial" w:eastAsia="Arial" w:hAnsi="Arial"/>
          <w:sz w:val="16"/>
          <w:szCs w:val="16"/>
          <w:color w:val="auto"/>
        </w:rPr>
        <w:t>Company basic and match contributions and investment earnings thereon become fully vested upon the first to occur of</w:t>
      </w:r>
    </w:p>
    <w:p>
      <w:pPr>
        <w:spacing w:after="0" w:line="38" w:lineRule="exact"/>
        <w:rPr>
          <w:sz w:val="20"/>
          <w:szCs w:val="20"/>
          <w:color w:val="auto"/>
        </w:rPr>
      </w:pPr>
    </w:p>
    <w:p>
      <w:pPr>
        <w:ind w:right="160" w:firstLine="4"/>
        <w:spacing w:after="0" w:line="255" w:lineRule="auto"/>
        <w:tabs>
          <w:tab w:leader="none" w:pos="21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completion of three years of service with the Company, (ii) attaining age 65 while employed by the Company, (iii) death or permanent disability while employed by the Company or (iv) if employment is terminated by the Company due to job elimination, the closing of a facility or as the result of the disposition of a business unit.</w:t>
      </w:r>
    </w:p>
    <w:p>
      <w:pPr>
        <w:spacing w:after="0" w:line="63" w:lineRule="exact"/>
        <w:rPr>
          <w:sz w:val="20"/>
          <w:szCs w:val="20"/>
          <w:color w:val="auto"/>
        </w:rPr>
      </w:pPr>
    </w:p>
    <w:p>
      <w:pPr>
        <w:ind w:right="240" w:firstLine="4"/>
        <w:spacing w:after="0" w:line="294" w:lineRule="auto"/>
        <w:tabs>
          <w:tab w:leader="none" w:pos="176" w:val="left"/>
        </w:tabs>
        <w:numPr>
          <w:ilvl w:val="0"/>
          <w:numId w:val="8"/>
        </w:numPr>
        <w:rPr>
          <w:rFonts w:ascii="Arial" w:cs="Arial" w:eastAsia="Arial" w:hAnsi="Arial"/>
          <w:sz w:val="16"/>
          <w:szCs w:val="16"/>
          <w:color w:val="auto"/>
        </w:rPr>
      </w:pPr>
      <w:r>
        <w:rPr>
          <w:rFonts w:ascii="Arial" w:cs="Arial" w:eastAsia="Arial" w:hAnsi="Arial"/>
          <w:sz w:val="16"/>
          <w:szCs w:val="16"/>
          <w:i w:val="1"/>
          <w:iCs w:val="1"/>
          <w:color w:val="auto"/>
        </w:rPr>
        <w:t>Benefits</w:t>
      </w:r>
      <w:r>
        <w:rPr>
          <w:rFonts w:ascii="Arial" w:cs="Arial" w:eastAsia="Arial" w:hAnsi="Arial"/>
          <w:sz w:val="16"/>
          <w:szCs w:val="16"/>
          <w:color w:val="auto"/>
        </w:rPr>
        <w:t>. Upon normal retirement at age 65, death, permanent disability or termination of employment, the participant’s vested benefits are paid to the</w:t>
      </w:r>
      <w:r>
        <w:rPr>
          <w:rFonts w:ascii="Arial" w:cs="Arial" w:eastAsia="Arial" w:hAnsi="Arial"/>
          <w:sz w:val="16"/>
          <w:szCs w:val="16"/>
          <w:i w:val="1"/>
          <w:iCs w:val="1"/>
          <w:color w:val="auto"/>
        </w:rPr>
        <w:t xml:space="preserve"> </w:t>
      </w:r>
      <w:r>
        <w:rPr>
          <w:rFonts w:ascii="Arial" w:cs="Arial" w:eastAsia="Arial" w:hAnsi="Arial"/>
          <w:sz w:val="16"/>
          <w:szCs w:val="16"/>
          <w:color w:val="auto"/>
        </w:rPr>
        <w:t>participant or his or her beneficiary, at the election of the participant, either in a lump sum or in monthly installments over a period of up to ten years. A participant may elect to defer payment of his or her account until he or she attains age 70 1/2. However, if a participant’s vested benefits are less than $1,000 upon termination of employment, distribution will be made in the form of a lump-sum payment within one year following termination of employment. Participants may request an in-service withdrawal for any reason after he or she attains age 59 1/2.</w:t>
      </w:r>
    </w:p>
    <w:p>
      <w:pPr>
        <w:spacing w:after="0" w:line="34" w:lineRule="exact"/>
        <w:rPr>
          <w:rFonts w:ascii="Arial" w:cs="Arial" w:eastAsia="Arial" w:hAnsi="Arial"/>
          <w:sz w:val="16"/>
          <w:szCs w:val="16"/>
          <w:color w:val="auto"/>
        </w:rPr>
      </w:pPr>
    </w:p>
    <w:p>
      <w:pPr>
        <w:ind w:right="220" w:firstLine="4"/>
        <w:spacing w:after="0" w:line="298" w:lineRule="auto"/>
        <w:tabs>
          <w:tab w:leader="none" w:pos="176" w:val="left"/>
        </w:tabs>
        <w:numPr>
          <w:ilvl w:val="0"/>
          <w:numId w:val="8"/>
        </w:numPr>
        <w:rPr>
          <w:rFonts w:ascii="Arial" w:cs="Arial" w:eastAsia="Arial" w:hAnsi="Arial"/>
          <w:sz w:val="16"/>
          <w:szCs w:val="16"/>
          <w:color w:val="auto"/>
        </w:rPr>
      </w:pPr>
      <w:r>
        <w:rPr>
          <w:rFonts w:ascii="Arial" w:cs="Arial" w:eastAsia="Arial" w:hAnsi="Arial"/>
          <w:sz w:val="16"/>
          <w:szCs w:val="16"/>
          <w:i w:val="1"/>
          <w:iCs w:val="1"/>
          <w:color w:val="auto"/>
        </w:rPr>
        <w:t>Notes Receivable from Participants</w:t>
      </w:r>
      <w:r>
        <w:rPr>
          <w:rFonts w:ascii="Arial" w:cs="Arial" w:eastAsia="Arial" w:hAnsi="Arial"/>
          <w:sz w:val="16"/>
          <w:szCs w:val="16"/>
          <w:color w:val="auto"/>
        </w:rPr>
        <w:t>. Participants may borrow the lesser of 50% of their vested account balance, as defined by the plan, or $50,000.</w:t>
      </w:r>
      <w:r>
        <w:rPr>
          <w:rFonts w:ascii="Arial" w:cs="Arial" w:eastAsia="Arial" w:hAnsi="Arial"/>
          <w:sz w:val="16"/>
          <w:szCs w:val="16"/>
          <w:i w:val="1"/>
          <w:iCs w:val="1"/>
          <w:color w:val="auto"/>
        </w:rPr>
        <w:t xml:space="preserve"> </w:t>
      </w:r>
      <w:r>
        <w:rPr>
          <w:rFonts w:ascii="Arial" w:cs="Arial" w:eastAsia="Arial" w:hAnsi="Arial"/>
          <w:sz w:val="16"/>
          <w:szCs w:val="16"/>
          <w:color w:val="auto"/>
        </w:rPr>
        <w:t>Participants repay loans plus interest to their accounts through payroll deductions, generally over a five-year period unless for the purchase of a primary residence, in which case the repayment period may be extended up to a maximum of twenty years. The interest rate on loans is set quarterly and remains fixed for the duration of the loan. The interest rate is Prime plus 1% for all loans (4.25% at December 31, 2011 and 2010).</w:t>
      </w:r>
    </w:p>
    <w:p>
      <w:pPr>
        <w:spacing w:after="0" w:line="31" w:lineRule="exact"/>
        <w:rPr>
          <w:rFonts w:ascii="Arial" w:cs="Arial" w:eastAsia="Arial" w:hAnsi="Arial"/>
          <w:sz w:val="16"/>
          <w:szCs w:val="16"/>
          <w:color w:val="auto"/>
        </w:rPr>
      </w:pPr>
    </w:p>
    <w:p>
      <w:pPr>
        <w:ind w:firstLine="4"/>
        <w:spacing w:after="0" w:line="253" w:lineRule="auto"/>
        <w:tabs>
          <w:tab w:leader="none" w:pos="176"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Accounting</w:t>
      </w:r>
      <w:r>
        <w:rPr>
          <w:rFonts w:ascii="Arial" w:cs="Arial" w:eastAsia="Arial" w:hAnsi="Arial"/>
          <w:sz w:val="18"/>
          <w:szCs w:val="18"/>
          <w:color w:val="auto"/>
        </w:rPr>
        <w:t>. A separate account is maintained for each participant. Account balances are adjusted periodically for participant and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contributions, withdrawals and a pro rata share of net investment income or loss. Forfeitures that arise when participants terminate employment with the Company prior to vesting are used to offset future Company contributions and administrative expenses of the Plan. If an employee who had terminated returns to the employment of the Company within five years, any amount that had been forfeited will be reinstated by the Company. The benefit to which a participant is entitled is the benefit that can be provided from the participant’s vested account. Unallocated forfeiture balances as of December 31, 2011 and 2010 were $498,478 and $133,992, respectively, and forfeitures used to reduce Company contributions for 2011 and 2010 were $145,419 and $1,296,963, respectively.</w:t>
      </w:r>
    </w:p>
    <w:p>
      <w:pPr>
        <w:spacing w:after="0" w:line="134"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40"/>
          </w:cols>
          <w:pgMar w:left="700" w:top="280" w:right="259" w:bottom="1440" w:gutter="0" w:footer="0" w:header="0"/>
        </w:sectPr>
      </w:pPr>
    </w:p>
    <w:bookmarkStart w:id="8" w:name="page9"/>
    <w:bookmarkEnd w:id="8"/>
    <w:p>
      <w:pPr>
        <w:jc w:val="center"/>
        <w:ind w:right="-11"/>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ANALOG DEVICES, INC.</w:t>
      </w:r>
    </w:p>
    <w:p>
      <w:pPr>
        <w:spacing w:after="0" w:line="17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THE INVESTMENT PARTNERSHIP PLAN</w:t>
      </w:r>
    </w:p>
    <w:p>
      <w:pPr>
        <w:spacing w:after="0" w:line="17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NOTES TO FINANCIAL STATEMENTS</w:t>
      </w:r>
    </w:p>
    <w:p>
      <w:pPr>
        <w:spacing w:after="0" w:line="17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Years ended December 31, 2011 and 2010</w:t>
      </w:r>
    </w:p>
    <w:p>
      <w:pPr>
        <w:spacing w:after="0" w:line="158" w:lineRule="exact"/>
        <w:rPr>
          <w:sz w:val="20"/>
          <w:szCs w:val="20"/>
          <w:color w:val="auto"/>
        </w:rPr>
      </w:pPr>
    </w:p>
    <w:p>
      <w:pPr>
        <w:ind w:left="452" w:right="140"/>
        <w:spacing w:after="0" w:line="259" w:lineRule="auto"/>
        <w:rPr>
          <w:sz w:val="20"/>
          <w:szCs w:val="20"/>
          <w:color w:val="auto"/>
        </w:rPr>
      </w:pPr>
      <w:r>
        <w:rPr>
          <w:rFonts w:ascii="Arial" w:cs="Arial" w:eastAsia="Arial" w:hAnsi="Arial"/>
          <w:sz w:val="18"/>
          <w:szCs w:val="18"/>
          <w:color w:val="auto"/>
        </w:rPr>
        <w:t>All transactions of the Plan (including contributions, withdrawals and exchanges) have been accounted for and reported using units as well as dollars. Net investment (loss) income in each fund is allocated based on the shares or units in each participant’s account, except for the Self-Directed Brokerage Service, whereby earnings are recorded on a transaction specific basis.</w:t>
      </w:r>
    </w:p>
    <w:p>
      <w:pPr>
        <w:spacing w:after="0" w:line="59" w:lineRule="exact"/>
        <w:rPr>
          <w:sz w:val="20"/>
          <w:szCs w:val="20"/>
          <w:color w:val="auto"/>
        </w:rPr>
      </w:pPr>
    </w:p>
    <w:p>
      <w:pPr>
        <w:ind w:left="452" w:right="60" w:firstLine="4"/>
        <w:spacing w:after="0" w:line="306" w:lineRule="auto"/>
        <w:tabs>
          <w:tab w:leader="none" w:pos="628" w:val="left"/>
        </w:tabs>
        <w:numPr>
          <w:ilvl w:val="1"/>
          <w:numId w:val="9"/>
        </w:numPr>
        <w:rPr>
          <w:rFonts w:ascii="Arial" w:cs="Arial" w:eastAsia="Arial" w:hAnsi="Arial"/>
          <w:sz w:val="16"/>
          <w:szCs w:val="16"/>
          <w:color w:val="auto"/>
        </w:rPr>
      </w:pPr>
      <w:r>
        <w:rPr>
          <w:rFonts w:ascii="Arial" w:cs="Arial" w:eastAsia="Arial" w:hAnsi="Arial"/>
          <w:sz w:val="16"/>
          <w:szCs w:val="16"/>
          <w:i w:val="1"/>
          <w:iCs w:val="1"/>
          <w:color w:val="auto"/>
        </w:rPr>
        <w:t>Investment allocation</w:t>
      </w:r>
      <w:r>
        <w:rPr>
          <w:rFonts w:ascii="Arial" w:cs="Arial" w:eastAsia="Arial" w:hAnsi="Arial"/>
          <w:sz w:val="16"/>
          <w:szCs w:val="16"/>
          <w:color w:val="auto"/>
        </w:rPr>
        <w:t>. The vested and nonvested share of a participant’s account balance is invested in one or more of the investment options depending</w:t>
      </w:r>
      <w:r>
        <w:rPr>
          <w:rFonts w:ascii="Arial" w:cs="Arial" w:eastAsia="Arial" w:hAnsi="Arial"/>
          <w:sz w:val="16"/>
          <w:szCs w:val="16"/>
          <w:i w:val="1"/>
          <w:iCs w:val="1"/>
          <w:color w:val="auto"/>
        </w:rPr>
        <w:t xml:space="preserve"> </w:t>
      </w:r>
      <w:r>
        <w:rPr>
          <w:rFonts w:ascii="Arial" w:cs="Arial" w:eastAsia="Arial" w:hAnsi="Arial"/>
          <w:sz w:val="16"/>
          <w:szCs w:val="16"/>
          <w:color w:val="auto"/>
        </w:rPr>
        <w:t>upon the allocation instructions of the participant. In the absence of such allocation instructions, all amounts accruing to the participant are invested in a Fidelity Freedom Fund, based on their projected retirement timeframe. Participants may change this election at any time.</w:t>
      </w:r>
    </w:p>
    <w:p>
      <w:pPr>
        <w:spacing w:after="0" w:line="25" w:lineRule="exact"/>
        <w:rPr>
          <w:rFonts w:ascii="Arial" w:cs="Arial" w:eastAsia="Arial" w:hAnsi="Arial"/>
          <w:sz w:val="16"/>
          <w:szCs w:val="16"/>
          <w:color w:val="auto"/>
        </w:rPr>
      </w:pPr>
    </w:p>
    <w:p>
      <w:pPr>
        <w:ind w:left="452" w:firstLine="4"/>
        <w:spacing w:after="0" w:line="332" w:lineRule="auto"/>
        <w:tabs>
          <w:tab w:leader="none" w:pos="715" w:val="left"/>
        </w:tabs>
        <w:numPr>
          <w:ilvl w:val="1"/>
          <w:numId w:val="9"/>
        </w:numPr>
        <w:rPr>
          <w:rFonts w:ascii="Arial" w:cs="Arial" w:eastAsia="Arial" w:hAnsi="Arial"/>
          <w:sz w:val="16"/>
          <w:szCs w:val="16"/>
          <w:color w:val="auto"/>
        </w:rPr>
      </w:pPr>
      <w:r>
        <w:rPr>
          <w:rFonts w:ascii="Arial" w:cs="Arial" w:eastAsia="Arial" w:hAnsi="Arial"/>
          <w:sz w:val="16"/>
          <w:szCs w:val="16"/>
          <w:i w:val="1"/>
          <w:iCs w:val="1"/>
          <w:color w:val="auto"/>
        </w:rPr>
        <w:t>Continuation of the Plan</w:t>
      </w:r>
      <w:r>
        <w:rPr>
          <w:rFonts w:ascii="Arial" w:cs="Arial" w:eastAsia="Arial" w:hAnsi="Arial"/>
          <w:sz w:val="16"/>
          <w:szCs w:val="16"/>
          <w:color w:val="auto"/>
        </w:rPr>
        <w:t>. While the Company has not expressed any intent to terminate the Plan or suspend contributions, it is free to do so at any time.</w:t>
      </w:r>
      <w:r>
        <w:rPr>
          <w:rFonts w:ascii="Arial" w:cs="Arial" w:eastAsia="Arial" w:hAnsi="Arial"/>
          <w:sz w:val="16"/>
          <w:szCs w:val="16"/>
          <w:i w:val="1"/>
          <w:iCs w:val="1"/>
          <w:color w:val="auto"/>
        </w:rPr>
        <w:t xml:space="preserve"> </w:t>
      </w:r>
      <w:r>
        <w:rPr>
          <w:rFonts w:ascii="Arial" w:cs="Arial" w:eastAsia="Arial" w:hAnsi="Arial"/>
          <w:sz w:val="16"/>
          <w:szCs w:val="16"/>
          <w:color w:val="auto"/>
        </w:rPr>
        <w:t>In the event of such termination or suspension, each participant would have a nonforfeitable right to all monies in his or her account.</w:t>
      </w:r>
    </w:p>
    <w:p>
      <w:pPr>
        <w:spacing w:after="0" w:line="200" w:lineRule="exact"/>
        <w:rPr>
          <w:rFonts w:ascii="Arial" w:cs="Arial" w:eastAsia="Arial" w:hAnsi="Arial"/>
          <w:sz w:val="16"/>
          <w:szCs w:val="16"/>
          <w:color w:val="auto"/>
        </w:rPr>
      </w:pPr>
    </w:p>
    <w:p>
      <w:pPr>
        <w:ind w:left="452" w:hanging="452"/>
        <w:spacing w:after="0"/>
        <w:tabs>
          <w:tab w:leader="none" w:pos="452"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96" w:lineRule="exact"/>
        <w:rPr>
          <w:rFonts w:ascii="Arial" w:cs="Arial" w:eastAsia="Arial" w:hAnsi="Arial"/>
          <w:sz w:val="18"/>
          <w:szCs w:val="18"/>
          <w:b w:val="1"/>
          <w:bCs w:val="1"/>
          <w:color w:val="auto"/>
        </w:rPr>
      </w:pPr>
    </w:p>
    <w:p>
      <w:pPr>
        <w:ind w:left="632" w:hanging="176"/>
        <w:spacing w:after="0"/>
        <w:tabs>
          <w:tab w:leader="none" w:pos="632" w:val="left"/>
        </w:tabs>
        <w:numPr>
          <w:ilvl w:val="1"/>
          <w:numId w:val="10"/>
        </w:numPr>
        <w:rPr>
          <w:rFonts w:ascii="Arial" w:cs="Arial" w:eastAsia="Arial" w:hAnsi="Arial"/>
          <w:sz w:val="18"/>
          <w:szCs w:val="18"/>
          <w:color w:val="auto"/>
        </w:rPr>
      </w:pPr>
      <w:r>
        <w:rPr>
          <w:rFonts w:ascii="Arial" w:cs="Arial" w:eastAsia="Arial" w:hAnsi="Arial"/>
          <w:sz w:val="18"/>
          <w:szCs w:val="18"/>
          <w:i w:val="1"/>
          <w:iCs w:val="1"/>
          <w:color w:val="auto"/>
        </w:rPr>
        <w:t>Basis of presentation</w:t>
      </w:r>
      <w:r>
        <w:rPr>
          <w:rFonts w:ascii="Arial" w:cs="Arial" w:eastAsia="Arial" w:hAnsi="Arial"/>
          <w:sz w:val="18"/>
          <w:szCs w:val="18"/>
          <w:color w:val="auto"/>
        </w:rPr>
        <w:t>. The accompanying financial statements have been prepared on the accrual basis of accounting.</w:t>
      </w:r>
    </w:p>
    <w:p>
      <w:pPr>
        <w:spacing w:after="0" w:line="90" w:lineRule="exact"/>
        <w:rPr>
          <w:rFonts w:ascii="Arial" w:cs="Arial" w:eastAsia="Arial" w:hAnsi="Arial"/>
          <w:sz w:val="18"/>
          <w:szCs w:val="18"/>
          <w:color w:val="auto"/>
        </w:rPr>
      </w:pPr>
    </w:p>
    <w:p>
      <w:pPr>
        <w:ind w:left="452" w:firstLine="4"/>
        <w:spacing w:after="0" w:line="298" w:lineRule="auto"/>
        <w:tabs>
          <w:tab w:leader="none" w:pos="628" w:val="left"/>
        </w:tabs>
        <w:numPr>
          <w:ilvl w:val="1"/>
          <w:numId w:val="10"/>
        </w:numPr>
        <w:rPr>
          <w:rFonts w:ascii="Arial" w:cs="Arial" w:eastAsia="Arial" w:hAnsi="Arial"/>
          <w:sz w:val="16"/>
          <w:szCs w:val="16"/>
          <w:color w:val="auto"/>
        </w:rPr>
      </w:pPr>
      <w:r>
        <w:rPr>
          <w:rFonts w:ascii="Arial" w:cs="Arial" w:eastAsia="Arial" w:hAnsi="Arial"/>
          <w:sz w:val="16"/>
          <w:szCs w:val="16"/>
          <w:i w:val="1"/>
          <w:iCs w:val="1"/>
          <w:color w:val="auto"/>
        </w:rPr>
        <w:t xml:space="preserve">Notes receivable from participants. </w:t>
      </w:r>
      <w:r>
        <w:rPr>
          <w:rFonts w:ascii="Arial" w:cs="Arial" w:eastAsia="Arial" w:hAnsi="Arial"/>
          <w:sz w:val="16"/>
          <w:szCs w:val="16"/>
          <w:color w:val="auto"/>
        </w:rPr>
        <w:t>Notes receivable from participants represent participant loans that are recorded at their unpaid principal balance plus</w:t>
      </w:r>
      <w:r>
        <w:rPr>
          <w:rFonts w:ascii="Arial" w:cs="Arial" w:eastAsia="Arial" w:hAnsi="Arial"/>
          <w:sz w:val="16"/>
          <w:szCs w:val="16"/>
          <w:i w:val="1"/>
          <w:iCs w:val="1"/>
          <w:color w:val="auto"/>
        </w:rPr>
        <w:t xml:space="preserve"> </w:t>
      </w:r>
      <w:r>
        <w:rPr>
          <w:rFonts w:ascii="Arial" w:cs="Arial" w:eastAsia="Arial" w:hAnsi="Arial"/>
          <w:sz w:val="16"/>
          <w:szCs w:val="16"/>
          <w:color w:val="auto"/>
        </w:rPr>
        <w:t>any accrued but unpaid interest. Interest income on notes receivable from participants is recorded when it is earned. No allowance for credit losses has been recorded as of December 31, 2011 or 2010. If a participant ceases to make loan repayments and the plan administrator deems the participant loan to be a distribution, the participant loan balance is reduced and a benefit payment is recorded.</w:t>
      </w:r>
    </w:p>
    <w:p>
      <w:pPr>
        <w:spacing w:after="0" w:line="31" w:lineRule="exact"/>
        <w:rPr>
          <w:rFonts w:ascii="Arial" w:cs="Arial" w:eastAsia="Arial" w:hAnsi="Arial"/>
          <w:sz w:val="16"/>
          <w:szCs w:val="16"/>
          <w:color w:val="auto"/>
        </w:rPr>
      </w:pPr>
    </w:p>
    <w:p>
      <w:pPr>
        <w:ind w:left="452" w:right="20" w:firstLine="4"/>
        <w:spacing w:after="0" w:line="290" w:lineRule="auto"/>
        <w:tabs>
          <w:tab w:leader="none" w:pos="628" w:val="left"/>
        </w:tabs>
        <w:numPr>
          <w:ilvl w:val="1"/>
          <w:numId w:val="10"/>
        </w:numPr>
        <w:rPr>
          <w:rFonts w:ascii="Arial" w:cs="Arial" w:eastAsia="Arial" w:hAnsi="Arial"/>
          <w:sz w:val="16"/>
          <w:szCs w:val="16"/>
          <w:color w:val="auto"/>
        </w:rPr>
      </w:pPr>
      <w:r>
        <w:rPr>
          <w:rFonts w:ascii="Arial" w:cs="Arial" w:eastAsia="Arial" w:hAnsi="Arial"/>
          <w:sz w:val="16"/>
          <w:szCs w:val="16"/>
          <w:i w:val="1"/>
          <w:iCs w:val="1"/>
          <w:color w:val="auto"/>
        </w:rPr>
        <w:t xml:space="preserve">New accounting pronouncements </w:t>
      </w:r>
      <w:r>
        <w:rPr>
          <w:rFonts w:ascii="Arial" w:cs="Arial" w:eastAsia="Arial" w:hAnsi="Arial"/>
          <w:sz w:val="16"/>
          <w:szCs w:val="16"/>
          <w:color w:val="auto"/>
        </w:rPr>
        <w:t>In May 2011, the Financial Accounting Standards Board (FASB) issued Accounting Standards Update (ASU) 2011-04,</w:t>
      </w:r>
      <w:r>
        <w:rPr>
          <w:rFonts w:ascii="Arial" w:cs="Arial" w:eastAsia="Arial" w:hAnsi="Arial"/>
          <w:sz w:val="16"/>
          <w:szCs w:val="16"/>
          <w:i w:val="1"/>
          <w:iCs w:val="1"/>
          <w:color w:val="auto"/>
        </w:rPr>
        <w:t xml:space="preserve"> Amendments to Achieve Common Fair Value Measurements and Disclosure Requirements in U.S. GAAP and IFRSs, (ASU 2011-04). </w:t>
      </w:r>
      <w:r>
        <w:rPr>
          <w:rFonts w:ascii="Arial" w:cs="Arial" w:eastAsia="Arial" w:hAnsi="Arial"/>
          <w:sz w:val="16"/>
          <w:szCs w:val="16"/>
          <w:color w:val="auto"/>
        </w:rPr>
        <w:t>ASU 2011-04</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amended ASC 820, </w:t>
      </w:r>
      <w:r>
        <w:rPr>
          <w:rFonts w:ascii="Arial" w:cs="Arial" w:eastAsia="Arial" w:hAnsi="Arial"/>
          <w:sz w:val="16"/>
          <w:szCs w:val="16"/>
          <w:i w:val="1"/>
          <w:iCs w:val="1"/>
          <w:color w:val="auto"/>
        </w:rPr>
        <w:t>Fair Value Measurements and Disclosures</w:t>
      </w:r>
      <w:r>
        <w:rPr>
          <w:rFonts w:ascii="Arial" w:cs="Arial" w:eastAsia="Arial" w:hAnsi="Arial"/>
          <w:sz w:val="16"/>
          <w:szCs w:val="16"/>
          <w:color w:val="auto"/>
        </w:rPr>
        <w:t>, (ASC 820), to converge the fair value measurement guidance in GAAP and International Financial Reporting Standards (IFRSs). Some of the amendments clarify the application of existing fair value measurement requirements, while other amendments change a particular principle in ASC 820. In addition, ASU 2011-04 requires additional fair value disclosures. The amendments are to be applied prospectively and are effective for annual periods beginning after December 15, 2011. Plan management is currently evaluating the effect that the provisions of ASU 2011-04 will have on the Plan’s financial statements.</w:t>
      </w:r>
    </w:p>
    <w:p>
      <w:pPr>
        <w:spacing w:after="0" w:line="10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92"/>
          </w:cols>
          <w:pgMar w:left="248" w:top="280" w:right="259" w:bottom="1440" w:gutter="0" w:footer="0" w:header="0"/>
        </w:sectPr>
      </w:pPr>
    </w:p>
    <w:bookmarkStart w:id="9" w:name="page10"/>
    <w:bookmarkEnd w:id="9"/>
    <w:p>
      <w:pPr>
        <w:jc w:val="center"/>
        <w:ind w:righ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ANALOG DEVICES, INC.</w:t>
      </w:r>
    </w:p>
    <w:p>
      <w:pPr>
        <w:spacing w:after="0" w:line="171"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THE INVESTMENT PARTNERSHIP PLAN</w:t>
      </w:r>
    </w:p>
    <w:p>
      <w:pPr>
        <w:spacing w:after="0" w:line="171"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NOTES TO FINANCIAL STATEMENTS</w:t>
      </w:r>
    </w:p>
    <w:p>
      <w:pPr>
        <w:spacing w:after="0" w:line="171"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Years ended December 31, 2011 and 2010</w:t>
      </w:r>
    </w:p>
    <w:p>
      <w:pPr>
        <w:spacing w:after="0" w:line="239"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 xml:space="preserve">In January 2010, the FASB issued ASU No. 2010-06, </w:t>
      </w:r>
      <w:r>
        <w:rPr>
          <w:rFonts w:ascii="Arial" w:cs="Arial" w:eastAsia="Arial" w:hAnsi="Arial"/>
          <w:sz w:val="16"/>
          <w:szCs w:val="16"/>
          <w:i w:val="1"/>
          <w:iCs w:val="1"/>
          <w:color w:val="auto"/>
        </w:rPr>
        <w:t>Fair Value Measurements and Disclosures (ASU 2010-06) – Improving Disclosures About Fair Value</w:t>
      </w:r>
      <w:r>
        <w:rPr>
          <w:rFonts w:ascii="Arial" w:cs="Arial" w:eastAsia="Arial" w:hAnsi="Arial"/>
          <w:sz w:val="16"/>
          <w:szCs w:val="16"/>
          <w:color w:val="auto"/>
        </w:rPr>
        <w:t xml:space="preserve"> </w:t>
      </w:r>
      <w:r>
        <w:rPr>
          <w:rFonts w:ascii="Arial" w:cs="Arial" w:eastAsia="Arial" w:hAnsi="Arial"/>
          <w:sz w:val="16"/>
          <w:szCs w:val="16"/>
          <w:i w:val="1"/>
          <w:iCs w:val="1"/>
          <w:color w:val="auto"/>
        </w:rPr>
        <w:t>Measurements</w:t>
      </w:r>
      <w:r>
        <w:rPr>
          <w:rFonts w:ascii="Arial" w:cs="Arial" w:eastAsia="Arial" w:hAnsi="Arial"/>
          <w:sz w:val="16"/>
          <w:szCs w:val="16"/>
          <w:color w:val="auto"/>
        </w:rPr>
        <w:t>. This ASU amended ASC 820 and required new disclosures about transfers into and out of Levels 1 and 2 and separate disclosures about</w:t>
      </w:r>
      <w:r>
        <w:rPr>
          <w:rFonts w:ascii="Arial" w:cs="Arial" w:eastAsia="Arial" w:hAnsi="Arial"/>
          <w:sz w:val="16"/>
          <w:szCs w:val="16"/>
          <w:i w:val="1"/>
          <w:iCs w:val="1"/>
          <w:color w:val="auto"/>
        </w:rPr>
        <w:t xml:space="preserve"> </w:t>
      </w:r>
      <w:r>
        <w:rPr>
          <w:rFonts w:ascii="Arial" w:cs="Arial" w:eastAsia="Arial" w:hAnsi="Arial"/>
          <w:sz w:val="16"/>
          <w:szCs w:val="16"/>
          <w:color w:val="auto"/>
        </w:rPr>
        <w:t>purchases, sales, issuances, and settlements relating to Level 3 measurements. It also clarified existing fair value disclosures about the level of disaggregation and about inputs and valuation techniques used to measure fair value. The new disclosures and clarifications of existing disclosures were effective for the Plan’s fiscal year ending December 31, 2010, except for the disclosures about purchases, sales, issuances, and settlements relating to Level 3 measurements, which are effective for the Plan’s fiscal year ending December 31, 2011. The adoption of this new guidance required additional disclosures but did not have a material impact on the Plan’s financial statements.</w:t>
      </w:r>
    </w:p>
    <w:p>
      <w:pPr>
        <w:spacing w:after="0" w:line="37" w:lineRule="exact"/>
        <w:rPr>
          <w:sz w:val="20"/>
          <w:szCs w:val="20"/>
          <w:color w:val="auto"/>
        </w:rPr>
      </w:pPr>
    </w:p>
    <w:p>
      <w:pPr>
        <w:jc w:val="both"/>
        <w:ind w:right="160" w:firstLine="4"/>
        <w:spacing w:after="0" w:line="259" w:lineRule="auto"/>
        <w:tabs>
          <w:tab w:leader="none" w:pos="176"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Investments. </w:t>
      </w:r>
      <w:r>
        <w:rPr>
          <w:rFonts w:ascii="Arial" w:cs="Arial" w:eastAsia="Arial" w:hAnsi="Arial"/>
          <w:sz w:val="18"/>
          <w:szCs w:val="18"/>
          <w:color w:val="auto"/>
        </w:rPr>
        <w:t>Investments are reported at fair value. Fair value is defined as the price that would be received to sell an asset or paid to transfer a liability</w:t>
      </w:r>
      <w:r>
        <w:rPr>
          <w:rFonts w:ascii="Arial" w:cs="Arial" w:eastAsia="Arial" w:hAnsi="Arial"/>
          <w:sz w:val="18"/>
          <w:szCs w:val="18"/>
          <w:i w:val="1"/>
          <w:iCs w:val="1"/>
          <w:color w:val="auto"/>
        </w:rPr>
        <w:t xml:space="preserve"> </w:t>
      </w:r>
      <w:r>
        <w:rPr>
          <w:rFonts w:ascii="Arial" w:cs="Arial" w:eastAsia="Arial" w:hAnsi="Arial"/>
          <w:sz w:val="18"/>
          <w:szCs w:val="18"/>
          <w:color w:val="auto"/>
        </w:rPr>
        <w:t>in an orderly transaction between market participants at the measurement date (an exit price). See Note E for further discussion and disclosures related to fair value measurements.</w:t>
      </w:r>
    </w:p>
    <w:p>
      <w:pPr>
        <w:spacing w:after="0" w:line="59" w:lineRule="exact"/>
        <w:rPr>
          <w:rFonts w:ascii="Arial" w:cs="Arial" w:eastAsia="Arial" w:hAnsi="Arial"/>
          <w:sz w:val="18"/>
          <w:szCs w:val="18"/>
          <w:color w:val="auto"/>
        </w:rPr>
      </w:pPr>
    </w:p>
    <w:p>
      <w:pPr>
        <w:ind w:firstLine="4"/>
        <w:spacing w:after="0" w:line="332" w:lineRule="auto"/>
        <w:tabs>
          <w:tab w:leader="none" w:pos="176" w:val="left"/>
        </w:tabs>
        <w:numPr>
          <w:ilvl w:val="0"/>
          <w:numId w:val="11"/>
        </w:numPr>
        <w:rPr>
          <w:rFonts w:ascii="Arial" w:cs="Arial" w:eastAsia="Arial" w:hAnsi="Arial"/>
          <w:sz w:val="16"/>
          <w:szCs w:val="16"/>
          <w:color w:val="auto"/>
        </w:rPr>
      </w:pPr>
      <w:r>
        <w:rPr>
          <w:rFonts w:ascii="Arial" w:cs="Arial" w:eastAsia="Arial" w:hAnsi="Arial"/>
          <w:sz w:val="16"/>
          <w:szCs w:val="16"/>
          <w:i w:val="1"/>
          <w:iCs w:val="1"/>
          <w:color w:val="auto"/>
        </w:rPr>
        <w:t xml:space="preserve">Contributions. </w:t>
      </w:r>
      <w:r>
        <w:rPr>
          <w:rFonts w:ascii="Arial" w:cs="Arial" w:eastAsia="Arial" w:hAnsi="Arial"/>
          <w:sz w:val="16"/>
          <w:szCs w:val="16"/>
          <w:color w:val="auto"/>
        </w:rPr>
        <w:t>Contributions from participants are recorded when the Company makes payroll deductions from plan participants. Company contributions</w:t>
      </w:r>
      <w:r>
        <w:rPr>
          <w:rFonts w:ascii="Arial" w:cs="Arial" w:eastAsia="Arial" w:hAnsi="Arial"/>
          <w:sz w:val="16"/>
          <w:szCs w:val="16"/>
          <w:i w:val="1"/>
          <w:iCs w:val="1"/>
          <w:color w:val="auto"/>
        </w:rPr>
        <w:t xml:space="preserve"> </w:t>
      </w:r>
      <w:r>
        <w:rPr>
          <w:rFonts w:ascii="Arial" w:cs="Arial" w:eastAsia="Arial" w:hAnsi="Arial"/>
          <w:sz w:val="16"/>
          <w:szCs w:val="16"/>
          <w:color w:val="auto"/>
        </w:rPr>
        <w:t>are accrued at the end of the period in which they become obligations of the Company based upon the terms of the Plan.</w:t>
      </w:r>
    </w:p>
    <w:p>
      <w:pPr>
        <w:spacing w:after="0" w:line="4" w:lineRule="exact"/>
        <w:rPr>
          <w:rFonts w:ascii="Arial" w:cs="Arial" w:eastAsia="Arial" w:hAnsi="Arial"/>
          <w:sz w:val="16"/>
          <w:szCs w:val="16"/>
          <w:color w:val="auto"/>
        </w:rPr>
      </w:pPr>
    </w:p>
    <w:p>
      <w:pPr>
        <w:ind w:right="160" w:firstLine="4"/>
        <w:spacing w:after="0" w:line="256" w:lineRule="auto"/>
        <w:tabs>
          <w:tab w:leader="none" w:pos="176"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Investment income. </w:t>
      </w:r>
      <w:r>
        <w:rPr>
          <w:rFonts w:ascii="Arial" w:cs="Arial" w:eastAsia="Arial" w:hAnsi="Arial"/>
          <w:sz w:val="18"/>
          <w:szCs w:val="18"/>
          <w:color w:val="auto"/>
        </w:rPr>
        <w:t>Net investment income consists of interest income, dividends and capital gain/loss distributions, realized gains or losses on sales of</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investments and the change in net unrealized appreciation between the cost and market value of investments at the beginning and end of the period. Purchases and sales of securities are recorded on a trade-date basis. Dividends are recorded on the ex-dividend date. Net appreciation includes the Plan’s gains and losses on investments bought and sold as well as held during the year.</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color w:val="auto"/>
        </w:rPr>
        <w:t>All interest, dividends and capital gains distributions are reinvested in the respective funds and are recorded as earned on an accrual basis.</w:t>
      </w:r>
    </w:p>
    <w:p>
      <w:pPr>
        <w:spacing w:after="0" w:line="113" w:lineRule="exact"/>
        <w:rPr>
          <w:sz w:val="20"/>
          <w:szCs w:val="20"/>
          <w:color w:val="auto"/>
        </w:rPr>
      </w:pPr>
    </w:p>
    <w:p>
      <w:pPr>
        <w:jc w:val="both"/>
        <w:ind w:right="60" w:firstLine="4"/>
        <w:spacing w:after="0" w:line="259" w:lineRule="auto"/>
        <w:tabs>
          <w:tab w:leader="none" w:pos="176"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Income tax status. </w:t>
      </w:r>
      <w:r>
        <w:rPr>
          <w:rFonts w:ascii="Arial" w:cs="Arial" w:eastAsia="Arial" w:hAnsi="Arial"/>
          <w:sz w:val="18"/>
          <w:szCs w:val="18"/>
          <w:color w:val="auto"/>
        </w:rPr>
        <w:t>The Plan has received a determination letter from the Internal Revenue Service, dated April 10, 2012, stating that the Plan is qualified</w:t>
      </w:r>
      <w:r>
        <w:rPr>
          <w:rFonts w:ascii="Arial" w:cs="Arial" w:eastAsia="Arial" w:hAnsi="Arial"/>
          <w:sz w:val="18"/>
          <w:szCs w:val="18"/>
          <w:i w:val="1"/>
          <w:iCs w:val="1"/>
          <w:color w:val="auto"/>
        </w:rPr>
        <w:t xml:space="preserve"> </w:t>
      </w:r>
      <w:r>
        <w:rPr>
          <w:rFonts w:ascii="Arial" w:cs="Arial" w:eastAsia="Arial" w:hAnsi="Arial"/>
          <w:sz w:val="18"/>
          <w:szCs w:val="18"/>
          <w:color w:val="auto"/>
        </w:rPr>
        <w:t>under Section 401(a) of the Internal Revenue Code (the Code) and, therefore, the related trust is exempt from taxation. Subsequent to this determination by the Internal Revenue Service, the Plan was amended. Once qualified, the</w:t>
      </w:r>
    </w:p>
    <w:p>
      <w:pPr>
        <w:spacing w:after="0" w:line="127"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60"/>
          </w:cols>
          <w:pgMar w:left="700" w:top="280" w:right="239" w:bottom="1440" w:gutter="0" w:footer="0" w:header="0"/>
        </w:sectPr>
      </w:pPr>
    </w:p>
    <w:bookmarkStart w:id="10" w:name="page11"/>
    <w:bookmarkEnd w:id="10"/>
    <w:p>
      <w:pPr>
        <w:jc w:val="center"/>
        <w:ind w:righ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ANALOG DEVICES, INC.</w:t>
      </w:r>
    </w:p>
    <w:p>
      <w:pPr>
        <w:spacing w:after="0" w:line="171"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THE INVESTMENT PARTNERSHIP PLAN</w:t>
      </w:r>
    </w:p>
    <w:p>
      <w:pPr>
        <w:spacing w:after="0" w:line="171"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NOTES TO FINANCIAL STATEMENTS</w:t>
      </w:r>
    </w:p>
    <w:p>
      <w:pPr>
        <w:spacing w:after="0" w:line="171"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Years ended December 31, 2011 and 2010</w:t>
      </w:r>
    </w:p>
    <w:p>
      <w:pPr>
        <w:spacing w:after="0" w:line="239" w:lineRule="exact"/>
        <w:rPr>
          <w:sz w:val="20"/>
          <w:szCs w:val="20"/>
          <w:color w:val="auto"/>
        </w:rPr>
      </w:pPr>
    </w:p>
    <w:p>
      <w:pPr>
        <w:ind w:right="200"/>
        <w:spacing w:after="0" w:line="332" w:lineRule="auto"/>
        <w:rPr>
          <w:sz w:val="20"/>
          <w:szCs w:val="20"/>
          <w:color w:val="auto"/>
        </w:rPr>
      </w:pPr>
      <w:r>
        <w:rPr>
          <w:rFonts w:ascii="Arial" w:cs="Arial" w:eastAsia="Arial" w:hAnsi="Arial"/>
          <w:sz w:val="16"/>
          <w:szCs w:val="16"/>
          <w:color w:val="auto"/>
        </w:rPr>
        <w:t>Plan is required to operate in conformity with the Code to maintain its qualified status. The Committee believes the Plan is being operated in compliance with the applicable requirements of the Code and therefore believes that the Plan, as amended, is qualified and the related trust is tax exempt.</w:t>
      </w:r>
    </w:p>
    <w:p>
      <w:pPr>
        <w:spacing w:after="0" w:line="4"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Accounting principles generally accepted in the United States require plan management to evaluate uncertain tax positions taken by the Plan. The financial statement effects of a tax position are recognized when the position is more likely than not, based on the technical merits, to be sustained upon examination by the IRS. The plan administrator has analyzed the tax positions taken by the Plan, and has concluded that as of December 31, 2011, there are no uncertain positions taken or expected to be taken. The Plan has recognized no interest or penalties related to uncertain tax positions. The Plan is subject to routine audits by taxing jurisdictions; however, there are currently no audits for any tax periods in progress. The plan administrator believes it is no longer subject to income tax examinations for years prior to 2008.</w:t>
      </w:r>
    </w:p>
    <w:p>
      <w:pPr>
        <w:spacing w:after="0" w:line="39" w:lineRule="exact"/>
        <w:rPr>
          <w:sz w:val="20"/>
          <w:szCs w:val="20"/>
          <w:color w:val="auto"/>
        </w:rPr>
      </w:pPr>
    </w:p>
    <w:p>
      <w:pPr>
        <w:ind w:firstLine="4"/>
        <w:spacing w:after="0" w:line="298" w:lineRule="auto"/>
        <w:tabs>
          <w:tab w:leader="none" w:pos="176" w:val="left"/>
        </w:tabs>
        <w:numPr>
          <w:ilvl w:val="0"/>
          <w:numId w:val="13"/>
        </w:numPr>
        <w:rPr>
          <w:rFonts w:ascii="Arial" w:cs="Arial" w:eastAsia="Arial" w:hAnsi="Arial"/>
          <w:sz w:val="16"/>
          <w:szCs w:val="16"/>
          <w:color w:val="auto"/>
        </w:rPr>
      </w:pPr>
      <w:r>
        <w:rPr>
          <w:rFonts w:ascii="Arial" w:cs="Arial" w:eastAsia="Arial" w:hAnsi="Arial"/>
          <w:sz w:val="16"/>
          <w:szCs w:val="16"/>
          <w:i w:val="1"/>
          <w:iCs w:val="1"/>
          <w:color w:val="auto"/>
        </w:rPr>
        <w:t xml:space="preserve">Related Party. </w:t>
      </w:r>
      <w:r>
        <w:rPr>
          <w:rFonts w:ascii="Arial" w:cs="Arial" w:eastAsia="Arial" w:hAnsi="Arial"/>
          <w:sz w:val="16"/>
          <w:szCs w:val="16"/>
          <w:color w:val="auto"/>
        </w:rPr>
        <w:t>Certain Plan investments are shares of mutual funds managed by Fidelity Management and Research (FMR) Corporation. FMR</w:t>
      </w:r>
      <w:r>
        <w:rPr>
          <w:rFonts w:ascii="Arial" w:cs="Arial" w:eastAsia="Arial" w:hAnsi="Arial"/>
          <w:sz w:val="16"/>
          <w:szCs w:val="16"/>
          <w:i w:val="1"/>
          <w:iCs w:val="1"/>
          <w:color w:val="auto"/>
        </w:rPr>
        <w:t xml:space="preserve"> </w:t>
      </w:r>
      <w:r>
        <w:rPr>
          <w:rFonts w:ascii="Arial" w:cs="Arial" w:eastAsia="Arial" w:hAnsi="Arial"/>
          <w:sz w:val="16"/>
          <w:szCs w:val="16"/>
          <w:color w:val="auto"/>
        </w:rPr>
        <w:t>Corporation is a related party to the trustee and recordkeeper of the Plan, and therefore, these transactions qualify as party-in-interest transactions, however, they are exempt from the prohibited transaction rules under ERISA. Fees paid by the Company to the trustee and recordkeeper for administrative expenses amounted to $40,310 and $35,114 for the years ended December 31, 2011 and 2010, respectively.</w:t>
      </w:r>
    </w:p>
    <w:p>
      <w:pPr>
        <w:spacing w:after="0" w:line="32"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The Plan also offers the Analog Devices, Inc. Common Stock Fund investment option. The Analog Devices, Inc. Common Stock Fund is designed for investment in the common stock of the Company. In addition, some of the investments in the Plan hold the Company’s Common stock. These transactions qualify as party-in-interest transactions. At December 31, 2011 and 2010, the Plan recorded dividend income from The Analog Devices, Inc. Common Stock Fund of $2,475,614 and $2,593,076, respectively.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Notes receivable from participants also qualify as party-in-interest transactions.</w:t>
      </w:r>
    </w:p>
    <w:p>
      <w:pPr>
        <w:spacing w:after="0" w:line="90" w:lineRule="exact"/>
        <w:rPr>
          <w:sz w:val="20"/>
          <w:szCs w:val="20"/>
          <w:color w:val="auto"/>
        </w:rPr>
      </w:pPr>
    </w:p>
    <w:p>
      <w:pPr>
        <w:ind w:right="40" w:firstLine="4"/>
        <w:spacing w:after="0" w:line="268" w:lineRule="auto"/>
        <w:tabs>
          <w:tab w:leader="none" w:pos="176"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 xml:space="preserve">Administrative expenses. </w:t>
      </w:r>
      <w:r>
        <w:rPr>
          <w:rFonts w:ascii="Arial" w:cs="Arial" w:eastAsia="Arial" w:hAnsi="Arial"/>
          <w:sz w:val="18"/>
          <w:szCs w:val="18"/>
          <w:color w:val="auto"/>
        </w:rPr>
        <w:t>For the years ended December 31, 2011 and 2010, the Company elected to pay the administrative expenses of the Plan.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expenses resulting from participant loans and investment fees are deducted directly from participant accounts.</w:t>
      </w:r>
    </w:p>
    <w:p>
      <w:pPr>
        <w:spacing w:after="0" w:line="131" w:lineRule="exact"/>
        <w:rPr>
          <w:rFonts w:ascii="Arial" w:cs="Arial" w:eastAsia="Arial" w:hAnsi="Arial"/>
          <w:sz w:val="18"/>
          <w:szCs w:val="18"/>
          <w:color w:val="auto"/>
        </w:rPr>
      </w:pPr>
    </w:p>
    <w:p>
      <w:pPr>
        <w:ind w:right="220" w:firstLine="4"/>
        <w:spacing w:after="0" w:line="306" w:lineRule="auto"/>
        <w:tabs>
          <w:tab w:leader="none" w:pos="263" w:val="left"/>
        </w:tabs>
        <w:numPr>
          <w:ilvl w:val="0"/>
          <w:numId w:val="14"/>
        </w:numPr>
        <w:rPr>
          <w:rFonts w:ascii="Arial" w:cs="Arial" w:eastAsia="Arial" w:hAnsi="Arial"/>
          <w:sz w:val="16"/>
          <w:szCs w:val="16"/>
          <w:color w:val="auto"/>
        </w:rPr>
      </w:pPr>
      <w:r>
        <w:rPr>
          <w:rFonts w:ascii="Arial" w:cs="Arial" w:eastAsia="Arial" w:hAnsi="Arial"/>
          <w:sz w:val="16"/>
          <w:szCs w:val="16"/>
          <w:i w:val="1"/>
          <w:iCs w:val="1"/>
          <w:color w:val="auto"/>
        </w:rPr>
        <w:t xml:space="preserve">Use of estimates. </w:t>
      </w:r>
      <w:r>
        <w:rPr>
          <w:rFonts w:ascii="Arial" w:cs="Arial" w:eastAsia="Arial" w:hAnsi="Arial"/>
          <w:sz w:val="16"/>
          <w:szCs w:val="16"/>
          <w:color w:val="auto"/>
        </w:rPr>
        <w:t>The preparation of financial statements in conformity with U.S. generally accepted accounting principles requires management to</w:t>
      </w:r>
      <w:r>
        <w:rPr>
          <w:rFonts w:ascii="Arial" w:cs="Arial" w:eastAsia="Arial" w:hAnsi="Arial"/>
          <w:sz w:val="16"/>
          <w:szCs w:val="16"/>
          <w:i w:val="1"/>
          <w:iCs w:val="1"/>
          <w:color w:val="auto"/>
        </w:rPr>
        <w:t xml:space="preserve"> </w:t>
      </w:r>
      <w:r>
        <w:rPr>
          <w:rFonts w:ascii="Arial" w:cs="Arial" w:eastAsia="Arial" w:hAnsi="Arial"/>
          <w:sz w:val="16"/>
          <w:szCs w:val="16"/>
          <w:color w:val="auto"/>
        </w:rPr>
        <w:t>make estimates that affect the reported amounts of assets and liabilities at the date of the financial statements and the reported amounts of changes in net assets available for benefits during the reporting period. Actual results could differ from those estimates.</w:t>
      </w:r>
    </w:p>
    <w:p>
      <w:pPr>
        <w:spacing w:after="0" w:line="93"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40"/>
          </w:cols>
          <w:pgMar w:left="700" w:top="280" w:right="25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ANALOG DEVICES,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INVESTMENT PARTNERSHIP PLAN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Years ended December 31, 2011 and 2010</w:t>
      </w:r>
    </w:p>
    <w:p>
      <w:pPr>
        <w:spacing w:after="0" w:line="158" w:lineRule="exact"/>
        <w:rPr>
          <w:sz w:val="20"/>
          <w:szCs w:val="20"/>
          <w:color w:val="auto"/>
        </w:rPr>
      </w:pPr>
    </w:p>
    <w:p>
      <w:pPr>
        <w:ind w:left="460"/>
        <w:spacing w:after="0" w:line="256"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i w:val="1"/>
          <w:iCs w:val="1"/>
          <w:color w:val="auto"/>
        </w:rPr>
        <w:t>Risk and uncertainties.</w:t>
      </w:r>
      <w:r>
        <w:rPr>
          <w:rFonts w:ascii="Arial" w:cs="Arial" w:eastAsia="Arial" w:hAnsi="Arial"/>
          <w:sz w:val="18"/>
          <w:szCs w:val="18"/>
          <w:color w:val="auto"/>
        </w:rPr>
        <w:t xml:space="preserve"> The Plan and its participants invest in various securities. Investment securities are exposed to various risks such as interest rate, market volatility and credit risks. Due to the level of risk associated with certain investment securities, it is reasonably possible that changes in the values of investment securities will occur in the near term and that such changes could materially affect participants’ account balances and the amounts reported in the statements of net assets available for benefits.</w:t>
      </w:r>
    </w:p>
    <w:p>
      <w:pPr>
        <w:spacing w:after="0" w:line="258"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Trustee and Plan Recordkeeper</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6"/>
          <w:szCs w:val="16"/>
          <w:color w:val="auto"/>
        </w:rPr>
        <w:t>Fidelity Management Trust Company and Fidelity Institutional Retirement Services Company serve as trustee and recordkeeper, respectively, to the Plan.</w:t>
      </w:r>
    </w:p>
    <w:p>
      <w:pPr>
        <w:spacing w:after="0" w:line="309" w:lineRule="exact"/>
        <w:rPr>
          <w:rFonts w:ascii="Arial" w:cs="Arial" w:eastAsia="Arial" w:hAnsi="Arial"/>
          <w:sz w:val="18"/>
          <w:szCs w:val="18"/>
          <w:b w:val="1"/>
          <w:bCs w:val="1"/>
          <w:color w:val="auto"/>
        </w:rPr>
      </w:pPr>
    </w:p>
    <w:p>
      <w:pPr>
        <w:ind w:left="460" w:hanging="452"/>
        <w:spacing w:after="0"/>
        <w:tabs>
          <w:tab w:leader="none" w:pos="4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following investments represent five percent or more of the Plan’s net assets available for benefits:</w:t>
      </w:r>
    </w:p>
    <w:p>
      <w:pPr>
        <w:spacing w:after="0" w:line="19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560" w:type="dxa"/>
            <w:vAlign w:val="bottom"/>
            <w:gridSpan w:val="4"/>
          </w:tcPr>
          <w:p>
            <w:pPr>
              <w:ind w:left="840"/>
              <w:spacing w:after="0"/>
              <w:rPr>
                <w:sz w:val="20"/>
                <w:szCs w:val="20"/>
                <w:color w:val="auto"/>
              </w:rPr>
            </w:pPr>
            <w:r>
              <w:rPr>
                <w:rFonts w:ascii="Arial" w:cs="Arial" w:eastAsia="Arial" w:hAnsi="Arial"/>
                <w:sz w:val="14"/>
                <w:szCs w:val="14"/>
                <w:i w:val="1"/>
                <w:iCs w:val="1"/>
                <w:color w:val="auto"/>
              </w:rPr>
              <w:t>December 31,</w:t>
            </w:r>
          </w:p>
        </w:tc>
      </w:tr>
      <w:tr>
        <w:trPr>
          <w:trHeight w:val="159"/>
        </w:trPr>
        <w:tc>
          <w:tcPr>
            <w:tcW w:w="4580" w:type="dxa"/>
            <w:vAlign w:val="bottom"/>
          </w:tcPr>
          <w:p>
            <w:pPr>
              <w:spacing w:after="0"/>
              <w:rPr>
                <w:sz w:val="13"/>
                <w:szCs w:val="13"/>
                <w:color w:val="auto"/>
              </w:rPr>
            </w:pPr>
          </w:p>
        </w:tc>
        <w:tc>
          <w:tcPr>
            <w:tcW w:w="2520" w:type="dxa"/>
            <w:vAlign w:val="bottom"/>
            <w:gridSpan w:val="2"/>
          </w:tcPr>
          <w:p>
            <w:pPr>
              <w:jc w:val="right"/>
              <w:ind w:right="282"/>
              <w:spacing w:after="0" w:line="159" w:lineRule="exact"/>
              <w:rPr>
                <w:sz w:val="20"/>
                <w:szCs w:val="20"/>
                <w:color w:val="auto"/>
              </w:rPr>
            </w:pPr>
            <w:r>
              <w:rPr>
                <w:rFonts w:ascii="Arial" w:cs="Arial" w:eastAsia="Arial" w:hAnsi="Arial"/>
                <w:sz w:val="14"/>
                <w:szCs w:val="14"/>
                <w:color w:val="auto"/>
              </w:rPr>
              <w:t>2011</w:t>
            </w:r>
          </w:p>
        </w:tc>
        <w:tc>
          <w:tcPr>
            <w:tcW w:w="1480" w:type="dxa"/>
            <w:vAlign w:val="bottom"/>
            <w:gridSpan w:val="2"/>
          </w:tcPr>
          <w:p>
            <w:pPr>
              <w:jc w:val="right"/>
              <w:ind w:right="272"/>
              <w:spacing w:after="0" w:line="159" w:lineRule="exact"/>
              <w:rPr>
                <w:sz w:val="20"/>
                <w:szCs w:val="20"/>
                <w:color w:val="auto"/>
              </w:rPr>
            </w:pPr>
            <w:r>
              <w:rPr>
                <w:rFonts w:ascii="Arial" w:cs="Arial" w:eastAsia="Arial" w:hAnsi="Arial"/>
                <w:sz w:val="14"/>
                <w:szCs w:val="14"/>
                <w:color w:val="auto"/>
              </w:rPr>
              <w:t>2010</w:t>
            </w:r>
          </w:p>
        </w:tc>
        <w:tc>
          <w:tcPr>
            <w:tcW w:w="100" w:type="dxa"/>
            <w:vAlign w:val="bottom"/>
          </w:tcPr>
          <w:p>
            <w:pPr>
              <w:spacing w:after="0"/>
              <w:rPr>
                <w:sz w:val="13"/>
                <w:szCs w:val="13"/>
                <w:color w:val="auto"/>
              </w:rPr>
            </w:pPr>
          </w:p>
        </w:tc>
      </w:tr>
      <w:tr>
        <w:trPr>
          <w:trHeight w:val="210"/>
        </w:trPr>
        <w:tc>
          <w:tcPr>
            <w:tcW w:w="45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Fidelity Institutional Money Market Fund</w:t>
            </w:r>
          </w:p>
        </w:tc>
        <w:tc>
          <w:tcPr>
            <w:tcW w:w="154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$137,972,858</w:t>
            </w:r>
          </w:p>
        </w:tc>
        <w:tc>
          <w:tcPr>
            <w:tcW w:w="5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$128,138,600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Analog Devices, Inc. Common Stock Fund</w:t>
            </w:r>
          </w:p>
        </w:tc>
        <w:tc>
          <w:tcPr>
            <w:tcW w:w="2520" w:type="dxa"/>
            <w:vAlign w:val="bottom"/>
            <w:gridSpan w:val="2"/>
          </w:tcPr>
          <w:p>
            <w:pPr>
              <w:jc w:val="right"/>
              <w:spacing w:after="0"/>
              <w:rPr>
                <w:sz w:val="20"/>
                <w:szCs w:val="20"/>
                <w:color w:val="auto"/>
              </w:rPr>
            </w:pPr>
            <w:r>
              <w:rPr>
                <w:rFonts w:ascii="Arial" w:cs="Arial" w:eastAsia="Arial" w:hAnsi="Arial"/>
                <w:sz w:val="18"/>
                <w:szCs w:val="18"/>
                <w:color w:val="auto"/>
              </w:rPr>
              <w:t>95,514,244</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107,677,872</w:t>
            </w:r>
          </w:p>
        </w:tc>
        <w:tc>
          <w:tcPr>
            <w:tcW w:w="100" w:type="dxa"/>
            <w:vAlign w:val="bottom"/>
          </w:tcPr>
          <w:p>
            <w:pPr>
              <w:spacing w:after="0"/>
              <w:rPr>
                <w:sz w:val="18"/>
                <w:szCs w:val="18"/>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Fidelity Growth Company Fund</w:t>
            </w:r>
          </w:p>
        </w:tc>
        <w:tc>
          <w:tcPr>
            <w:tcW w:w="2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72,667,383</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57,168,098</w:t>
            </w:r>
          </w:p>
        </w:tc>
        <w:tc>
          <w:tcPr>
            <w:tcW w:w="100" w:type="dxa"/>
            <w:vAlign w:val="bottom"/>
            <w:shd w:val="clear" w:color="auto" w:fill="CCEEFF"/>
          </w:tcPr>
          <w:p>
            <w:pPr>
              <w:spacing w:after="0"/>
              <w:rPr>
                <w:sz w:val="18"/>
                <w:szCs w:val="18"/>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Spartan U.S. Bond Index Fund</w:t>
            </w:r>
          </w:p>
        </w:tc>
        <w:tc>
          <w:tcPr>
            <w:tcW w:w="2520" w:type="dxa"/>
            <w:vAlign w:val="bottom"/>
            <w:gridSpan w:val="2"/>
          </w:tcPr>
          <w:p>
            <w:pPr>
              <w:jc w:val="right"/>
              <w:spacing w:after="0"/>
              <w:rPr>
                <w:sz w:val="20"/>
                <w:szCs w:val="20"/>
                <w:color w:val="auto"/>
              </w:rPr>
            </w:pPr>
            <w:r>
              <w:rPr>
                <w:rFonts w:ascii="Arial" w:cs="Arial" w:eastAsia="Arial" w:hAnsi="Arial"/>
                <w:sz w:val="18"/>
                <w:szCs w:val="18"/>
                <w:color w:val="auto"/>
              </w:rPr>
              <w:t>46,627,624</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Fidelity Equity-Income Fund</w:t>
            </w:r>
          </w:p>
        </w:tc>
        <w:tc>
          <w:tcPr>
            <w:tcW w:w="2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41,951,489</w:t>
            </w:r>
          </w:p>
        </w:tc>
        <w:tc>
          <w:tcPr>
            <w:tcW w:w="100" w:type="dxa"/>
            <w:vAlign w:val="bottom"/>
            <w:shd w:val="clear" w:color="auto" w:fill="CCEEFF"/>
          </w:tcPr>
          <w:p>
            <w:pPr>
              <w:spacing w:after="0"/>
              <w:rPr>
                <w:sz w:val="18"/>
                <w:szCs w:val="18"/>
                <w:color w:val="auto"/>
              </w:rPr>
            </w:pPr>
          </w:p>
        </w:tc>
      </w:tr>
      <w:tr>
        <w:trPr>
          <w:trHeight w:val="222"/>
        </w:trPr>
        <w:tc>
          <w:tcPr>
            <w:tcW w:w="4580" w:type="dxa"/>
            <w:vAlign w:val="bottom"/>
          </w:tcPr>
          <w:p>
            <w:pPr>
              <w:spacing w:after="0"/>
              <w:rPr>
                <w:sz w:val="20"/>
                <w:szCs w:val="20"/>
                <w:color w:val="auto"/>
              </w:rPr>
            </w:pPr>
            <w:r>
              <w:rPr>
                <w:rFonts w:ascii="Arial" w:cs="Arial" w:eastAsia="Arial" w:hAnsi="Arial"/>
                <w:sz w:val="18"/>
                <w:szCs w:val="18"/>
                <w:color w:val="auto"/>
              </w:rPr>
              <w:t>Fidelity U.S. Bond Index Fund</w:t>
            </w:r>
          </w:p>
        </w:tc>
        <w:tc>
          <w:tcPr>
            <w:tcW w:w="2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41,039,183</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871220</wp:posOffset>
            </wp:positionH>
            <wp:positionV relativeFrom="paragraph">
              <wp:posOffset>64770</wp:posOffset>
            </wp:positionV>
            <wp:extent cx="7289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  The balance is less than 5% of the Plan’s net assets.</w:t>
      </w:r>
    </w:p>
    <w:p>
      <w:pPr>
        <w:spacing w:after="0" w:line="90" w:lineRule="exact"/>
        <w:rPr>
          <w:sz w:val="20"/>
          <w:szCs w:val="20"/>
          <w:color w:val="auto"/>
        </w:rPr>
      </w:pPr>
    </w:p>
    <w:p>
      <w:pPr>
        <w:ind w:left="460" w:right="220"/>
        <w:spacing w:after="0" w:line="268" w:lineRule="auto"/>
        <w:rPr>
          <w:sz w:val="20"/>
          <w:szCs w:val="20"/>
          <w:color w:val="auto"/>
        </w:rPr>
      </w:pPr>
      <w:r>
        <w:rPr>
          <w:rFonts w:ascii="Arial" w:cs="Arial" w:eastAsia="Arial" w:hAnsi="Arial"/>
          <w:sz w:val="18"/>
          <w:szCs w:val="18"/>
          <w:color w:val="auto"/>
        </w:rPr>
        <w:t>The Plan’s investments (including gains and losses on investments bought and sold, as well as held during the year) (depreciated) appreciated in value as follows:</w:t>
      </w:r>
    </w:p>
    <w:p>
      <w:pPr>
        <w:spacing w:after="0" w:line="15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2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80" w:type="dxa"/>
            <w:vAlign w:val="bottom"/>
            <w:gridSpan w:val="5"/>
          </w:tcPr>
          <w:p>
            <w:pPr>
              <w:ind w:left="720"/>
              <w:spacing w:after="0"/>
              <w:rPr>
                <w:sz w:val="20"/>
                <w:szCs w:val="20"/>
                <w:color w:val="auto"/>
              </w:rPr>
            </w:pPr>
            <w:r>
              <w:rPr>
                <w:rFonts w:ascii="Arial" w:cs="Arial" w:eastAsia="Arial" w:hAnsi="Arial"/>
                <w:sz w:val="14"/>
                <w:szCs w:val="14"/>
                <w:i w:val="1"/>
                <w:iCs w:val="1"/>
                <w:color w:val="auto"/>
              </w:rPr>
              <w:t>December 31,</w:t>
            </w:r>
          </w:p>
        </w:tc>
        <w:tc>
          <w:tcPr>
            <w:tcW w:w="0" w:type="dxa"/>
            <w:vAlign w:val="bottom"/>
          </w:tcPr>
          <w:p>
            <w:pPr>
              <w:spacing w:after="0"/>
              <w:rPr>
                <w:sz w:val="1"/>
                <w:szCs w:val="1"/>
                <w:color w:val="auto"/>
              </w:rPr>
            </w:pPr>
          </w:p>
        </w:tc>
      </w:tr>
      <w:tr>
        <w:trPr>
          <w:trHeight w:val="159"/>
        </w:trPr>
        <w:tc>
          <w:tcPr>
            <w:tcW w:w="420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jc w:val="right"/>
              <w:ind w:right="257"/>
              <w:spacing w:after="0" w:line="159" w:lineRule="exact"/>
              <w:rPr>
                <w:sz w:val="20"/>
                <w:szCs w:val="20"/>
                <w:color w:val="auto"/>
              </w:rPr>
            </w:pPr>
            <w:r>
              <w:rPr>
                <w:rFonts w:ascii="Arial" w:cs="Arial" w:eastAsia="Arial" w:hAnsi="Arial"/>
                <w:sz w:val="14"/>
                <w:szCs w:val="14"/>
                <w:color w:val="auto"/>
              </w:rPr>
              <w:t>2011</w:t>
            </w:r>
          </w:p>
        </w:tc>
        <w:tc>
          <w:tcPr>
            <w:tcW w:w="280" w:type="dxa"/>
            <w:vAlign w:val="bottom"/>
          </w:tcPr>
          <w:p>
            <w:pPr>
              <w:spacing w:after="0"/>
              <w:rPr>
                <w:sz w:val="13"/>
                <w:szCs w:val="13"/>
                <w:color w:val="auto"/>
              </w:rPr>
            </w:pPr>
          </w:p>
        </w:tc>
        <w:tc>
          <w:tcPr>
            <w:tcW w:w="1140" w:type="dxa"/>
            <w:vAlign w:val="bottom"/>
            <w:gridSpan w:val="2"/>
          </w:tcPr>
          <w:p>
            <w:pPr>
              <w:jc w:val="right"/>
              <w:ind w:right="232"/>
              <w:spacing w:after="0" w:line="159" w:lineRule="exact"/>
              <w:rPr>
                <w:sz w:val="20"/>
                <w:szCs w:val="20"/>
                <w:color w:val="auto"/>
              </w:rPr>
            </w:pPr>
            <w:r>
              <w:rPr>
                <w:rFonts w:ascii="Arial" w:cs="Arial" w:eastAsia="Arial" w:hAnsi="Arial"/>
                <w:sz w:val="14"/>
                <w:szCs w:val="14"/>
                <w:color w:val="auto"/>
              </w:rPr>
              <w:t>2010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42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Common stock</w:t>
            </w:r>
          </w:p>
        </w:tc>
        <w:tc>
          <w:tcPr>
            <w:tcW w:w="20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(9,104,744)</w:t>
            </w: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$23,329,952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Mutual funds</w:t>
            </w:r>
          </w:p>
        </w:tc>
        <w:tc>
          <w:tcPr>
            <w:tcW w:w="2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(32,397,875)</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51,735,978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Commingled funds</w:t>
            </w:r>
          </w:p>
        </w:tc>
        <w:tc>
          <w:tcPr>
            <w:tcW w:w="2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448,275</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4,545,444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Bonds</w:t>
            </w:r>
          </w:p>
        </w:tc>
        <w:tc>
          <w:tcPr>
            <w:tcW w:w="2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81,373</w:t>
            </w:r>
          </w:p>
        </w:tc>
        <w:tc>
          <w:tcPr>
            <w:tcW w:w="28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Others</w:t>
            </w:r>
          </w:p>
        </w:tc>
        <w:tc>
          <w:tcPr>
            <w:tcW w:w="20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399,037</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154,620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200" w:type="dxa"/>
            <w:vAlign w:val="bottom"/>
          </w:tcPr>
          <w:p>
            <w:pPr>
              <w:spacing w:after="0"/>
              <w:rPr>
                <w:sz w:val="20"/>
                <w:szCs w:val="20"/>
                <w:color w:val="auto"/>
              </w:rPr>
            </w:pPr>
            <w:r>
              <w:rPr>
                <w:rFonts w:ascii="Arial" w:cs="Arial" w:eastAsia="Arial" w:hAnsi="Arial"/>
                <w:sz w:val="18"/>
                <w:szCs w:val="18"/>
                <w:color w:val="auto"/>
                <w:w w:val="90"/>
              </w:rPr>
              <w:t>Net (depreciation) appreciation in fair value of investments</w:t>
            </w:r>
          </w:p>
        </w:tc>
        <w:tc>
          <w:tcPr>
            <w:tcW w:w="21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(40,573,934)</w:t>
            </w:r>
          </w:p>
        </w:tc>
        <w:tc>
          <w:tcPr>
            <w:tcW w:w="11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79,766,322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2020" w:type="dxa"/>
            <w:vAlign w:val="bottom"/>
            <w:vMerge w:val="restart"/>
          </w:tcPr>
          <w:p>
            <w:pPr>
              <w:jc w:val="right"/>
              <w:ind w:right="1712"/>
              <w:spacing w:after="0"/>
              <w:rPr>
                <w:sz w:val="20"/>
                <w:szCs w:val="20"/>
                <w:color w:val="auto"/>
              </w:rPr>
            </w:pPr>
            <w:r>
              <w:rPr>
                <w:rFonts w:ascii="Arial" w:cs="Arial" w:eastAsia="Arial" w:hAnsi="Arial"/>
                <w:sz w:val="18"/>
                <w:szCs w:val="18"/>
                <w:color w:val="auto"/>
                <w:w w:val="99"/>
              </w:rPr>
              <w:t>12</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200" w:type="dxa"/>
            <w:vAlign w:val="bottom"/>
          </w:tcPr>
          <w:p>
            <w:pPr>
              <w:spacing w:after="0"/>
              <w:rPr>
                <w:sz w:val="24"/>
                <w:szCs w:val="24"/>
                <w:color w:val="auto"/>
              </w:rPr>
            </w:pPr>
          </w:p>
        </w:tc>
        <w:tc>
          <w:tcPr>
            <w:tcW w:w="202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0" w:right="239" w:bottom="1440" w:gutter="0" w:footer="0" w:header="0"/>
        </w:sectPr>
      </w:pPr>
    </w:p>
    <w:bookmarkStart w:id="12" w:name="page13"/>
    <w:bookmarkEnd w:id="12"/>
    <w:p>
      <w:pPr>
        <w:jc w:val="center"/>
        <w:ind w:right="-51"/>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ANALOG DEVICES, INC.</w:t>
      </w:r>
    </w:p>
    <w:p>
      <w:pPr>
        <w:spacing w:after="0" w:line="171"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THE INVESTMENT PARTNERSHIP PLAN</w:t>
      </w:r>
    </w:p>
    <w:p>
      <w:pPr>
        <w:spacing w:after="0" w:line="171"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NOTES TO FINANCIAL STATEMENTS</w:t>
      </w:r>
    </w:p>
    <w:p>
      <w:pPr>
        <w:spacing w:after="0" w:line="171"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Years ended December 31, 2011 and 2010</w:t>
      </w:r>
    </w:p>
    <w:p>
      <w:pPr>
        <w:spacing w:after="0" w:line="152" w:lineRule="exact"/>
        <w:rPr>
          <w:sz w:val="20"/>
          <w:szCs w:val="20"/>
          <w:color w:val="auto"/>
        </w:rPr>
      </w:pPr>
    </w:p>
    <w:p>
      <w:pPr>
        <w:ind w:left="452" w:hanging="452"/>
        <w:spacing w:after="0"/>
        <w:tabs>
          <w:tab w:leader="none" w:pos="452"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w:t>
      </w:r>
    </w:p>
    <w:p>
      <w:pPr>
        <w:spacing w:after="0" w:line="96" w:lineRule="exact"/>
        <w:rPr>
          <w:rFonts w:ascii="Arial" w:cs="Arial" w:eastAsia="Arial" w:hAnsi="Arial"/>
          <w:sz w:val="18"/>
          <w:szCs w:val="18"/>
          <w:b w:val="1"/>
          <w:bCs w:val="1"/>
          <w:color w:val="auto"/>
        </w:rPr>
      </w:pPr>
    </w:p>
    <w:p>
      <w:pPr>
        <w:jc w:val="both"/>
        <w:ind w:left="452" w:right="40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Plan establishes a three level hierarchy to prioritize the inputs to valuation techniques used to measure fair value. The hierarchy gives the highest priority to unadjusted quoted prices in active markets for identical assets or liabilities (Level 1 measurements) and the lowest priority to unobservable inputs (Level 3 measurements).</w:t>
      </w:r>
    </w:p>
    <w:p>
      <w:pPr>
        <w:spacing w:after="0" w:line="140"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8"/>
          <w:szCs w:val="18"/>
          <w:color w:val="auto"/>
        </w:rPr>
        <w:t>The three levels of the fair value hierarchy are described below:</w:t>
      </w:r>
    </w:p>
    <w:p>
      <w:pPr>
        <w:spacing w:after="0" w:line="90" w:lineRule="exact"/>
        <w:rPr>
          <w:rFonts w:ascii="Arial" w:cs="Arial" w:eastAsia="Arial" w:hAnsi="Arial"/>
          <w:sz w:val="18"/>
          <w:szCs w:val="18"/>
          <w:b w:val="1"/>
          <w:bCs w:val="1"/>
          <w:color w:val="auto"/>
        </w:rPr>
      </w:pPr>
    </w:p>
    <w:p>
      <w:pPr>
        <w:ind w:left="452"/>
        <w:spacing w:after="0" w:line="268" w:lineRule="auto"/>
        <w:rPr>
          <w:rFonts w:ascii="Arial" w:cs="Arial" w:eastAsia="Arial" w:hAnsi="Arial"/>
          <w:sz w:val="18"/>
          <w:szCs w:val="18"/>
          <w:b w:val="1"/>
          <w:bCs w:val="1"/>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Level 1 inputs are quoted prices (unadjusted) in active markets for identical assets or liabilities that the reporting entity has the ability to access at</w:t>
      </w:r>
      <w:r>
        <w:rPr>
          <w:rFonts w:ascii="Arial" w:cs="Arial" w:eastAsia="Arial" w:hAnsi="Arial"/>
          <w:sz w:val="18"/>
          <w:szCs w:val="18"/>
          <w:i w:val="1"/>
          <w:iCs w:val="1"/>
          <w:color w:val="auto"/>
        </w:rPr>
        <w:t xml:space="preserve"> </w:t>
      </w:r>
      <w:r>
        <w:rPr>
          <w:rFonts w:ascii="Arial" w:cs="Arial" w:eastAsia="Arial" w:hAnsi="Arial"/>
          <w:sz w:val="18"/>
          <w:szCs w:val="18"/>
          <w:color w:val="auto"/>
        </w:rPr>
        <w:t>the measurement date.</w:t>
      </w:r>
    </w:p>
    <w:p>
      <w:pPr>
        <w:spacing w:after="0" w:line="50" w:lineRule="exact"/>
        <w:rPr>
          <w:rFonts w:ascii="Arial" w:cs="Arial" w:eastAsia="Arial" w:hAnsi="Arial"/>
          <w:sz w:val="18"/>
          <w:szCs w:val="18"/>
          <w:b w:val="1"/>
          <w:bCs w:val="1"/>
          <w:color w:val="auto"/>
        </w:rPr>
      </w:pPr>
    </w:p>
    <w:p>
      <w:pPr>
        <w:ind w:left="452"/>
        <w:spacing w:after="0" w:line="332" w:lineRule="auto"/>
        <w:rPr>
          <w:rFonts w:ascii="Arial" w:cs="Arial" w:eastAsia="Arial" w:hAnsi="Arial"/>
          <w:sz w:val="18"/>
          <w:szCs w:val="18"/>
          <w:b w:val="1"/>
          <w:bCs w:val="1"/>
          <w:color w:val="auto"/>
        </w:rPr>
      </w:pPr>
      <w:r>
        <w:rPr>
          <w:rFonts w:ascii="Arial" w:cs="Arial" w:eastAsia="Arial" w:hAnsi="Arial"/>
          <w:sz w:val="16"/>
          <w:szCs w:val="16"/>
          <w:i w:val="1"/>
          <w:iCs w:val="1"/>
          <w:color w:val="auto"/>
        </w:rPr>
        <w:t xml:space="preserve">Level 2 </w:t>
      </w:r>
      <w:r>
        <w:rPr>
          <w:rFonts w:ascii="Arial" w:cs="Arial" w:eastAsia="Arial" w:hAnsi="Arial"/>
          <w:sz w:val="16"/>
          <w:szCs w:val="16"/>
          <w:color w:val="auto"/>
        </w:rPr>
        <w:t>– Level 2 inputs are inputs other than quoted prices included within Level 1 that are observable for the asset or liability, either directly or indirectly.</w:t>
      </w:r>
      <w:r>
        <w:rPr>
          <w:rFonts w:ascii="Arial" w:cs="Arial" w:eastAsia="Arial" w:hAnsi="Arial"/>
          <w:sz w:val="16"/>
          <w:szCs w:val="16"/>
          <w:i w:val="1"/>
          <w:iCs w:val="1"/>
          <w:color w:val="auto"/>
        </w:rPr>
        <w:t xml:space="preserve"> </w:t>
      </w:r>
      <w:r>
        <w:rPr>
          <w:rFonts w:ascii="Arial" w:cs="Arial" w:eastAsia="Arial" w:hAnsi="Arial"/>
          <w:sz w:val="16"/>
          <w:szCs w:val="16"/>
          <w:color w:val="auto"/>
        </w:rPr>
        <w:t>If the asset or liability has a specified (contractual) term, a Level 2 input must be observable for substantially the full term of the asset or liability.</w:t>
      </w:r>
    </w:p>
    <w:p>
      <w:pPr>
        <w:spacing w:after="0" w:line="4" w:lineRule="exact"/>
        <w:rPr>
          <w:rFonts w:ascii="Arial" w:cs="Arial" w:eastAsia="Arial" w:hAnsi="Arial"/>
          <w:sz w:val="18"/>
          <w:szCs w:val="18"/>
          <w:b w:val="1"/>
          <w:bCs w:val="1"/>
          <w:color w:val="auto"/>
        </w:rPr>
      </w:pPr>
    </w:p>
    <w:p>
      <w:pPr>
        <w:ind w:left="452" w:right="540"/>
        <w:spacing w:after="0" w:line="268" w:lineRule="auto"/>
        <w:rPr>
          <w:rFonts w:ascii="Arial" w:cs="Arial" w:eastAsia="Arial" w:hAnsi="Arial"/>
          <w:sz w:val="18"/>
          <w:szCs w:val="18"/>
          <w:b w:val="1"/>
          <w:bCs w:val="1"/>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 Level 3 inputs are unobservable inputs for the asset or liability in which there is little, if any, market activity for the asset or liability at the</w:t>
      </w:r>
      <w:r>
        <w:rPr>
          <w:rFonts w:ascii="Arial" w:cs="Arial" w:eastAsia="Arial" w:hAnsi="Arial"/>
          <w:sz w:val="18"/>
          <w:szCs w:val="18"/>
          <w:i w:val="1"/>
          <w:iCs w:val="1"/>
          <w:color w:val="auto"/>
        </w:rPr>
        <w:t xml:space="preserve"> </w:t>
      </w:r>
      <w:r>
        <w:rPr>
          <w:rFonts w:ascii="Arial" w:cs="Arial" w:eastAsia="Arial" w:hAnsi="Arial"/>
          <w:sz w:val="18"/>
          <w:szCs w:val="18"/>
          <w:color w:val="auto"/>
        </w:rPr>
        <w:t>measurement date. As of December 31, 2011 and 2010, the Plan held no level 3 investments.</w:t>
      </w:r>
    </w:p>
    <w:p>
      <w:pPr>
        <w:spacing w:after="0" w:line="118"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72"/>
          </w:cols>
          <w:pgMar w:left="248" w:top="280" w:right="279" w:bottom="1440" w:gutter="0" w:footer="0" w:header="0"/>
        </w:sectPr>
      </w:pPr>
    </w:p>
    <w:bookmarkStart w:id="13" w:name="page14"/>
    <w:bookmarkEnd w:id="13"/>
    <w:p>
      <w:pPr>
        <w:jc w:val="center"/>
        <w:ind w:right="3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ANALOG DEVICES, INC.</w:t>
      </w:r>
    </w:p>
    <w:p>
      <w:pPr>
        <w:spacing w:after="0" w:line="171"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THE INVESTMENT PARTNERSHIP PLAN</w:t>
      </w:r>
    </w:p>
    <w:p>
      <w:pPr>
        <w:spacing w:after="0" w:line="171"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NOTES TO FINANCIAL STATEMENTS</w:t>
      </w:r>
    </w:p>
    <w:p>
      <w:pPr>
        <w:spacing w:after="0" w:line="171"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Years ended December 31, 2011 and 2010</w:t>
      </w:r>
    </w:p>
    <w:p>
      <w:pPr>
        <w:spacing w:after="0" w:line="239" w:lineRule="exact"/>
        <w:rPr>
          <w:sz w:val="20"/>
          <w:szCs w:val="20"/>
          <w:color w:val="auto"/>
        </w:rPr>
      </w:pPr>
    </w:p>
    <w:p>
      <w:pPr>
        <w:spacing w:after="0"/>
        <w:rPr>
          <w:sz w:val="20"/>
          <w:szCs w:val="20"/>
          <w:color w:val="auto"/>
        </w:rPr>
      </w:pPr>
      <w:r>
        <w:rPr>
          <w:rFonts w:ascii="Arial" w:cs="Arial" w:eastAsia="Arial" w:hAnsi="Arial"/>
          <w:sz w:val="15"/>
          <w:szCs w:val="15"/>
          <w:color w:val="auto"/>
        </w:rPr>
        <w:t>The fair values, by level within the fair value hierarchy, of the Plan’s investments at December 31, 2011 and December 31, 2010 are measured as follows:</w:t>
      </w:r>
    </w:p>
    <w:p>
      <w:pPr>
        <w:spacing w:after="0" w:line="22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7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760" w:type="dxa"/>
            <w:vAlign w:val="bottom"/>
            <w:gridSpan w:val="8"/>
          </w:tcPr>
          <w:p>
            <w:pPr>
              <w:jc w:val="center"/>
              <w:ind w:right="180"/>
              <w:spacing w:after="0"/>
              <w:rPr>
                <w:sz w:val="20"/>
                <w:szCs w:val="20"/>
                <w:color w:val="auto"/>
              </w:rPr>
            </w:pPr>
            <w:r>
              <w:rPr>
                <w:rFonts w:ascii="Arial" w:cs="Arial" w:eastAsia="Arial" w:hAnsi="Arial"/>
                <w:sz w:val="14"/>
                <w:szCs w:val="14"/>
                <w:b w:val="1"/>
                <w:bCs w:val="1"/>
                <w:color w:val="auto"/>
                <w:w w:val="86"/>
              </w:rPr>
              <w:t>Investments at Fair Value as of December 31, 2011</w:t>
            </w:r>
          </w:p>
        </w:tc>
        <w:tc>
          <w:tcPr>
            <w:tcW w:w="0" w:type="dxa"/>
            <w:vAlign w:val="bottom"/>
          </w:tcPr>
          <w:p>
            <w:pPr>
              <w:spacing w:after="0"/>
              <w:rPr>
                <w:sz w:val="1"/>
                <w:szCs w:val="1"/>
                <w:color w:val="auto"/>
              </w:rPr>
            </w:pPr>
          </w:p>
        </w:tc>
      </w:tr>
      <w:tr>
        <w:trPr>
          <w:trHeight w:val="161"/>
        </w:trPr>
        <w:tc>
          <w:tcPr>
            <w:tcW w:w="37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Level 1</w:t>
            </w: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Level 2</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ind w:lef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37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Mutual Funds:</w:t>
            </w:r>
          </w:p>
        </w:tc>
        <w:tc>
          <w:tcPr>
            <w:tcW w:w="20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20" w:type="dxa"/>
            <w:vAlign w:val="bottom"/>
          </w:tcPr>
          <w:p>
            <w:pPr>
              <w:ind w:left="440"/>
              <w:spacing w:after="0"/>
              <w:rPr>
                <w:sz w:val="20"/>
                <w:szCs w:val="20"/>
                <w:color w:val="auto"/>
              </w:rPr>
            </w:pPr>
            <w:r>
              <w:rPr>
                <w:rFonts w:ascii="Arial" w:cs="Arial" w:eastAsia="Arial" w:hAnsi="Arial"/>
                <w:sz w:val="18"/>
                <w:szCs w:val="18"/>
                <w:color w:val="auto"/>
              </w:rPr>
              <w:t>Equity Investments</w:t>
            </w:r>
          </w:p>
        </w:tc>
        <w:tc>
          <w:tcPr>
            <w:tcW w:w="2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Domestic</w:t>
            </w:r>
          </w:p>
        </w:tc>
        <w:tc>
          <w:tcPr>
            <w:tcW w:w="2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5"/>
              </w:rPr>
              <w:t>222,612,423</w:t>
            </w:r>
          </w:p>
        </w:tc>
        <w:tc>
          <w:tcPr>
            <w:tcW w:w="11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222,612,423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tcPr>
          <w:p>
            <w:pPr>
              <w:ind w:left="880"/>
              <w:spacing w:after="0"/>
              <w:rPr>
                <w:sz w:val="20"/>
                <w:szCs w:val="20"/>
                <w:color w:val="auto"/>
              </w:rPr>
            </w:pPr>
            <w:r>
              <w:rPr>
                <w:rFonts w:ascii="Arial" w:cs="Arial" w:eastAsia="Arial" w:hAnsi="Arial"/>
                <w:sz w:val="18"/>
                <w:szCs w:val="18"/>
                <w:color w:val="auto"/>
              </w:rPr>
              <w:t>International</w:t>
            </w:r>
          </w:p>
        </w:tc>
        <w:tc>
          <w:tcPr>
            <w:tcW w:w="2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2"/>
          </w:tcPr>
          <w:p>
            <w:pPr>
              <w:jc w:val="right"/>
              <w:ind w:right="460"/>
              <w:spacing w:after="0"/>
              <w:rPr>
                <w:sz w:val="20"/>
                <w:szCs w:val="20"/>
                <w:color w:val="auto"/>
              </w:rPr>
            </w:pPr>
            <w:r>
              <w:rPr>
                <w:rFonts w:ascii="Arial" w:cs="Arial" w:eastAsia="Arial" w:hAnsi="Arial"/>
                <w:sz w:val="18"/>
                <w:szCs w:val="18"/>
                <w:color w:val="auto"/>
                <w:w w:val="95"/>
              </w:rPr>
              <w:t>50,456,609</w:t>
            </w:r>
          </w:p>
        </w:tc>
        <w:tc>
          <w:tcPr>
            <w:tcW w:w="112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50,456,609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Short Term Investments</w:t>
            </w:r>
          </w:p>
        </w:tc>
        <w:tc>
          <w:tcPr>
            <w:tcW w:w="2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5"/>
              </w:rPr>
              <w:t>137,972,857</w:t>
            </w:r>
          </w:p>
        </w:tc>
        <w:tc>
          <w:tcPr>
            <w:tcW w:w="11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137,972,857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tcPr>
          <w:p>
            <w:pPr>
              <w:ind w:left="440"/>
              <w:spacing w:after="0"/>
              <w:rPr>
                <w:sz w:val="20"/>
                <w:szCs w:val="20"/>
                <w:color w:val="auto"/>
              </w:rPr>
            </w:pPr>
            <w:r>
              <w:rPr>
                <w:rFonts w:ascii="Arial" w:cs="Arial" w:eastAsia="Arial" w:hAnsi="Arial"/>
                <w:sz w:val="18"/>
                <w:szCs w:val="18"/>
                <w:color w:val="auto"/>
              </w:rPr>
              <w:t>Lifecycle Funds</w:t>
            </w:r>
          </w:p>
        </w:tc>
        <w:tc>
          <w:tcPr>
            <w:tcW w:w="2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2"/>
          </w:tcPr>
          <w:p>
            <w:pPr>
              <w:jc w:val="right"/>
              <w:ind w:right="460"/>
              <w:spacing w:after="0"/>
              <w:rPr>
                <w:sz w:val="20"/>
                <w:szCs w:val="20"/>
                <w:color w:val="auto"/>
              </w:rPr>
            </w:pPr>
            <w:r>
              <w:rPr>
                <w:rFonts w:ascii="Arial" w:cs="Arial" w:eastAsia="Arial" w:hAnsi="Arial"/>
                <w:sz w:val="18"/>
                <w:szCs w:val="18"/>
                <w:color w:val="auto"/>
                <w:w w:val="95"/>
              </w:rPr>
              <w:t>82,090,044</w:t>
            </w:r>
          </w:p>
        </w:tc>
        <w:tc>
          <w:tcPr>
            <w:tcW w:w="112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82,090,044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Bond Investments</w:t>
            </w:r>
          </w:p>
        </w:tc>
        <w:tc>
          <w:tcPr>
            <w:tcW w:w="2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5"/>
              </w:rPr>
              <w:t>76,627,790</w:t>
            </w:r>
          </w:p>
        </w:tc>
        <w:tc>
          <w:tcPr>
            <w:tcW w:w="11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76,627,790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20" w:type="dxa"/>
            <w:vAlign w:val="bottom"/>
            <w:vMerge w:val="restart"/>
          </w:tcPr>
          <w:p>
            <w:pPr>
              <w:spacing w:after="0"/>
              <w:rPr>
                <w:sz w:val="20"/>
                <w:szCs w:val="20"/>
                <w:color w:val="auto"/>
              </w:rPr>
            </w:pPr>
            <w:r>
              <w:rPr>
                <w:rFonts w:ascii="Arial" w:cs="Arial" w:eastAsia="Arial" w:hAnsi="Arial"/>
                <w:sz w:val="18"/>
                <w:szCs w:val="18"/>
                <w:color w:val="auto"/>
              </w:rPr>
              <w:t>Total Mutual Funds</w:t>
            </w:r>
          </w:p>
        </w:tc>
        <w:tc>
          <w:tcPr>
            <w:tcW w:w="20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720" w:type="dxa"/>
            <w:vAlign w:val="bottom"/>
            <w:vMerge w:val="continue"/>
          </w:tcPr>
          <w:p>
            <w:pPr>
              <w:spacing w:after="0"/>
              <w:rPr>
                <w:sz w:val="19"/>
                <w:szCs w:val="19"/>
                <w:color w:val="auto"/>
              </w:rPr>
            </w:pPr>
          </w:p>
        </w:tc>
        <w:tc>
          <w:tcPr>
            <w:tcW w:w="2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gridSpan w:val="2"/>
          </w:tcPr>
          <w:p>
            <w:pPr>
              <w:jc w:val="right"/>
              <w:ind w:right="460"/>
              <w:spacing w:after="0"/>
              <w:rPr>
                <w:sz w:val="20"/>
                <w:szCs w:val="20"/>
                <w:color w:val="auto"/>
              </w:rPr>
            </w:pPr>
            <w:r>
              <w:rPr>
                <w:rFonts w:ascii="Arial" w:cs="Arial" w:eastAsia="Arial" w:hAnsi="Arial"/>
                <w:sz w:val="18"/>
                <w:szCs w:val="18"/>
                <w:color w:val="auto"/>
                <w:w w:val="85"/>
              </w:rPr>
              <w:t>569,759,723</w:t>
            </w:r>
          </w:p>
        </w:tc>
        <w:tc>
          <w:tcPr>
            <w:tcW w:w="112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85"/>
              </w:rPr>
              <w:t>569,759,723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Analog Common Stock Fund</w:t>
            </w:r>
          </w:p>
        </w:tc>
        <w:tc>
          <w:tcPr>
            <w:tcW w:w="2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5"/>
              </w:rPr>
              <w:t>95,514,244</w:t>
            </w:r>
          </w:p>
        </w:tc>
        <w:tc>
          <w:tcPr>
            <w:tcW w:w="11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95,514,244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Self-directed Brokerage Account:</w:t>
            </w:r>
          </w:p>
        </w:tc>
        <w:tc>
          <w:tcPr>
            <w:tcW w:w="2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Equity Investments</w:t>
            </w:r>
          </w:p>
        </w:tc>
        <w:tc>
          <w:tcPr>
            <w:tcW w:w="2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5"/>
              </w:rPr>
              <w:t>41,811,034</w:t>
            </w:r>
          </w:p>
        </w:tc>
        <w:tc>
          <w:tcPr>
            <w:tcW w:w="11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41,811,034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tcPr>
          <w:p>
            <w:pPr>
              <w:ind w:left="440"/>
              <w:spacing w:after="0"/>
              <w:rPr>
                <w:sz w:val="20"/>
                <w:szCs w:val="20"/>
                <w:color w:val="auto"/>
              </w:rPr>
            </w:pPr>
            <w:r>
              <w:rPr>
                <w:rFonts w:ascii="Arial" w:cs="Arial" w:eastAsia="Arial" w:hAnsi="Arial"/>
                <w:sz w:val="18"/>
                <w:szCs w:val="18"/>
                <w:color w:val="auto"/>
              </w:rPr>
              <w:t>Cash and Cash Equivalents</w:t>
            </w:r>
          </w:p>
        </w:tc>
        <w:tc>
          <w:tcPr>
            <w:tcW w:w="2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2"/>
          </w:tcPr>
          <w:p>
            <w:pPr>
              <w:jc w:val="right"/>
              <w:ind w:right="460"/>
              <w:spacing w:after="0"/>
              <w:rPr>
                <w:sz w:val="20"/>
                <w:szCs w:val="20"/>
                <w:color w:val="auto"/>
              </w:rPr>
            </w:pPr>
            <w:r>
              <w:rPr>
                <w:rFonts w:ascii="Arial" w:cs="Arial" w:eastAsia="Arial" w:hAnsi="Arial"/>
                <w:sz w:val="18"/>
                <w:szCs w:val="18"/>
                <w:color w:val="auto"/>
                <w:w w:val="95"/>
              </w:rPr>
              <w:t>26,211,636</w:t>
            </w:r>
          </w:p>
        </w:tc>
        <w:tc>
          <w:tcPr>
            <w:tcW w:w="112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26,211,636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Mutual Funds</w:t>
            </w:r>
          </w:p>
        </w:tc>
        <w:tc>
          <w:tcPr>
            <w:tcW w:w="2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5"/>
              </w:rPr>
              <w:t>18,014,844</w:t>
            </w:r>
          </w:p>
        </w:tc>
        <w:tc>
          <w:tcPr>
            <w:tcW w:w="11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18,014,844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tcPr>
          <w:p>
            <w:pPr>
              <w:ind w:left="440"/>
              <w:spacing w:after="0"/>
              <w:rPr>
                <w:sz w:val="20"/>
                <w:szCs w:val="20"/>
                <w:color w:val="auto"/>
              </w:rPr>
            </w:pPr>
            <w:r>
              <w:rPr>
                <w:rFonts w:ascii="Arial" w:cs="Arial" w:eastAsia="Arial" w:hAnsi="Arial"/>
                <w:sz w:val="18"/>
                <w:szCs w:val="18"/>
                <w:color w:val="auto"/>
              </w:rPr>
              <w:t>Corporate Bonds</w:t>
            </w:r>
          </w:p>
        </w:tc>
        <w:tc>
          <w:tcPr>
            <w:tcW w:w="2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2"/>
          </w:tcPr>
          <w:p>
            <w:pPr>
              <w:jc w:val="right"/>
              <w:ind w:right="460"/>
              <w:spacing w:after="0"/>
              <w:rPr>
                <w:sz w:val="20"/>
                <w:szCs w:val="20"/>
                <w:color w:val="auto"/>
              </w:rPr>
            </w:pPr>
            <w:r>
              <w:rPr>
                <w:rFonts w:ascii="Arial" w:cs="Arial" w:eastAsia="Arial" w:hAnsi="Arial"/>
                <w:sz w:val="18"/>
                <w:szCs w:val="18"/>
                <w:color w:val="auto"/>
              </w:rPr>
              <w:t>681,667</w:t>
            </w:r>
          </w:p>
        </w:tc>
        <w:tc>
          <w:tcPr>
            <w:tcW w:w="112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681,667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Government Bonds</w:t>
            </w:r>
          </w:p>
        </w:tc>
        <w:tc>
          <w:tcPr>
            <w:tcW w:w="2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435,181</w:t>
            </w:r>
          </w:p>
        </w:tc>
        <w:tc>
          <w:tcPr>
            <w:tcW w:w="11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435,181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tcPr>
          <w:p>
            <w:pPr>
              <w:ind w:left="440"/>
              <w:spacing w:after="0"/>
              <w:rPr>
                <w:sz w:val="20"/>
                <w:szCs w:val="20"/>
                <w:color w:val="auto"/>
              </w:rPr>
            </w:pPr>
            <w:r>
              <w:rPr>
                <w:rFonts w:ascii="Arial" w:cs="Arial" w:eastAsia="Arial" w:hAnsi="Arial"/>
                <w:sz w:val="18"/>
                <w:szCs w:val="18"/>
                <w:color w:val="auto"/>
              </w:rPr>
              <w:t>Other</w:t>
            </w:r>
          </w:p>
        </w:tc>
        <w:tc>
          <w:tcPr>
            <w:tcW w:w="2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2"/>
          </w:tcPr>
          <w:p>
            <w:pPr>
              <w:jc w:val="right"/>
              <w:ind w:right="460"/>
              <w:spacing w:after="0"/>
              <w:rPr>
                <w:sz w:val="20"/>
                <w:szCs w:val="20"/>
                <w:color w:val="auto"/>
              </w:rPr>
            </w:pPr>
            <w:r>
              <w:rPr>
                <w:rFonts w:ascii="Arial" w:cs="Arial" w:eastAsia="Arial" w:hAnsi="Arial"/>
                <w:sz w:val="18"/>
                <w:szCs w:val="18"/>
                <w:color w:val="auto"/>
              </w:rPr>
              <w:t>859,370</w:t>
            </w:r>
          </w:p>
        </w:tc>
        <w:tc>
          <w:tcPr>
            <w:tcW w:w="112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859,370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7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Total Self-directed Brokerage Account</w:t>
            </w:r>
          </w:p>
        </w:tc>
        <w:tc>
          <w:tcPr>
            <w:tcW w:w="2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5"/>
              </w:rPr>
              <w:t>88,013,732</w:t>
            </w:r>
          </w:p>
        </w:tc>
        <w:tc>
          <w:tcPr>
            <w:tcW w:w="11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88,013,732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Commingled Funds</w:t>
            </w:r>
          </w:p>
        </w:tc>
        <w:tc>
          <w:tcPr>
            <w:tcW w:w="2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38,406,136</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38,406,136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372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460" w:type="dxa"/>
            <w:vAlign w:val="bottom"/>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Investments at Fair Value</w:t>
            </w:r>
          </w:p>
        </w:tc>
        <w:tc>
          <w:tcPr>
            <w:tcW w:w="21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13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w w:val="85"/>
              </w:rPr>
              <w:t>753,287,699</w:t>
            </w:r>
          </w:p>
        </w:tc>
        <w:tc>
          <w:tcPr>
            <w:tcW w:w="112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b w:val="1"/>
                <w:bCs w:val="1"/>
                <w:u w:val="single" w:color="auto"/>
                <w:color w:val="auto"/>
                <w:w w:val="89"/>
              </w:rPr>
              <w:t>$</w:t>
            </w:r>
            <w:r>
              <w:rPr>
                <w:rFonts w:ascii="Arial" w:cs="Arial" w:eastAsia="Arial" w:hAnsi="Arial"/>
                <w:sz w:val="18"/>
                <w:szCs w:val="18"/>
                <w:b w:val="1"/>
                <w:bCs w:val="1"/>
                <w:color w:val="auto"/>
                <w:w w:val="89"/>
              </w:rPr>
              <w:t>38,406,136</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5"/>
              </w:rPr>
              <w:t>791,693,835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2020" w:type="dxa"/>
            <w:vAlign w:val="bottom"/>
            <w:vMerge w:val="restart"/>
          </w:tcPr>
          <w:p>
            <w:pPr>
              <w:jc w:val="right"/>
              <w:ind w:right="772"/>
              <w:spacing w:after="0"/>
              <w:rPr>
                <w:sz w:val="20"/>
                <w:szCs w:val="20"/>
                <w:color w:val="auto"/>
              </w:rPr>
            </w:pPr>
            <w:r>
              <w:rPr>
                <w:rFonts w:ascii="Arial" w:cs="Arial" w:eastAsia="Arial" w:hAnsi="Arial"/>
                <w:sz w:val="18"/>
                <w:szCs w:val="18"/>
                <w:color w:val="auto"/>
              </w:rPr>
              <w:t>14</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3720" w:type="dxa"/>
            <w:vAlign w:val="bottom"/>
          </w:tcPr>
          <w:p>
            <w:pPr>
              <w:spacing w:after="0"/>
              <w:rPr>
                <w:sz w:val="24"/>
                <w:szCs w:val="24"/>
                <w:color w:val="auto"/>
              </w:rPr>
            </w:pPr>
          </w:p>
        </w:tc>
        <w:tc>
          <w:tcPr>
            <w:tcW w:w="202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800"/>
          </w:cols>
          <w:pgMar w:left="700" w:top="280" w:right="399" w:bottom="1440" w:gutter="0" w:footer="0" w:header="0"/>
        </w:sectPr>
      </w:pPr>
    </w:p>
    <w:bookmarkStart w:id="14" w:name="page15"/>
    <w:bookmarkEnd w:id="14"/>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ANALOG DEVICES, INC.</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INVESTMENT PARTNERSHIP PLAN</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NOTES TO FINANCIAL STATEMENTS</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Years ended December 31, 2011 and 2010</w:t>
      </w:r>
    </w:p>
    <w:p>
      <w:pPr>
        <w:spacing w:after="0" w:line="14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840" w:type="dxa"/>
            <w:vAlign w:val="bottom"/>
            <w:gridSpan w:val="7"/>
          </w:tcPr>
          <w:p>
            <w:pPr>
              <w:jc w:val="center"/>
              <w:ind w:right="100"/>
              <w:spacing w:after="0"/>
              <w:rPr>
                <w:sz w:val="20"/>
                <w:szCs w:val="20"/>
                <w:color w:val="auto"/>
              </w:rPr>
            </w:pPr>
            <w:r>
              <w:rPr>
                <w:rFonts w:ascii="Arial" w:cs="Arial" w:eastAsia="Arial" w:hAnsi="Arial"/>
                <w:sz w:val="14"/>
                <w:szCs w:val="14"/>
                <w:b w:val="1"/>
                <w:bCs w:val="1"/>
                <w:color w:val="auto"/>
                <w:w w:val="86"/>
              </w:rPr>
              <w:t>Investments at Fair Value as of December 31, 2010</w:t>
            </w:r>
          </w:p>
        </w:tc>
        <w:tc>
          <w:tcPr>
            <w:tcW w:w="0" w:type="dxa"/>
            <w:vAlign w:val="bottom"/>
          </w:tcPr>
          <w:p>
            <w:pPr>
              <w:spacing w:after="0"/>
              <w:rPr>
                <w:sz w:val="1"/>
                <w:szCs w:val="1"/>
                <w:color w:val="auto"/>
              </w:rPr>
            </w:pPr>
          </w:p>
        </w:tc>
      </w:tr>
      <w:tr>
        <w:trPr>
          <w:trHeight w:val="161"/>
        </w:trPr>
        <w:tc>
          <w:tcPr>
            <w:tcW w:w="42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42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Level 1</w:t>
            </w: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Level 2</w:t>
            </w:r>
          </w:p>
        </w:tc>
        <w:tc>
          <w:tcPr>
            <w:tcW w:w="240" w:type="dxa"/>
            <w:vAlign w:val="bottom"/>
          </w:tcPr>
          <w:p>
            <w:pPr>
              <w:spacing w:after="0"/>
              <w:rPr>
                <w:sz w:val="14"/>
                <w:szCs w:val="14"/>
                <w:color w:val="auto"/>
              </w:rPr>
            </w:pPr>
          </w:p>
        </w:tc>
        <w:tc>
          <w:tcPr>
            <w:tcW w:w="1060" w:type="dxa"/>
            <w:vAlign w:val="bottom"/>
            <w:gridSpan w:val="2"/>
          </w:tcPr>
          <w:p>
            <w:pPr>
              <w:ind w:left="3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42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Mutual Funds:</w:t>
            </w:r>
          </w:p>
        </w:tc>
        <w:tc>
          <w:tcPr>
            <w:tcW w:w="150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40" w:type="dxa"/>
            <w:vAlign w:val="bottom"/>
          </w:tcPr>
          <w:p>
            <w:pPr>
              <w:ind w:left="440"/>
              <w:spacing w:after="0"/>
              <w:rPr>
                <w:sz w:val="20"/>
                <w:szCs w:val="20"/>
                <w:color w:val="auto"/>
              </w:rPr>
            </w:pPr>
            <w:r>
              <w:rPr>
                <w:rFonts w:ascii="Arial" w:cs="Arial" w:eastAsia="Arial" w:hAnsi="Arial"/>
                <w:sz w:val="18"/>
                <w:szCs w:val="18"/>
                <w:color w:val="auto"/>
              </w:rPr>
              <w:t>Equity Investments</w:t>
            </w:r>
          </w:p>
        </w:tc>
        <w:tc>
          <w:tcPr>
            <w:tcW w:w="1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Domestic</w:t>
            </w:r>
          </w:p>
        </w:tc>
        <w:tc>
          <w:tcPr>
            <w:tcW w:w="292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$238,099,045</w:t>
            </w:r>
          </w:p>
        </w:tc>
        <w:tc>
          <w:tcPr>
            <w:tcW w:w="11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$238,099,045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Pr>
          <w:p>
            <w:pPr>
              <w:ind w:left="880"/>
              <w:spacing w:after="0"/>
              <w:rPr>
                <w:sz w:val="20"/>
                <w:szCs w:val="20"/>
                <w:color w:val="auto"/>
              </w:rPr>
            </w:pPr>
            <w:r>
              <w:rPr>
                <w:rFonts w:ascii="Arial" w:cs="Arial" w:eastAsia="Arial" w:hAnsi="Arial"/>
                <w:sz w:val="18"/>
                <w:szCs w:val="18"/>
                <w:color w:val="auto"/>
              </w:rPr>
              <w:t>International</w:t>
            </w:r>
          </w:p>
        </w:tc>
        <w:tc>
          <w:tcPr>
            <w:tcW w:w="2920" w:type="dxa"/>
            <w:vAlign w:val="bottom"/>
            <w:gridSpan w:val="3"/>
          </w:tcPr>
          <w:p>
            <w:pPr>
              <w:jc w:val="right"/>
              <w:ind w:right="460"/>
              <w:spacing w:after="0"/>
              <w:rPr>
                <w:sz w:val="20"/>
                <w:szCs w:val="20"/>
                <w:color w:val="auto"/>
              </w:rPr>
            </w:pPr>
            <w:r>
              <w:rPr>
                <w:rFonts w:ascii="Arial" w:cs="Arial" w:eastAsia="Arial" w:hAnsi="Arial"/>
                <w:sz w:val="18"/>
                <w:szCs w:val="18"/>
                <w:color w:val="auto"/>
              </w:rPr>
              <w:t>56,979,456</w:t>
            </w:r>
          </w:p>
        </w:tc>
        <w:tc>
          <w:tcPr>
            <w:tcW w:w="112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56,979,456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Short Term Investments</w:t>
            </w:r>
          </w:p>
        </w:tc>
        <w:tc>
          <w:tcPr>
            <w:tcW w:w="292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128,138,600</w:t>
            </w:r>
          </w:p>
        </w:tc>
        <w:tc>
          <w:tcPr>
            <w:tcW w:w="11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128,138,600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Pr>
          <w:p>
            <w:pPr>
              <w:ind w:left="440"/>
              <w:spacing w:after="0"/>
              <w:rPr>
                <w:sz w:val="20"/>
                <w:szCs w:val="20"/>
                <w:color w:val="auto"/>
              </w:rPr>
            </w:pPr>
            <w:r>
              <w:rPr>
                <w:rFonts w:ascii="Arial" w:cs="Arial" w:eastAsia="Arial" w:hAnsi="Arial"/>
                <w:sz w:val="18"/>
                <w:szCs w:val="18"/>
                <w:color w:val="auto"/>
              </w:rPr>
              <w:t>Lifecycle Funds</w:t>
            </w:r>
          </w:p>
        </w:tc>
        <w:tc>
          <w:tcPr>
            <w:tcW w:w="2920" w:type="dxa"/>
            <w:vAlign w:val="bottom"/>
            <w:gridSpan w:val="3"/>
          </w:tcPr>
          <w:p>
            <w:pPr>
              <w:jc w:val="right"/>
              <w:ind w:right="460"/>
              <w:spacing w:after="0"/>
              <w:rPr>
                <w:sz w:val="20"/>
                <w:szCs w:val="20"/>
                <w:color w:val="auto"/>
              </w:rPr>
            </w:pPr>
            <w:r>
              <w:rPr>
                <w:rFonts w:ascii="Arial" w:cs="Arial" w:eastAsia="Arial" w:hAnsi="Arial"/>
                <w:sz w:val="18"/>
                <w:szCs w:val="18"/>
                <w:color w:val="auto"/>
              </w:rPr>
              <w:t>76,697,371</w:t>
            </w:r>
          </w:p>
        </w:tc>
        <w:tc>
          <w:tcPr>
            <w:tcW w:w="112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76,697,371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Bond Investments</w:t>
            </w:r>
          </w:p>
        </w:tc>
        <w:tc>
          <w:tcPr>
            <w:tcW w:w="15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62,406,364</w:t>
            </w:r>
          </w:p>
        </w:tc>
        <w:tc>
          <w:tcPr>
            <w:tcW w:w="11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62,406,364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40" w:type="dxa"/>
            <w:vAlign w:val="bottom"/>
            <w:vMerge w:val="restart"/>
          </w:tcPr>
          <w:p>
            <w:pPr>
              <w:spacing w:after="0"/>
              <w:rPr>
                <w:sz w:val="20"/>
                <w:szCs w:val="20"/>
                <w:color w:val="auto"/>
              </w:rPr>
            </w:pPr>
            <w:r>
              <w:rPr>
                <w:rFonts w:ascii="Arial" w:cs="Arial" w:eastAsia="Arial" w:hAnsi="Arial"/>
                <w:sz w:val="18"/>
                <w:szCs w:val="18"/>
                <w:color w:val="auto"/>
              </w:rPr>
              <w:t>Total Mutual Funds</w:t>
            </w:r>
          </w:p>
        </w:tc>
        <w:tc>
          <w:tcPr>
            <w:tcW w:w="15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240" w:type="dxa"/>
            <w:vAlign w:val="bottom"/>
            <w:vMerge w:val="continue"/>
          </w:tcPr>
          <w:p>
            <w:pPr>
              <w:spacing w:after="0"/>
              <w:rPr>
                <w:sz w:val="19"/>
                <w:szCs w:val="19"/>
                <w:color w:val="auto"/>
              </w:rPr>
            </w:pPr>
          </w:p>
        </w:tc>
        <w:tc>
          <w:tcPr>
            <w:tcW w:w="1500" w:type="dxa"/>
            <w:vAlign w:val="bottom"/>
          </w:tcPr>
          <w:p>
            <w:pPr>
              <w:spacing w:after="0"/>
              <w:rPr>
                <w:sz w:val="19"/>
                <w:szCs w:val="19"/>
                <w:color w:val="auto"/>
              </w:rPr>
            </w:pPr>
          </w:p>
        </w:tc>
        <w:tc>
          <w:tcPr>
            <w:tcW w:w="1420" w:type="dxa"/>
            <w:vAlign w:val="bottom"/>
            <w:gridSpan w:val="2"/>
          </w:tcPr>
          <w:p>
            <w:pPr>
              <w:jc w:val="right"/>
              <w:ind w:right="460"/>
              <w:spacing w:after="0"/>
              <w:rPr>
                <w:sz w:val="20"/>
                <w:szCs w:val="20"/>
                <w:color w:val="auto"/>
              </w:rPr>
            </w:pPr>
            <w:r>
              <w:rPr>
                <w:rFonts w:ascii="Arial" w:cs="Arial" w:eastAsia="Arial" w:hAnsi="Arial"/>
                <w:sz w:val="18"/>
                <w:szCs w:val="18"/>
                <w:color w:val="auto"/>
                <w:w w:val="93"/>
              </w:rPr>
              <w:t>562,320,836</w:t>
            </w:r>
          </w:p>
        </w:tc>
        <w:tc>
          <w:tcPr>
            <w:tcW w:w="112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562,320,836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Analog Common Stock Fund</w:t>
            </w:r>
          </w:p>
        </w:tc>
        <w:tc>
          <w:tcPr>
            <w:tcW w:w="292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107,677,872</w:t>
            </w:r>
          </w:p>
        </w:tc>
        <w:tc>
          <w:tcPr>
            <w:tcW w:w="11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107,677,872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Self-directed Brokerage Account:</w:t>
            </w:r>
          </w:p>
        </w:tc>
        <w:tc>
          <w:tcPr>
            <w:tcW w:w="1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Equity Investments</w:t>
            </w:r>
          </w:p>
        </w:tc>
        <w:tc>
          <w:tcPr>
            <w:tcW w:w="292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43,129,256</w:t>
            </w:r>
          </w:p>
        </w:tc>
        <w:tc>
          <w:tcPr>
            <w:tcW w:w="11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43,129,256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Pr>
          <w:p>
            <w:pPr>
              <w:ind w:left="440"/>
              <w:spacing w:after="0"/>
              <w:rPr>
                <w:sz w:val="20"/>
                <w:szCs w:val="20"/>
                <w:color w:val="auto"/>
              </w:rPr>
            </w:pPr>
            <w:r>
              <w:rPr>
                <w:rFonts w:ascii="Arial" w:cs="Arial" w:eastAsia="Arial" w:hAnsi="Arial"/>
                <w:sz w:val="18"/>
                <w:szCs w:val="18"/>
                <w:color w:val="auto"/>
              </w:rPr>
              <w:t>Cash and Cash Equivalents</w:t>
            </w:r>
          </w:p>
        </w:tc>
        <w:tc>
          <w:tcPr>
            <w:tcW w:w="2920" w:type="dxa"/>
            <w:vAlign w:val="bottom"/>
            <w:gridSpan w:val="3"/>
          </w:tcPr>
          <w:p>
            <w:pPr>
              <w:jc w:val="right"/>
              <w:ind w:right="460"/>
              <w:spacing w:after="0"/>
              <w:rPr>
                <w:sz w:val="20"/>
                <w:szCs w:val="20"/>
                <w:color w:val="auto"/>
              </w:rPr>
            </w:pPr>
            <w:r>
              <w:rPr>
                <w:rFonts w:ascii="Arial" w:cs="Arial" w:eastAsia="Arial" w:hAnsi="Arial"/>
                <w:sz w:val="18"/>
                <w:szCs w:val="18"/>
                <w:color w:val="auto"/>
              </w:rPr>
              <w:t>24,512,063</w:t>
            </w:r>
          </w:p>
        </w:tc>
        <w:tc>
          <w:tcPr>
            <w:tcW w:w="112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24,512,063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Mutual Funds</w:t>
            </w:r>
          </w:p>
        </w:tc>
        <w:tc>
          <w:tcPr>
            <w:tcW w:w="292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17,458,955</w:t>
            </w:r>
          </w:p>
        </w:tc>
        <w:tc>
          <w:tcPr>
            <w:tcW w:w="11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17,458,955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Pr>
          <w:p>
            <w:pPr>
              <w:ind w:left="440"/>
              <w:spacing w:after="0"/>
              <w:rPr>
                <w:sz w:val="20"/>
                <w:szCs w:val="20"/>
                <w:color w:val="auto"/>
              </w:rPr>
            </w:pPr>
            <w:r>
              <w:rPr>
                <w:rFonts w:ascii="Arial" w:cs="Arial" w:eastAsia="Arial" w:hAnsi="Arial"/>
                <w:sz w:val="18"/>
                <w:szCs w:val="18"/>
                <w:color w:val="auto"/>
              </w:rPr>
              <w:t>Corporate Bonds</w:t>
            </w:r>
          </w:p>
        </w:tc>
        <w:tc>
          <w:tcPr>
            <w:tcW w:w="2920" w:type="dxa"/>
            <w:vAlign w:val="bottom"/>
            <w:gridSpan w:val="3"/>
          </w:tcPr>
          <w:p>
            <w:pPr>
              <w:jc w:val="right"/>
              <w:ind w:right="460"/>
              <w:spacing w:after="0"/>
              <w:rPr>
                <w:sz w:val="20"/>
                <w:szCs w:val="20"/>
                <w:color w:val="auto"/>
              </w:rPr>
            </w:pPr>
            <w:r>
              <w:rPr>
                <w:rFonts w:ascii="Arial" w:cs="Arial" w:eastAsia="Arial" w:hAnsi="Arial"/>
                <w:sz w:val="18"/>
                <w:szCs w:val="18"/>
                <w:color w:val="auto"/>
              </w:rPr>
              <w:t>517,701</w:t>
            </w:r>
          </w:p>
        </w:tc>
        <w:tc>
          <w:tcPr>
            <w:tcW w:w="112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517,701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Government Bonds</w:t>
            </w:r>
          </w:p>
        </w:tc>
        <w:tc>
          <w:tcPr>
            <w:tcW w:w="292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643,456</w:t>
            </w:r>
          </w:p>
        </w:tc>
        <w:tc>
          <w:tcPr>
            <w:tcW w:w="11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643,456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Pr>
          <w:p>
            <w:pPr>
              <w:ind w:left="440"/>
              <w:spacing w:after="0"/>
              <w:rPr>
                <w:sz w:val="20"/>
                <w:szCs w:val="20"/>
                <w:color w:val="auto"/>
              </w:rPr>
            </w:pPr>
            <w:r>
              <w:rPr>
                <w:rFonts w:ascii="Arial" w:cs="Arial" w:eastAsia="Arial" w:hAnsi="Arial"/>
                <w:sz w:val="18"/>
                <w:szCs w:val="18"/>
                <w:color w:val="auto"/>
              </w:rPr>
              <w:t>Other</w:t>
            </w:r>
          </w:p>
        </w:tc>
        <w:tc>
          <w:tcPr>
            <w:tcW w:w="1500" w:type="dxa"/>
            <w:vAlign w:val="bottom"/>
          </w:tcPr>
          <w:p>
            <w:pPr>
              <w:spacing w:after="0"/>
              <w:rPr>
                <w:sz w:val="18"/>
                <w:szCs w:val="18"/>
                <w:color w:val="auto"/>
              </w:rPr>
            </w:pPr>
          </w:p>
        </w:tc>
        <w:tc>
          <w:tcPr>
            <w:tcW w:w="1420" w:type="dxa"/>
            <w:vAlign w:val="bottom"/>
            <w:gridSpan w:val="2"/>
          </w:tcPr>
          <w:p>
            <w:pPr>
              <w:jc w:val="right"/>
              <w:ind w:right="460"/>
              <w:spacing w:after="0"/>
              <w:rPr>
                <w:sz w:val="20"/>
                <w:szCs w:val="20"/>
                <w:color w:val="auto"/>
              </w:rPr>
            </w:pPr>
            <w:r>
              <w:rPr>
                <w:rFonts w:ascii="Arial" w:cs="Arial" w:eastAsia="Arial" w:hAnsi="Arial"/>
                <w:sz w:val="18"/>
                <w:szCs w:val="18"/>
                <w:color w:val="auto"/>
              </w:rPr>
              <w:t>527,371</w:t>
            </w:r>
          </w:p>
        </w:tc>
        <w:tc>
          <w:tcPr>
            <w:tcW w:w="112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527,371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Total Self-directed Brokerage Account</w:t>
            </w:r>
          </w:p>
        </w:tc>
        <w:tc>
          <w:tcPr>
            <w:tcW w:w="15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86,788,802</w:t>
            </w:r>
          </w:p>
        </w:tc>
        <w:tc>
          <w:tcPr>
            <w:tcW w:w="11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86,788,802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Commingled Funds</w:t>
            </w:r>
          </w:p>
        </w:tc>
        <w:tc>
          <w:tcPr>
            <w:tcW w:w="1500" w:type="dxa"/>
            <w:vAlign w:val="bottom"/>
          </w:tcPr>
          <w:p>
            <w:pPr>
              <w:spacing w:after="0"/>
              <w:rPr>
                <w:sz w:val="18"/>
                <w:szCs w:val="18"/>
                <w:color w:val="auto"/>
              </w:rPr>
            </w:pPr>
          </w:p>
        </w:tc>
        <w:tc>
          <w:tcPr>
            <w:tcW w:w="142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37,708,731</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37,708,731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424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460" w:type="dxa"/>
            <w:vAlign w:val="bottom"/>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Investments at Fair Value</w:t>
            </w:r>
          </w:p>
        </w:tc>
        <w:tc>
          <w:tcPr>
            <w:tcW w:w="292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756,787,510</w:t>
            </w:r>
          </w:p>
        </w:tc>
        <w:tc>
          <w:tcPr>
            <w:tcW w:w="112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b w:val="1"/>
                <w:bCs w:val="1"/>
                <w:u w:val="single" w:color="auto"/>
                <w:color w:val="auto"/>
                <w:w w:val="89"/>
              </w:rPr>
              <w:t>$</w:t>
            </w:r>
            <w:r>
              <w:rPr>
                <w:rFonts w:ascii="Arial" w:cs="Arial" w:eastAsia="Arial" w:hAnsi="Arial"/>
                <w:sz w:val="18"/>
                <w:szCs w:val="18"/>
                <w:b w:val="1"/>
                <w:bCs w:val="1"/>
                <w:color w:val="auto"/>
                <w:w w:val="89"/>
              </w:rPr>
              <w:t>37,708,731</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794,496,241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Mutual Funds: </w:t>
      </w:r>
      <w:r>
        <w:rPr>
          <w:rFonts w:ascii="Arial" w:cs="Arial" w:eastAsia="Arial" w:hAnsi="Arial"/>
          <w:sz w:val="18"/>
          <w:szCs w:val="18"/>
          <w:color w:val="auto"/>
        </w:rPr>
        <w:t>valued at the net asset value (“NAV”) of shares held by the Plan at year end based on quoted prices in the active market.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Common Stocks and Bonds: </w:t>
      </w:r>
      <w:r>
        <w:rPr>
          <w:rFonts w:ascii="Arial" w:cs="Arial" w:eastAsia="Arial" w:hAnsi="Arial"/>
          <w:sz w:val="18"/>
          <w:szCs w:val="18"/>
          <w:color w:val="auto"/>
        </w:rPr>
        <w:t>valued based on quoted market price on which the individual securities are traded.</w:t>
      </w:r>
    </w:p>
    <w:p>
      <w:pPr>
        <w:spacing w:after="0" w:line="171" w:lineRule="exact"/>
        <w:rPr>
          <w:sz w:val="20"/>
          <w:szCs w:val="20"/>
          <w:color w:val="auto"/>
        </w:rPr>
      </w:pPr>
    </w:p>
    <w:p>
      <w:pPr>
        <w:ind w:firstLine="456"/>
        <w:spacing w:after="0" w:line="335" w:lineRule="auto"/>
        <w:rPr>
          <w:sz w:val="20"/>
          <w:szCs w:val="20"/>
          <w:color w:val="auto"/>
        </w:rPr>
      </w:pPr>
      <w:r>
        <w:rPr>
          <w:rFonts w:ascii="Arial" w:cs="Arial" w:eastAsia="Arial" w:hAnsi="Arial"/>
          <w:sz w:val="15"/>
          <w:szCs w:val="15"/>
          <w:i w:val="1"/>
          <w:iCs w:val="1"/>
          <w:color w:val="auto"/>
        </w:rPr>
        <w:t xml:space="preserve">Commingled Fund: </w:t>
      </w:r>
      <w:r>
        <w:rPr>
          <w:rFonts w:ascii="Arial" w:cs="Arial" w:eastAsia="Arial" w:hAnsi="Arial"/>
          <w:sz w:val="15"/>
          <w:szCs w:val="15"/>
          <w:color w:val="auto"/>
        </w:rPr>
        <w:t>valued at redemption price on the last business day of the plan year, where value is based on the fair value of the underlying assets held</w:t>
      </w:r>
      <w:r>
        <w:rPr>
          <w:rFonts w:ascii="Arial" w:cs="Arial" w:eastAsia="Arial" w:hAnsi="Arial"/>
          <w:sz w:val="15"/>
          <w:szCs w:val="15"/>
          <w:i w:val="1"/>
          <w:iCs w:val="1"/>
          <w:color w:val="auto"/>
        </w:rPr>
        <w:t xml:space="preserve"> </w:t>
      </w:r>
      <w:r>
        <w:rPr>
          <w:rFonts w:ascii="Arial" w:cs="Arial" w:eastAsia="Arial" w:hAnsi="Arial"/>
          <w:sz w:val="15"/>
          <w:szCs w:val="15"/>
          <w:color w:val="auto"/>
        </w:rPr>
        <w:t>by the fund. The Fidelity U.S. Equity Index Commingled Pool and the Pyramis Large Cap Core Commingled Pool are the only commingled funds held by the Plan. The funds’ strategy is to provide investment results that correspond to the total return performance of common stock publicly traded in the United States.</w:t>
      </w:r>
    </w:p>
    <w:p>
      <w:pPr>
        <w:spacing w:after="0" w:line="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280" w:right="279" w:bottom="1440" w:gutter="0" w:footer="0" w:header="0"/>
        </w:sectPr>
      </w:pPr>
    </w:p>
    <w:bookmarkStart w:id="15" w:name="page16"/>
    <w:bookmarkEnd w:id="15"/>
    <w:p>
      <w:pPr>
        <w:jc w:val="center"/>
        <w:ind w:righ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ANALOG DEVICES, INC.</w:t>
      </w:r>
    </w:p>
    <w:p>
      <w:pPr>
        <w:spacing w:after="0" w:line="17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THE INVESTMENT PARTNERSHIP PLAN</w:t>
      </w:r>
    </w:p>
    <w:p>
      <w:pPr>
        <w:spacing w:after="0" w:line="19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SUPPLEMENTAL SCHEDULE</w:t>
      </w:r>
    </w:p>
    <w:p>
      <w:pPr>
        <w:spacing w:after="0" w:line="17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DECEMBER 31, 2011</w:t>
      </w:r>
    </w:p>
    <w:p>
      <w:pPr>
        <w:spacing w:after="0" w:line="15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9019"/>
          </w:cols>
          <w:pgMar w:left="1440" w:top="496" w:right="1440"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ANALOG DEVICES,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INVESTMENT PARTNERSHIP PLAN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EIN NO: 04-2348234 PLAN NO: 003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H-LINE 4i – SCHEDULE OF ASSETS (HELD AT END OF YEAR)</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2011</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100" w:type="dxa"/>
            <w:vAlign w:val="bottom"/>
          </w:tcPr>
          <w:p>
            <w:pPr>
              <w:spacing w:after="0"/>
              <w:rPr>
                <w:sz w:val="14"/>
                <w:szCs w:val="14"/>
                <w:color w:val="auto"/>
              </w:rPr>
            </w:pPr>
          </w:p>
        </w:tc>
        <w:tc>
          <w:tcPr>
            <w:tcW w:w="1240" w:type="dxa"/>
            <w:vAlign w:val="bottom"/>
            <w:gridSpan w:val="2"/>
          </w:tcPr>
          <w:p>
            <w:pPr>
              <w:ind w:left="280"/>
              <w:spacing w:after="0"/>
              <w:rPr>
                <w:sz w:val="20"/>
                <w:szCs w:val="20"/>
                <w:color w:val="auto"/>
              </w:rPr>
            </w:pPr>
            <w:r>
              <w:rPr>
                <w:rFonts w:ascii="Arial" w:cs="Arial" w:eastAsia="Arial" w:hAnsi="Arial"/>
                <w:sz w:val="14"/>
                <w:szCs w:val="14"/>
                <w:color w:val="auto"/>
              </w:rPr>
              <w:t>Shares</w:t>
            </w:r>
          </w:p>
        </w:tc>
        <w:tc>
          <w:tcPr>
            <w:tcW w:w="1060" w:type="dxa"/>
            <w:vAlign w:val="bottom"/>
            <w:gridSpan w:val="2"/>
          </w:tcPr>
          <w:p>
            <w:pPr>
              <w:ind w:left="100"/>
              <w:spacing w:after="0"/>
              <w:rPr>
                <w:sz w:val="20"/>
                <w:szCs w:val="20"/>
                <w:color w:val="auto"/>
              </w:rPr>
            </w:pPr>
            <w:r>
              <w:rPr>
                <w:rFonts w:ascii="Arial" w:cs="Arial" w:eastAsia="Arial" w:hAnsi="Arial"/>
                <w:sz w:val="14"/>
                <w:szCs w:val="14"/>
                <w:color w:val="auto"/>
              </w:rPr>
              <w:t>Current Value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1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Description of Investment:</w:t>
            </w:r>
          </w:p>
        </w:tc>
        <w:tc>
          <w:tcPr>
            <w:tcW w:w="9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spacing w:after="0"/>
              <w:rPr>
                <w:sz w:val="20"/>
                <w:szCs w:val="20"/>
                <w:color w:val="auto"/>
              </w:rPr>
            </w:pPr>
            <w:r>
              <w:rPr>
                <w:rFonts w:ascii="Arial" w:cs="Arial" w:eastAsia="Arial" w:hAnsi="Arial"/>
                <w:sz w:val="18"/>
                <w:szCs w:val="18"/>
                <w:color w:val="auto"/>
              </w:rPr>
              <w:t>Mutual Funds:</w:t>
            </w: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 xml:space="preserve">Fidelity </w:t>
            </w:r>
            <w:r>
              <w:rPr>
                <w:rFonts w:ascii="Arial" w:cs="Arial" w:eastAsia="Arial" w:hAnsi="Arial"/>
                <w:sz w:val="11"/>
                <w:szCs w:val="11"/>
                <w:color w:val="auto"/>
              </w:rPr>
              <w:t>(1)</w:t>
            </w:r>
            <w:r>
              <w:rPr>
                <w:rFonts w:ascii="Arial" w:cs="Arial" w:eastAsia="Arial" w:hAnsi="Arial"/>
                <w:sz w:val="18"/>
                <w:szCs w:val="18"/>
                <w:color w:val="auto"/>
              </w:rPr>
              <w:t xml:space="preserve"> Institutional Money Market Fund</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137,972,858</w:t>
            </w: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$137,972,858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420"/>
              <w:spacing w:after="0"/>
              <w:rPr>
                <w:sz w:val="20"/>
                <w:szCs w:val="20"/>
                <w:color w:val="auto"/>
              </w:rPr>
            </w:pPr>
            <w:r>
              <w:rPr>
                <w:rFonts w:ascii="Arial" w:cs="Arial" w:eastAsia="Arial" w:hAnsi="Arial"/>
                <w:sz w:val="18"/>
                <w:szCs w:val="18"/>
                <w:color w:val="auto"/>
              </w:rPr>
              <w:t xml:space="preserve">Fidelity </w:t>
            </w:r>
            <w:r>
              <w:rPr>
                <w:rFonts w:ascii="Arial" w:cs="Arial" w:eastAsia="Arial" w:hAnsi="Arial"/>
                <w:sz w:val="11"/>
                <w:szCs w:val="11"/>
                <w:color w:val="auto"/>
              </w:rPr>
              <w:t>(1)</w:t>
            </w:r>
            <w:r>
              <w:rPr>
                <w:rFonts w:ascii="Arial" w:cs="Arial" w:eastAsia="Arial" w:hAnsi="Arial"/>
                <w:sz w:val="18"/>
                <w:szCs w:val="18"/>
                <w:color w:val="auto"/>
              </w:rPr>
              <w:t xml:space="preserve"> Diversified International Fund</w:t>
            </w:r>
          </w:p>
        </w:tc>
        <w:tc>
          <w:tcPr>
            <w:tcW w:w="920" w:type="dxa"/>
            <w:vAlign w:val="bottom"/>
          </w:tcPr>
          <w:p>
            <w:pPr>
              <w:jc w:val="right"/>
              <w:spacing w:after="0"/>
              <w:rPr>
                <w:sz w:val="20"/>
                <w:szCs w:val="20"/>
                <w:color w:val="auto"/>
              </w:rPr>
            </w:pPr>
            <w:r>
              <w:rPr>
                <w:rFonts w:ascii="Arial" w:cs="Arial" w:eastAsia="Arial" w:hAnsi="Arial"/>
                <w:sz w:val="18"/>
                <w:szCs w:val="18"/>
                <w:color w:val="auto"/>
              </w:rPr>
              <w:t>822,726</w:t>
            </w:r>
          </w:p>
        </w:tc>
        <w:tc>
          <w:tcPr>
            <w:tcW w:w="3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20,963,056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 xml:space="preserve">Fidelity </w:t>
            </w:r>
            <w:r>
              <w:rPr>
                <w:rFonts w:ascii="Arial" w:cs="Arial" w:eastAsia="Arial" w:hAnsi="Arial"/>
                <w:sz w:val="11"/>
                <w:szCs w:val="11"/>
                <w:color w:val="auto"/>
              </w:rPr>
              <w:t>(1)</w:t>
            </w:r>
            <w:r>
              <w:rPr>
                <w:rFonts w:ascii="Arial" w:cs="Arial" w:eastAsia="Arial" w:hAnsi="Arial"/>
                <w:sz w:val="18"/>
                <w:szCs w:val="18"/>
                <w:color w:val="auto"/>
              </w:rPr>
              <w:t xml:space="preserve"> Equity-Income Fund</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929,197</w:t>
            </w: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38,366,555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420"/>
              <w:spacing w:after="0"/>
              <w:rPr>
                <w:sz w:val="20"/>
                <w:szCs w:val="20"/>
                <w:color w:val="auto"/>
              </w:rPr>
            </w:pPr>
            <w:r>
              <w:rPr>
                <w:rFonts w:ascii="Arial" w:cs="Arial" w:eastAsia="Arial" w:hAnsi="Arial"/>
                <w:sz w:val="18"/>
                <w:szCs w:val="18"/>
                <w:color w:val="auto"/>
              </w:rPr>
              <w:t xml:space="preserve">Fidelity </w:t>
            </w:r>
            <w:r>
              <w:rPr>
                <w:rFonts w:ascii="Arial" w:cs="Arial" w:eastAsia="Arial" w:hAnsi="Arial"/>
                <w:sz w:val="11"/>
                <w:szCs w:val="11"/>
                <w:color w:val="auto"/>
              </w:rPr>
              <w:t>(1)</w:t>
            </w:r>
            <w:r>
              <w:rPr>
                <w:rFonts w:ascii="Arial" w:cs="Arial" w:eastAsia="Arial" w:hAnsi="Arial"/>
                <w:sz w:val="18"/>
                <w:szCs w:val="18"/>
                <w:color w:val="auto"/>
              </w:rPr>
              <w:t xml:space="preserve"> Freedom Income Fund</w:t>
            </w:r>
          </w:p>
        </w:tc>
        <w:tc>
          <w:tcPr>
            <w:tcW w:w="920" w:type="dxa"/>
            <w:vAlign w:val="bottom"/>
          </w:tcPr>
          <w:p>
            <w:pPr>
              <w:jc w:val="right"/>
              <w:spacing w:after="0"/>
              <w:rPr>
                <w:sz w:val="20"/>
                <w:szCs w:val="20"/>
                <w:color w:val="auto"/>
              </w:rPr>
            </w:pPr>
            <w:r>
              <w:rPr>
                <w:rFonts w:ascii="Arial" w:cs="Arial" w:eastAsia="Arial" w:hAnsi="Arial"/>
                <w:sz w:val="18"/>
                <w:szCs w:val="18"/>
                <w:color w:val="auto"/>
              </w:rPr>
              <w:t>472,346</w:t>
            </w:r>
          </w:p>
        </w:tc>
        <w:tc>
          <w:tcPr>
            <w:tcW w:w="3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5,337,509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 xml:space="preserve">Fidelity </w:t>
            </w:r>
            <w:r>
              <w:rPr>
                <w:rFonts w:ascii="Arial" w:cs="Arial" w:eastAsia="Arial" w:hAnsi="Arial"/>
                <w:sz w:val="11"/>
                <w:szCs w:val="11"/>
                <w:color w:val="auto"/>
              </w:rPr>
              <w:t>(1)</w:t>
            </w:r>
            <w:r>
              <w:rPr>
                <w:rFonts w:ascii="Arial" w:cs="Arial" w:eastAsia="Arial" w:hAnsi="Arial"/>
                <w:sz w:val="18"/>
                <w:szCs w:val="18"/>
                <w:color w:val="auto"/>
              </w:rPr>
              <w:t xml:space="preserve"> Freedom 2000 Fund</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155,893</w:t>
            </w: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1,781,861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420"/>
              <w:spacing w:after="0"/>
              <w:rPr>
                <w:sz w:val="20"/>
                <w:szCs w:val="20"/>
                <w:color w:val="auto"/>
              </w:rPr>
            </w:pPr>
            <w:r>
              <w:rPr>
                <w:rFonts w:ascii="Arial" w:cs="Arial" w:eastAsia="Arial" w:hAnsi="Arial"/>
                <w:sz w:val="18"/>
                <w:szCs w:val="18"/>
                <w:color w:val="auto"/>
              </w:rPr>
              <w:t xml:space="preserve">Fidelity </w:t>
            </w:r>
            <w:r>
              <w:rPr>
                <w:rFonts w:ascii="Arial" w:cs="Arial" w:eastAsia="Arial" w:hAnsi="Arial"/>
                <w:sz w:val="11"/>
                <w:szCs w:val="11"/>
                <w:color w:val="auto"/>
              </w:rPr>
              <w:t>(1)</w:t>
            </w:r>
            <w:r>
              <w:rPr>
                <w:rFonts w:ascii="Arial" w:cs="Arial" w:eastAsia="Arial" w:hAnsi="Arial"/>
                <w:sz w:val="18"/>
                <w:szCs w:val="18"/>
                <w:color w:val="auto"/>
              </w:rPr>
              <w:t xml:space="preserve"> Freedom 2005 Fund</w:t>
            </w:r>
          </w:p>
        </w:tc>
        <w:tc>
          <w:tcPr>
            <w:tcW w:w="920" w:type="dxa"/>
            <w:vAlign w:val="bottom"/>
          </w:tcPr>
          <w:p>
            <w:pPr>
              <w:jc w:val="right"/>
              <w:spacing w:after="0"/>
              <w:rPr>
                <w:sz w:val="20"/>
                <w:szCs w:val="20"/>
                <w:color w:val="auto"/>
              </w:rPr>
            </w:pPr>
            <w:r>
              <w:rPr>
                <w:rFonts w:ascii="Arial" w:cs="Arial" w:eastAsia="Arial" w:hAnsi="Arial"/>
                <w:sz w:val="18"/>
                <w:szCs w:val="18"/>
                <w:color w:val="auto"/>
              </w:rPr>
              <w:t>31,641</w:t>
            </w:r>
          </w:p>
        </w:tc>
        <w:tc>
          <w:tcPr>
            <w:tcW w:w="3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379,056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 xml:space="preserve">Fidelity </w:t>
            </w:r>
            <w:r>
              <w:rPr>
                <w:rFonts w:ascii="Arial" w:cs="Arial" w:eastAsia="Arial" w:hAnsi="Arial"/>
                <w:sz w:val="11"/>
                <w:szCs w:val="11"/>
                <w:color w:val="auto"/>
              </w:rPr>
              <w:t>(1)</w:t>
            </w:r>
            <w:r>
              <w:rPr>
                <w:rFonts w:ascii="Arial" w:cs="Arial" w:eastAsia="Arial" w:hAnsi="Arial"/>
                <w:sz w:val="18"/>
                <w:szCs w:val="18"/>
                <w:color w:val="auto"/>
              </w:rPr>
              <w:t xml:space="preserve"> Freedom 2010 Fund</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751,042</w:t>
            </w: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9,087,612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420"/>
              <w:spacing w:after="0"/>
              <w:rPr>
                <w:sz w:val="20"/>
                <w:szCs w:val="20"/>
                <w:color w:val="auto"/>
              </w:rPr>
            </w:pPr>
            <w:r>
              <w:rPr>
                <w:rFonts w:ascii="Arial" w:cs="Arial" w:eastAsia="Arial" w:hAnsi="Arial"/>
                <w:sz w:val="18"/>
                <w:szCs w:val="18"/>
                <w:color w:val="auto"/>
              </w:rPr>
              <w:t xml:space="preserve">Fidelity </w:t>
            </w:r>
            <w:r>
              <w:rPr>
                <w:rFonts w:ascii="Arial" w:cs="Arial" w:eastAsia="Arial" w:hAnsi="Arial"/>
                <w:sz w:val="11"/>
                <w:szCs w:val="11"/>
                <w:color w:val="auto"/>
              </w:rPr>
              <w:t>(1)</w:t>
            </w:r>
            <w:r>
              <w:rPr>
                <w:rFonts w:ascii="Arial" w:cs="Arial" w:eastAsia="Arial" w:hAnsi="Arial"/>
                <w:sz w:val="18"/>
                <w:szCs w:val="18"/>
                <w:color w:val="auto"/>
              </w:rPr>
              <w:t xml:space="preserve"> Freedom 2015 Fund</w:t>
            </w:r>
          </w:p>
        </w:tc>
        <w:tc>
          <w:tcPr>
            <w:tcW w:w="920" w:type="dxa"/>
            <w:vAlign w:val="bottom"/>
          </w:tcPr>
          <w:p>
            <w:pPr>
              <w:jc w:val="right"/>
              <w:spacing w:after="0"/>
              <w:rPr>
                <w:sz w:val="20"/>
                <w:szCs w:val="20"/>
                <w:color w:val="auto"/>
              </w:rPr>
            </w:pPr>
            <w:r>
              <w:rPr>
                <w:rFonts w:ascii="Arial" w:cs="Arial" w:eastAsia="Arial" w:hAnsi="Arial"/>
                <w:sz w:val="18"/>
                <w:szCs w:val="18"/>
                <w:color w:val="auto"/>
              </w:rPr>
              <w:t>329,015</w:t>
            </w:r>
          </w:p>
        </w:tc>
        <w:tc>
          <w:tcPr>
            <w:tcW w:w="3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3,990,949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 xml:space="preserve">Fidelity </w:t>
            </w:r>
            <w:r>
              <w:rPr>
                <w:rFonts w:ascii="Arial" w:cs="Arial" w:eastAsia="Arial" w:hAnsi="Arial"/>
                <w:sz w:val="11"/>
                <w:szCs w:val="11"/>
                <w:color w:val="auto"/>
              </w:rPr>
              <w:t>(1)</w:t>
            </w:r>
            <w:r>
              <w:rPr>
                <w:rFonts w:ascii="Arial" w:cs="Arial" w:eastAsia="Arial" w:hAnsi="Arial"/>
                <w:sz w:val="18"/>
                <w:szCs w:val="18"/>
                <w:color w:val="auto"/>
              </w:rPr>
              <w:t xml:space="preserve"> Freedom 2020 Fund</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1,438,676</w:t>
            </w: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17,882,746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420"/>
              <w:spacing w:after="0"/>
              <w:rPr>
                <w:sz w:val="20"/>
                <w:szCs w:val="20"/>
                <w:color w:val="auto"/>
              </w:rPr>
            </w:pPr>
            <w:r>
              <w:rPr>
                <w:rFonts w:ascii="Arial" w:cs="Arial" w:eastAsia="Arial" w:hAnsi="Arial"/>
                <w:sz w:val="18"/>
                <w:szCs w:val="18"/>
                <w:color w:val="auto"/>
              </w:rPr>
              <w:t xml:space="preserve">Fidelity </w:t>
            </w:r>
            <w:r>
              <w:rPr>
                <w:rFonts w:ascii="Arial" w:cs="Arial" w:eastAsia="Arial" w:hAnsi="Arial"/>
                <w:sz w:val="11"/>
                <w:szCs w:val="11"/>
                <w:color w:val="auto"/>
              </w:rPr>
              <w:t>(1)</w:t>
            </w:r>
            <w:r>
              <w:rPr>
                <w:rFonts w:ascii="Arial" w:cs="Arial" w:eastAsia="Arial" w:hAnsi="Arial"/>
                <w:sz w:val="18"/>
                <w:szCs w:val="18"/>
                <w:color w:val="auto"/>
              </w:rPr>
              <w:t xml:space="preserve"> Freedom 2025 Fund</w:t>
            </w:r>
          </w:p>
        </w:tc>
        <w:tc>
          <w:tcPr>
            <w:tcW w:w="920" w:type="dxa"/>
            <w:vAlign w:val="bottom"/>
          </w:tcPr>
          <w:p>
            <w:pPr>
              <w:jc w:val="right"/>
              <w:spacing w:after="0"/>
              <w:rPr>
                <w:sz w:val="20"/>
                <w:szCs w:val="20"/>
                <w:color w:val="auto"/>
              </w:rPr>
            </w:pPr>
            <w:r>
              <w:rPr>
                <w:rFonts w:ascii="Arial" w:cs="Arial" w:eastAsia="Arial" w:hAnsi="Arial"/>
                <w:sz w:val="18"/>
                <w:szCs w:val="18"/>
                <w:color w:val="auto"/>
              </w:rPr>
              <w:t>674,604</w:t>
            </w:r>
          </w:p>
        </w:tc>
        <w:tc>
          <w:tcPr>
            <w:tcW w:w="3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8,392,075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 xml:space="preserve">Fidelity </w:t>
            </w:r>
            <w:r>
              <w:rPr>
                <w:rFonts w:ascii="Arial" w:cs="Arial" w:eastAsia="Arial" w:hAnsi="Arial"/>
                <w:sz w:val="11"/>
                <w:szCs w:val="11"/>
                <w:color w:val="auto"/>
              </w:rPr>
              <w:t>(1)</w:t>
            </w:r>
            <w:r>
              <w:rPr>
                <w:rFonts w:ascii="Arial" w:cs="Arial" w:eastAsia="Arial" w:hAnsi="Arial"/>
                <w:sz w:val="18"/>
                <w:szCs w:val="18"/>
                <w:color w:val="auto"/>
              </w:rPr>
              <w:t xml:space="preserve"> Freedom 2030 Fund</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1,328,240</w:t>
            </w: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16,656,127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420"/>
              <w:spacing w:after="0"/>
              <w:rPr>
                <w:sz w:val="20"/>
                <w:szCs w:val="20"/>
                <w:color w:val="auto"/>
              </w:rPr>
            </w:pPr>
            <w:r>
              <w:rPr>
                <w:rFonts w:ascii="Arial" w:cs="Arial" w:eastAsia="Arial" w:hAnsi="Arial"/>
                <w:sz w:val="18"/>
                <w:szCs w:val="18"/>
                <w:color w:val="auto"/>
              </w:rPr>
              <w:t xml:space="preserve">Fidelity </w:t>
            </w:r>
            <w:r>
              <w:rPr>
                <w:rFonts w:ascii="Arial" w:cs="Arial" w:eastAsia="Arial" w:hAnsi="Arial"/>
                <w:sz w:val="11"/>
                <w:szCs w:val="11"/>
                <w:color w:val="auto"/>
              </w:rPr>
              <w:t>(1)</w:t>
            </w:r>
            <w:r>
              <w:rPr>
                <w:rFonts w:ascii="Arial" w:cs="Arial" w:eastAsia="Arial" w:hAnsi="Arial"/>
                <w:sz w:val="18"/>
                <w:szCs w:val="18"/>
                <w:color w:val="auto"/>
              </w:rPr>
              <w:t xml:space="preserve"> Freedom 2035 Fund</w:t>
            </w:r>
          </w:p>
        </w:tc>
        <w:tc>
          <w:tcPr>
            <w:tcW w:w="920" w:type="dxa"/>
            <w:vAlign w:val="bottom"/>
          </w:tcPr>
          <w:p>
            <w:pPr>
              <w:jc w:val="right"/>
              <w:spacing w:after="0"/>
              <w:rPr>
                <w:sz w:val="20"/>
                <w:szCs w:val="20"/>
                <w:color w:val="auto"/>
              </w:rPr>
            </w:pPr>
            <w:r>
              <w:rPr>
                <w:rFonts w:ascii="Arial" w:cs="Arial" w:eastAsia="Arial" w:hAnsi="Arial"/>
                <w:sz w:val="18"/>
                <w:szCs w:val="18"/>
                <w:color w:val="auto"/>
              </w:rPr>
              <w:t>390,686</w:t>
            </w:r>
          </w:p>
        </w:tc>
        <w:tc>
          <w:tcPr>
            <w:tcW w:w="3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4,895,293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 xml:space="preserve">Fidelity </w:t>
            </w:r>
            <w:r>
              <w:rPr>
                <w:rFonts w:ascii="Arial" w:cs="Arial" w:eastAsia="Arial" w:hAnsi="Arial"/>
                <w:sz w:val="11"/>
                <w:szCs w:val="11"/>
                <w:color w:val="auto"/>
              </w:rPr>
              <w:t>(1)</w:t>
            </w:r>
            <w:r>
              <w:rPr>
                <w:rFonts w:ascii="Arial" w:cs="Arial" w:eastAsia="Arial" w:hAnsi="Arial"/>
                <w:sz w:val="18"/>
                <w:szCs w:val="18"/>
                <w:color w:val="auto"/>
              </w:rPr>
              <w:t xml:space="preserve"> Freedom 2040 Fund</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620,491</w:t>
            </w: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7,799,571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420"/>
              <w:spacing w:after="0"/>
              <w:rPr>
                <w:sz w:val="20"/>
                <w:szCs w:val="20"/>
                <w:color w:val="auto"/>
              </w:rPr>
            </w:pPr>
            <w:r>
              <w:rPr>
                <w:rFonts w:ascii="Arial" w:cs="Arial" w:eastAsia="Arial" w:hAnsi="Arial"/>
                <w:sz w:val="18"/>
                <w:szCs w:val="18"/>
                <w:color w:val="auto"/>
              </w:rPr>
              <w:t xml:space="preserve">Fidelity </w:t>
            </w:r>
            <w:r>
              <w:rPr>
                <w:rFonts w:ascii="Arial" w:cs="Arial" w:eastAsia="Arial" w:hAnsi="Arial"/>
                <w:sz w:val="11"/>
                <w:szCs w:val="11"/>
                <w:color w:val="auto"/>
              </w:rPr>
              <w:t>(1)</w:t>
            </w:r>
            <w:r>
              <w:rPr>
                <w:rFonts w:ascii="Arial" w:cs="Arial" w:eastAsia="Arial" w:hAnsi="Arial"/>
                <w:sz w:val="18"/>
                <w:szCs w:val="18"/>
                <w:color w:val="auto"/>
              </w:rPr>
              <w:t xml:space="preserve"> Freedom 2045 Fund</w:t>
            </w:r>
          </w:p>
        </w:tc>
        <w:tc>
          <w:tcPr>
            <w:tcW w:w="920" w:type="dxa"/>
            <w:vAlign w:val="bottom"/>
          </w:tcPr>
          <w:p>
            <w:pPr>
              <w:jc w:val="right"/>
              <w:spacing w:after="0"/>
              <w:rPr>
                <w:sz w:val="20"/>
                <w:szCs w:val="20"/>
                <w:color w:val="auto"/>
              </w:rPr>
            </w:pPr>
            <w:r>
              <w:rPr>
                <w:rFonts w:ascii="Arial" w:cs="Arial" w:eastAsia="Arial" w:hAnsi="Arial"/>
                <w:sz w:val="18"/>
                <w:szCs w:val="18"/>
                <w:color w:val="auto"/>
              </w:rPr>
              <w:t>248,405</w:t>
            </w:r>
          </w:p>
        </w:tc>
        <w:tc>
          <w:tcPr>
            <w:tcW w:w="3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3,144,806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 xml:space="preserve">Fidelity </w:t>
            </w:r>
            <w:r>
              <w:rPr>
                <w:rFonts w:ascii="Arial" w:cs="Arial" w:eastAsia="Arial" w:hAnsi="Arial"/>
                <w:sz w:val="11"/>
                <w:szCs w:val="11"/>
                <w:color w:val="auto"/>
              </w:rPr>
              <w:t>(1)</w:t>
            </w:r>
            <w:r>
              <w:rPr>
                <w:rFonts w:ascii="Arial" w:cs="Arial" w:eastAsia="Arial" w:hAnsi="Arial"/>
                <w:sz w:val="18"/>
                <w:szCs w:val="18"/>
                <w:color w:val="auto"/>
              </w:rPr>
              <w:t xml:space="preserve"> Freedom 2050 Fund</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216,794</w:t>
            </w: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2,742,439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420"/>
              <w:spacing w:after="0"/>
              <w:rPr>
                <w:sz w:val="20"/>
                <w:szCs w:val="20"/>
                <w:color w:val="auto"/>
              </w:rPr>
            </w:pPr>
            <w:r>
              <w:rPr>
                <w:rFonts w:ascii="Arial" w:cs="Arial" w:eastAsia="Arial" w:hAnsi="Arial"/>
                <w:sz w:val="18"/>
                <w:szCs w:val="18"/>
                <w:color w:val="auto"/>
              </w:rPr>
              <w:t xml:space="preserve">Fidelity </w:t>
            </w:r>
            <w:r>
              <w:rPr>
                <w:rFonts w:ascii="Arial" w:cs="Arial" w:eastAsia="Arial" w:hAnsi="Arial"/>
                <w:sz w:val="11"/>
                <w:szCs w:val="11"/>
                <w:color w:val="auto"/>
              </w:rPr>
              <w:t>(1)</w:t>
            </w:r>
            <w:r>
              <w:rPr>
                <w:rFonts w:ascii="Arial" w:cs="Arial" w:eastAsia="Arial" w:hAnsi="Arial"/>
                <w:sz w:val="18"/>
                <w:szCs w:val="18"/>
                <w:color w:val="auto"/>
              </w:rPr>
              <w:t xml:space="preserve"> Growth Company Fund</w:t>
            </w:r>
          </w:p>
        </w:tc>
        <w:tc>
          <w:tcPr>
            <w:tcW w:w="920" w:type="dxa"/>
            <w:vAlign w:val="bottom"/>
          </w:tcPr>
          <w:p>
            <w:pPr>
              <w:jc w:val="right"/>
              <w:spacing w:after="0"/>
              <w:rPr>
                <w:sz w:val="20"/>
                <w:szCs w:val="20"/>
                <w:color w:val="auto"/>
              </w:rPr>
            </w:pPr>
            <w:r>
              <w:rPr>
                <w:rFonts w:ascii="Arial" w:cs="Arial" w:eastAsia="Arial" w:hAnsi="Arial"/>
                <w:sz w:val="18"/>
                <w:szCs w:val="18"/>
                <w:color w:val="auto"/>
              </w:rPr>
              <w:t>899,238</w:t>
            </w:r>
          </w:p>
        </w:tc>
        <w:tc>
          <w:tcPr>
            <w:tcW w:w="3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72,667,383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 xml:space="preserve">Fidelity </w:t>
            </w:r>
            <w:r>
              <w:rPr>
                <w:rFonts w:ascii="Arial" w:cs="Arial" w:eastAsia="Arial" w:hAnsi="Arial"/>
                <w:sz w:val="11"/>
                <w:szCs w:val="11"/>
                <w:color w:val="auto"/>
              </w:rPr>
              <w:t>(1)</w:t>
            </w:r>
            <w:r>
              <w:rPr>
                <w:rFonts w:ascii="Arial" w:cs="Arial" w:eastAsia="Arial" w:hAnsi="Arial"/>
                <w:sz w:val="18"/>
                <w:szCs w:val="18"/>
                <w:color w:val="auto"/>
              </w:rPr>
              <w:t xml:space="preserve"> Low-Priced Stock Fund</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1,030,326</w:t>
            </w: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36,782,630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420"/>
              <w:spacing w:after="0"/>
              <w:rPr>
                <w:sz w:val="20"/>
                <w:szCs w:val="20"/>
                <w:color w:val="auto"/>
              </w:rPr>
            </w:pPr>
            <w:r>
              <w:rPr>
                <w:rFonts w:ascii="Arial" w:cs="Arial" w:eastAsia="Arial" w:hAnsi="Arial"/>
                <w:sz w:val="18"/>
                <w:szCs w:val="18"/>
                <w:color w:val="auto"/>
              </w:rPr>
              <w:t>Calamos Growth Fund</w:t>
            </w:r>
          </w:p>
        </w:tc>
        <w:tc>
          <w:tcPr>
            <w:tcW w:w="920" w:type="dxa"/>
            <w:vAlign w:val="bottom"/>
          </w:tcPr>
          <w:p>
            <w:pPr>
              <w:jc w:val="right"/>
              <w:spacing w:after="0"/>
              <w:rPr>
                <w:sz w:val="20"/>
                <w:szCs w:val="20"/>
                <w:color w:val="auto"/>
              </w:rPr>
            </w:pPr>
            <w:r>
              <w:rPr>
                <w:rFonts w:ascii="Arial" w:cs="Arial" w:eastAsia="Arial" w:hAnsi="Arial"/>
                <w:sz w:val="18"/>
                <w:szCs w:val="18"/>
                <w:color w:val="auto"/>
              </w:rPr>
              <w:t>246,523</w:t>
            </w:r>
          </w:p>
        </w:tc>
        <w:tc>
          <w:tcPr>
            <w:tcW w:w="3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12,535,673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Hotchkis and Wiley Mid-Cap Value Fund</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756,429</w:t>
            </w: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16,565,785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420"/>
              <w:spacing w:after="0"/>
              <w:rPr>
                <w:sz w:val="20"/>
                <w:szCs w:val="20"/>
                <w:color w:val="auto"/>
              </w:rPr>
            </w:pPr>
            <w:r>
              <w:rPr>
                <w:rFonts w:ascii="Arial" w:cs="Arial" w:eastAsia="Arial" w:hAnsi="Arial"/>
                <w:sz w:val="18"/>
                <w:szCs w:val="18"/>
                <w:color w:val="auto"/>
              </w:rPr>
              <w:t>Oppenheimer Developing Markets Fund</w:t>
            </w:r>
          </w:p>
        </w:tc>
        <w:tc>
          <w:tcPr>
            <w:tcW w:w="920" w:type="dxa"/>
            <w:vAlign w:val="bottom"/>
          </w:tcPr>
          <w:p>
            <w:pPr>
              <w:jc w:val="right"/>
              <w:spacing w:after="0"/>
              <w:rPr>
                <w:sz w:val="20"/>
                <w:szCs w:val="20"/>
                <w:color w:val="auto"/>
              </w:rPr>
            </w:pPr>
            <w:r>
              <w:rPr>
                <w:rFonts w:ascii="Arial" w:cs="Arial" w:eastAsia="Arial" w:hAnsi="Arial"/>
                <w:sz w:val="18"/>
                <w:szCs w:val="18"/>
                <w:color w:val="auto"/>
              </w:rPr>
              <w:t>149,657</w:t>
            </w:r>
          </w:p>
        </w:tc>
        <w:tc>
          <w:tcPr>
            <w:tcW w:w="3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4,335,560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Royce Low-Priced Stock Fund</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1,029,503</w:t>
            </w: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14,783,664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420"/>
              <w:spacing w:after="0"/>
              <w:rPr>
                <w:sz w:val="20"/>
                <w:szCs w:val="20"/>
                <w:color w:val="auto"/>
              </w:rPr>
            </w:pPr>
            <w:r>
              <w:rPr>
                <w:rFonts w:ascii="Arial" w:cs="Arial" w:eastAsia="Arial" w:hAnsi="Arial"/>
                <w:sz w:val="18"/>
                <w:szCs w:val="18"/>
                <w:color w:val="auto"/>
              </w:rPr>
              <w:t>Templeton Foreign Fund</w:t>
            </w:r>
          </w:p>
        </w:tc>
        <w:tc>
          <w:tcPr>
            <w:tcW w:w="920" w:type="dxa"/>
            <w:vAlign w:val="bottom"/>
          </w:tcPr>
          <w:p>
            <w:pPr>
              <w:jc w:val="right"/>
              <w:spacing w:after="0"/>
              <w:rPr>
                <w:sz w:val="20"/>
                <w:szCs w:val="20"/>
                <w:color w:val="auto"/>
              </w:rPr>
            </w:pPr>
            <w:r>
              <w:rPr>
                <w:rFonts w:ascii="Arial" w:cs="Arial" w:eastAsia="Arial" w:hAnsi="Arial"/>
                <w:sz w:val="18"/>
                <w:szCs w:val="18"/>
                <w:color w:val="auto"/>
              </w:rPr>
              <w:t>2,190,990</w:t>
            </w:r>
          </w:p>
        </w:tc>
        <w:tc>
          <w:tcPr>
            <w:tcW w:w="3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12,817,291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Spartan International Index Fund</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414,813</w:t>
            </w: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12,340,701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420"/>
              <w:spacing w:after="0"/>
              <w:rPr>
                <w:sz w:val="20"/>
                <w:szCs w:val="20"/>
                <w:color w:val="auto"/>
              </w:rPr>
            </w:pPr>
            <w:r>
              <w:rPr>
                <w:rFonts w:ascii="Arial" w:cs="Arial" w:eastAsia="Arial" w:hAnsi="Arial"/>
                <w:sz w:val="18"/>
                <w:szCs w:val="18"/>
                <w:color w:val="auto"/>
              </w:rPr>
              <w:t>Spartan U.S. Bond Index Fund</w:t>
            </w:r>
          </w:p>
        </w:tc>
        <w:tc>
          <w:tcPr>
            <w:tcW w:w="920" w:type="dxa"/>
            <w:vAlign w:val="bottom"/>
          </w:tcPr>
          <w:p>
            <w:pPr>
              <w:jc w:val="right"/>
              <w:spacing w:after="0"/>
              <w:rPr>
                <w:sz w:val="20"/>
                <w:szCs w:val="20"/>
                <w:color w:val="auto"/>
              </w:rPr>
            </w:pPr>
            <w:r>
              <w:rPr>
                <w:rFonts w:ascii="Arial" w:cs="Arial" w:eastAsia="Arial" w:hAnsi="Arial"/>
                <w:sz w:val="18"/>
                <w:szCs w:val="18"/>
                <w:color w:val="auto"/>
              </w:rPr>
              <w:t>3,958,202</w:t>
            </w:r>
          </w:p>
        </w:tc>
        <w:tc>
          <w:tcPr>
            <w:tcW w:w="3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46,627,624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Vanguard Mid-Cap Index Fund</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981,976</w:t>
            </w: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19,335,098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420"/>
              <w:spacing w:after="0"/>
              <w:rPr>
                <w:sz w:val="20"/>
                <w:szCs w:val="20"/>
                <w:color w:val="auto"/>
              </w:rPr>
            </w:pPr>
            <w:r>
              <w:rPr>
                <w:rFonts w:ascii="Arial" w:cs="Arial" w:eastAsia="Arial" w:hAnsi="Arial"/>
                <w:sz w:val="18"/>
                <w:szCs w:val="18"/>
                <w:color w:val="auto"/>
              </w:rPr>
              <w:t>Vanguard Short-Term Bond Index Fund</w:t>
            </w:r>
          </w:p>
        </w:tc>
        <w:tc>
          <w:tcPr>
            <w:tcW w:w="920" w:type="dxa"/>
            <w:vAlign w:val="bottom"/>
          </w:tcPr>
          <w:p>
            <w:pPr>
              <w:jc w:val="right"/>
              <w:spacing w:after="0"/>
              <w:rPr>
                <w:sz w:val="20"/>
                <w:szCs w:val="20"/>
                <w:color w:val="auto"/>
              </w:rPr>
            </w:pPr>
            <w:r>
              <w:rPr>
                <w:rFonts w:ascii="Arial" w:cs="Arial" w:eastAsia="Arial" w:hAnsi="Arial"/>
                <w:sz w:val="18"/>
                <w:szCs w:val="18"/>
                <w:color w:val="auto"/>
              </w:rPr>
              <w:t>1,407,950</w:t>
            </w:r>
          </w:p>
        </w:tc>
        <w:tc>
          <w:tcPr>
            <w:tcW w:w="3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14,938,352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Vanguard Inflation-Protected Securities Fund</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1,334,085</w:t>
            </w: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15,061,814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00" w:type="dxa"/>
            <w:vAlign w:val="bottom"/>
          </w:tcPr>
          <w:p>
            <w:pPr>
              <w:ind w:left="420"/>
              <w:spacing w:after="0"/>
              <w:rPr>
                <w:sz w:val="20"/>
                <w:szCs w:val="20"/>
                <w:color w:val="auto"/>
              </w:rPr>
            </w:pPr>
            <w:r>
              <w:rPr>
                <w:rFonts w:ascii="Arial" w:cs="Arial" w:eastAsia="Arial" w:hAnsi="Arial"/>
                <w:sz w:val="18"/>
                <w:szCs w:val="18"/>
                <w:color w:val="auto"/>
              </w:rPr>
              <w:t>Vanguard Small-Cap Index Fund</w:t>
            </w:r>
          </w:p>
        </w:tc>
        <w:tc>
          <w:tcPr>
            <w:tcW w:w="920" w:type="dxa"/>
            <w:vAlign w:val="bottom"/>
          </w:tcPr>
          <w:p>
            <w:pPr>
              <w:jc w:val="right"/>
              <w:spacing w:after="0"/>
              <w:rPr>
                <w:sz w:val="20"/>
                <w:szCs w:val="20"/>
                <w:color w:val="auto"/>
              </w:rPr>
            </w:pPr>
            <w:r>
              <w:rPr>
                <w:rFonts w:ascii="Arial" w:cs="Arial" w:eastAsia="Arial" w:hAnsi="Arial"/>
                <w:sz w:val="18"/>
                <w:szCs w:val="18"/>
                <w:color w:val="auto"/>
              </w:rPr>
              <w:t>346,680</w:t>
            </w:r>
          </w:p>
        </w:tc>
        <w:tc>
          <w:tcPr>
            <w:tcW w:w="32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11,575,635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569,759,723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spacing w:after="0"/>
              <w:rPr>
                <w:sz w:val="20"/>
                <w:szCs w:val="20"/>
                <w:color w:val="auto"/>
              </w:rPr>
            </w:pPr>
            <w:r>
              <w:rPr>
                <w:rFonts w:ascii="Arial" w:cs="Arial" w:eastAsia="Arial" w:hAnsi="Arial"/>
                <w:sz w:val="18"/>
                <w:szCs w:val="18"/>
                <w:color w:val="auto"/>
              </w:rPr>
              <w:t>Analog Devices, Inc. Common Stock Fund:</w:t>
            </w: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Analog Devices, Inc. Stock Fund</w:t>
            </w:r>
            <w:r>
              <w:rPr>
                <w:rFonts w:ascii="Arial" w:cs="Arial" w:eastAsia="Arial" w:hAnsi="Arial"/>
                <w:sz w:val="11"/>
                <w:szCs w:val="11"/>
                <w:color w:val="auto"/>
              </w:rPr>
              <w:t>(1)</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2,542,296</w:t>
            </w: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90,963,351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00" w:type="dxa"/>
            <w:vAlign w:val="bottom"/>
          </w:tcPr>
          <w:p>
            <w:pPr>
              <w:ind w:left="420"/>
              <w:spacing w:after="0"/>
              <w:rPr>
                <w:sz w:val="20"/>
                <w:szCs w:val="20"/>
                <w:color w:val="auto"/>
              </w:rPr>
            </w:pPr>
            <w:r>
              <w:rPr>
                <w:rFonts w:ascii="Arial" w:cs="Arial" w:eastAsia="Arial" w:hAnsi="Arial"/>
                <w:sz w:val="18"/>
                <w:szCs w:val="18"/>
                <w:color w:val="auto"/>
              </w:rPr>
              <w:t xml:space="preserve">Fidelity </w:t>
            </w:r>
            <w:r>
              <w:rPr>
                <w:rFonts w:ascii="Arial" w:cs="Arial" w:eastAsia="Arial" w:hAnsi="Arial"/>
                <w:sz w:val="11"/>
                <w:szCs w:val="11"/>
                <w:color w:val="auto"/>
              </w:rPr>
              <w:t>(1)</w:t>
            </w:r>
            <w:r>
              <w:rPr>
                <w:rFonts w:ascii="Arial" w:cs="Arial" w:eastAsia="Arial" w:hAnsi="Arial"/>
                <w:sz w:val="18"/>
                <w:szCs w:val="18"/>
                <w:color w:val="auto"/>
              </w:rPr>
              <w:t xml:space="preserve"> Institutional Cash Portfolio – Money Market Portfolio</w:t>
            </w:r>
          </w:p>
        </w:tc>
        <w:tc>
          <w:tcPr>
            <w:tcW w:w="920" w:type="dxa"/>
            <w:vAlign w:val="bottom"/>
          </w:tcPr>
          <w:p>
            <w:pPr>
              <w:jc w:val="right"/>
              <w:spacing w:after="0"/>
              <w:rPr>
                <w:sz w:val="20"/>
                <w:szCs w:val="20"/>
                <w:color w:val="auto"/>
              </w:rPr>
            </w:pPr>
            <w:r>
              <w:rPr>
                <w:rFonts w:ascii="Arial" w:cs="Arial" w:eastAsia="Arial" w:hAnsi="Arial"/>
                <w:sz w:val="18"/>
                <w:szCs w:val="18"/>
                <w:color w:val="auto"/>
              </w:rPr>
              <w:t>4,550,893</w:t>
            </w:r>
          </w:p>
        </w:tc>
        <w:tc>
          <w:tcPr>
            <w:tcW w:w="32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4,550,893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95,514,244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9120" w:type="dxa"/>
            <w:vAlign w:val="bottom"/>
            <w:gridSpan w:val="2"/>
          </w:tcPr>
          <w:p>
            <w:pPr>
              <w:spacing w:after="0"/>
              <w:rPr>
                <w:sz w:val="20"/>
                <w:szCs w:val="20"/>
                <w:color w:val="auto"/>
              </w:rPr>
            </w:pPr>
            <w:r>
              <w:rPr>
                <w:rFonts w:ascii="Arial" w:cs="Arial" w:eastAsia="Arial" w:hAnsi="Arial"/>
                <w:sz w:val="18"/>
                <w:szCs w:val="18"/>
                <w:color w:val="auto"/>
              </w:rPr>
              <w:t>Participants Self-Directed Brokerage Accounts</w:t>
            </w: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88,013,732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3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Commingled Funds:</w:t>
            </w: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420"/>
              <w:spacing w:after="0"/>
              <w:rPr>
                <w:sz w:val="20"/>
                <w:szCs w:val="20"/>
                <w:color w:val="auto"/>
              </w:rPr>
            </w:pPr>
            <w:r>
              <w:rPr>
                <w:rFonts w:ascii="Arial" w:cs="Arial" w:eastAsia="Arial" w:hAnsi="Arial"/>
                <w:sz w:val="18"/>
                <w:szCs w:val="18"/>
                <w:color w:val="auto"/>
              </w:rPr>
              <w:t>Pyramis Large Cap Core Commingled Pool</w:t>
            </w:r>
          </w:p>
        </w:tc>
        <w:tc>
          <w:tcPr>
            <w:tcW w:w="920" w:type="dxa"/>
            <w:vAlign w:val="bottom"/>
          </w:tcPr>
          <w:p>
            <w:pPr>
              <w:jc w:val="right"/>
              <w:spacing w:after="0"/>
              <w:rPr>
                <w:sz w:val="20"/>
                <w:szCs w:val="20"/>
                <w:color w:val="auto"/>
              </w:rPr>
            </w:pPr>
            <w:r>
              <w:rPr>
                <w:rFonts w:ascii="Arial" w:cs="Arial" w:eastAsia="Arial" w:hAnsi="Arial"/>
                <w:sz w:val="18"/>
                <w:szCs w:val="18"/>
                <w:color w:val="auto"/>
              </w:rPr>
              <w:t>311,326</w:t>
            </w:r>
          </w:p>
        </w:tc>
        <w:tc>
          <w:tcPr>
            <w:tcW w:w="3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5,267,638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 xml:space="preserve">Fidelity </w:t>
            </w:r>
            <w:r>
              <w:rPr>
                <w:rFonts w:ascii="Arial" w:cs="Arial" w:eastAsia="Arial" w:hAnsi="Arial"/>
                <w:sz w:val="11"/>
                <w:szCs w:val="11"/>
                <w:color w:val="auto"/>
              </w:rPr>
              <w:t>(1)</w:t>
            </w:r>
            <w:r>
              <w:rPr>
                <w:rFonts w:ascii="Arial" w:cs="Arial" w:eastAsia="Arial" w:hAnsi="Arial"/>
                <w:sz w:val="18"/>
                <w:szCs w:val="18"/>
                <w:color w:val="auto"/>
              </w:rPr>
              <w:t xml:space="preserve"> U.S. Equity Index Commingled Pool</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740,360</w:t>
            </w:r>
          </w:p>
        </w:tc>
        <w:tc>
          <w:tcPr>
            <w:tcW w:w="32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33,138,498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9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38,406,136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3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Notes Receivable from Participants </w:t>
            </w:r>
            <w:r>
              <w:rPr>
                <w:rFonts w:ascii="Arial" w:cs="Arial" w:eastAsia="Arial" w:hAnsi="Arial"/>
                <w:sz w:val="11"/>
                <w:szCs w:val="11"/>
                <w:color w:val="auto"/>
              </w:rPr>
              <w:t>(1) (2)</w:t>
            </w: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8,967,825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800,661,660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7" w:lineRule="exact"/>
        <w:rPr>
          <w:sz w:val="20"/>
          <w:szCs w:val="20"/>
          <w:color w:val="auto"/>
        </w:rPr>
      </w:pPr>
    </w:p>
    <w:p>
      <w:pPr>
        <w:ind w:left="580" w:hanging="572"/>
        <w:spacing w:after="0"/>
        <w:tabs>
          <w:tab w:leader="none" w:pos="580" w:val="left"/>
        </w:tabs>
        <w:numPr>
          <w:ilvl w:val="0"/>
          <w:numId w:val="17"/>
        </w:numPr>
        <w:rPr>
          <w:rFonts w:ascii="Arial" w:cs="Arial" w:eastAsia="Arial" w:hAnsi="Arial"/>
          <w:sz w:val="22"/>
          <w:szCs w:val="22"/>
          <w:color w:val="auto"/>
          <w:vertAlign w:val="superscript"/>
        </w:rPr>
      </w:pPr>
      <w:r>
        <w:rPr>
          <w:rFonts w:ascii="Arial" w:cs="Arial" w:eastAsia="Arial" w:hAnsi="Arial"/>
          <w:sz w:val="18"/>
          <w:szCs w:val="18"/>
          <w:color w:val="auto"/>
        </w:rPr>
        <w:t>Indicates party-in-interest to the Plan.</w:t>
      </w:r>
    </w:p>
    <w:p>
      <w:pPr>
        <w:spacing w:after="0" w:line="7" w:lineRule="exact"/>
        <w:rPr>
          <w:rFonts w:ascii="Arial" w:cs="Arial" w:eastAsia="Arial" w:hAnsi="Arial"/>
          <w:sz w:val="22"/>
          <w:szCs w:val="22"/>
          <w:color w:val="auto"/>
          <w:vertAlign w:val="superscript"/>
        </w:rPr>
      </w:pPr>
    </w:p>
    <w:p>
      <w:pPr>
        <w:ind w:left="580" w:hanging="572"/>
        <w:spacing w:after="0" w:line="217" w:lineRule="auto"/>
        <w:tabs>
          <w:tab w:leader="none" w:pos="580" w:val="left"/>
        </w:tabs>
        <w:numPr>
          <w:ilvl w:val="0"/>
          <w:numId w:val="17"/>
        </w:numPr>
        <w:rPr>
          <w:rFonts w:ascii="Arial" w:cs="Arial" w:eastAsia="Arial" w:hAnsi="Arial"/>
          <w:sz w:val="20"/>
          <w:szCs w:val="20"/>
          <w:color w:val="auto"/>
          <w:vertAlign w:val="superscript"/>
        </w:rPr>
      </w:pPr>
      <w:r>
        <w:rPr>
          <w:rFonts w:ascii="Arial" w:cs="Arial" w:eastAsia="Arial" w:hAnsi="Arial"/>
          <w:sz w:val="16"/>
          <w:szCs w:val="16"/>
          <w:color w:val="auto"/>
        </w:rPr>
        <w:t>The loan account at December 31, 2011 bears interest at rates ranging from 3.3% to 10.0%, with terms ranging from less than 1 year to 20 years.</w:t>
      </w:r>
    </w:p>
    <w:p>
      <w:pPr>
        <w:spacing w:after="0" w:line="19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Note:</w:t>
      </w:r>
      <w:r>
        <w:rPr>
          <w:sz w:val="20"/>
          <w:szCs w:val="20"/>
          <w:color w:val="auto"/>
        </w:rPr>
        <w:tab/>
      </w:r>
      <w:r>
        <w:rPr>
          <w:rFonts w:ascii="Arial" w:cs="Arial" w:eastAsia="Arial" w:hAnsi="Arial"/>
          <w:sz w:val="15"/>
          <w:szCs w:val="15"/>
          <w:color w:val="auto"/>
        </w:rPr>
        <w:t>Cost information has not been included because all investments are participant-directed.</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80" w:right="239" w:bottom="1440" w:gutter="0" w:footer="0" w:header="0"/>
        </w:sectPr>
      </w:pPr>
    </w:p>
    <w:bookmarkStart w:id="17" w:name="page18"/>
    <w:bookmarkEnd w:id="17"/>
    <w:p>
      <w:pPr>
        <w:jc w:val="center"/>
        <w:ind w:right="-2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trustees (or other persons who administer the employee benefit plan) have duly caused this annual report to be signed by the undersigned hereunto duly authorized.</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ANALOG DEVICES, INC.</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u w:val="single" w:color="auto"/>
          <w:color w:val="auto"/>
        </w:rPr>
        <w:t>THE INVESTMENT PARTNERSHIP PLAN</w:t>
      </w:r>
    </w:p>
    <w:p>
      <w:pPr>
        <w:spacing w:after="0" w:line="9" w:lineRule="exact"/>
        <w:rPr>
          <w:sz w:val="20"/>
          <w:szCs w:val="20"/>
          <w:color w:val="auto"/>
        </w:rPr>
      </w:pPr>
    </w:p>
    <w:p>
      <w:pPr>
        <w:ind w:left="8160"/>
        <w:spacing w:after="0"/>
        <w:rPr>
          <w:sz w:val="20"/>
          <w:szCs w:val="20"/>
          <w:color w:val="auto"/>
        </w:rPr>
      </w:pPr>
      <w:r>
        <w:rPr>
          <w:rFonts w:ascii="Arial" w:cs="Arial" w:eastAsia="Arial" w:hAnsi="Arial"/>
          <w:sz w:val="18"/>
          <w:szCs w:val="18"/>
          <w:color w:val="auto"/>
        </w:rPr>
        <w:t>(the Plan)</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David A. Zinsner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David A. Zinsner</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6"/>
          <w:szCs w:val="16"/>
          <w:color w:val="auto"/>
        </w:rPr>
        <w:t>Vice President-Finance and Chief Financial Officer of</w:t>
      </w:r>
    </w:p>
    <w:p>
      <w:pPr>
        <w:spacing w:after="0" w:line="32"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Analog Devices, Inc.</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June 8, 2012</w:t>
      </w:r>
    </w:p>
    <w:p>
      <w:pPr>
        <w:spacing w:after="0" w:line="15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80"/>
          </w:cols>
          <w:pgMar w:left="240" w:top="280" w:right="479" w:bottom="1440" w:gutter="0" w:footer="0" w:header="0"/>
        </w:sectPr>
      </w:pPr>
    </w:p>
    <w:bookmarkStart w:id="18" w:name="page19"/>
    <w:bookmarkEnd w:id="18"/>
    <w:p>
      <w:pPr>
        <w:jc w:val="right"/>
        <w:spacing w:after="0"/>
        <w:rPr>
          <w:sz w:val="20"/>
          <w:szCs w:val="20"/>
          <w:color w:val="auto"/>
        </w:rPr>
      </w:pPr>
      <w:r>
        <w:rPr>
          <w:rFonts w:ascii="Arial" w:cs="Arial" w:eastAsia="Arial" w:hAnsi="Arial"/>
          <w:sz w:val="18"/>
          <w:szCs w:val="18"/>
          <w:color w:val="auto"/>
        </w:rPr>
        <w:t>Exhibit 23.1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171"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We consent to the incorporation by reference in the Registration Statements (Form S-8 Nos. 33-2502, 2-95495, 33-43128, and 333-08493) pertaining to Analog Devices, Inc. The Investment Partnership Plan of our report dated June 8, 2012, with respect to the financial statements and schedule of Analog Devices, Inc. The Investment Partnership Plan included in this Annual Report (Form 11-K) for the year ended December 31, 2011.</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June 8, 2012</w:t>
      </w:r>
    </w:p>
    <w:sectPr>
      <w:pgSz w:w="11900" w:h="16838" w:orient="portrait"/>
      <w:cols w:equalWidth="0" w:num="1">
        <w:col w:w="11420"/>
      </w:cols>
      <w:pgMar w:left="240" w:top="13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
      <w:numFmt w:val="bullet"/>
      <w:start w:val="1"/>
    </w:lvl>
  </w:abstractNum>
  <w:abstractNum w:abstractNumId="4">
    <w:nsid w:val="1F16E9E8"/>
    <w:multiLevelType w:val="hybridMultilevel"/>
    <w:lvl w:ilvl="0">
      <w:lvlJc w:val="left"/>
      <w:lvlText w:val="•"/>
      <w:numFmt w:val="bullet"/>
      <w:start w:val="1"/>
    </w:lvl>
  </w:abstractNum>
  <w:abstractNum w:abstractNumId="5">
    <w:nsid w:val="1190CDE7"/>
    <w:multiLevelType w:val="hybridMultilevel"/>
    <w:lvl w:ilvl="0">
      <w:lvlJc w:val="left"/>
      <w:lvlText w:val="%1."/>
      <w:numFmt w:val="upperLetter"/>
      <w:start w:val="1"/>
    </w:lvl>
    <w:lvl w:ilvl="1">
      <w:lvlJc w:val="left"/>
      <w:lvlText w:val="%2."/>
      <w:numFmt w:val="decimal"/>
      <w:start w:val="1"/>
    </w:lvl>
  </w:abstractNum>
  <w:abstractNum w:abstractNumId="6">
    <w:nsid w:val="66EF438D"/>
    <w:multiLevelType w:val="hybridMultilevel"/>
    <w:lvl w:ilvl="0">
      <w:lvlJc w:val="left"/>
      <w:lvlText w:val="(%1)"/>
      <w:numFmt w:val="lowerRoman"/>
      <w:start w:val="1"/>
    </w:lvl>
  </w:abstractNum>
  <w:abstractNum w:abstractNumId="7">
    <w:nsid w:val="140E0F76"/>
    <w:multiLevelType w:val="hybridMultilevel"/>
    <w:lvl w:ilvl="0">
      <w:lvlJc w:val="left"/>
      <w:lvlText w:val="%1."/>
      <w:numFmt w:val="decimal"/>
      <w:start w:val="6"/>
    </w:lvl>
  </w:abstractNum>
  <w:abstractNum w:abstractNumId="8">
    <w:nsid w:val="3352255A"/>
    <w:multiLevelType w:val="hybridMultilevel"/>
    <w:lvl w:ilvl="0">
      <w:lvlJc w:val="left"/>
      <w:lvlText w:val="%1"/>
      <w:numFmt w:val="upperLetter"/>
      <w:start w:val="1"/>
    </w:lvl>
    <w:lvl w:ilvl="1">
      <w:lvlJc w:val="left"/>
      <w:lvlText w:val="%2."/>
      <w:numFmt w:val="decimal"/>
      <w:start w:val="9"/>
    </w:lvl>
  </w:abstractNum>
  <w:abstractNum w:abstractNumId="9">
    <w:nsid w:val="109CF92E"/>
    <w:multiLevelType w:val="hybridMultilevel"/>
    <w:lvl w:ilvl="0">
      <w:lvlJc w:val="left"/>
      <w:lvlText w:val="%1."/>
      <w:numFmt w:val="upperLetter"/>
      <w:start w:val="2"/>
    </w:lvl>
    <w:lvl w:ilvl="1">
      <w:lvlJc w:val="left"/>
      <w:lvlText w:val="%2."/>
      <w:numFmt w:val="decimal"/>
      <w:start w:val="1"/>
    </w:lvl>
  </w:abstractNum>
  <w:abstractNum w:abstractNumId="10">
    <w:nsid w:val="DED7263"/>
    <w:multiLevelType w:val="hybridMultilevel"/>
    <w:lvl w:ilvl="0">
      <w:lvlJc w:val="left"/>
      <w:lvlText w:val="%1."/>
      <w:numFmt w:val="decimal"/>
      <w:start w:val="4"/>
    </w:lvl>
  </w:abstractNum>
  <w:abstractNum w:abstractNumId="11">
    <w:nsid w:val="7FDCC233"/>
    <w:multiLevelType w:val="hybridMultilevel"/>
    <w:lvl w:ilvl="0">
      <w:lvlJc w:val="left"/>
      <w:lvlText w:val="%1."/>
      <w:numFmt w:val="decimal"/>
      <w:start w:val="7"/>
    </w:lvl>
  </w:abstractNum>
  <w:abstractNum w:abstractNumId="12">
    <w:nsid w:val="1BEFD79F"/>
    <w:multiLevelType w:val="hybridMultilevel"/>
    <w:lvl w:ilvl="0">
      <w:lvlJc w:val="left"/>
      <w:lvlText w:val="%1."/>
      <w:numFmt w:val="decimal"/>
      <w:start w:val="8"/>
    </w:lvl>
  </w:abstractNum>
  <w:abstractNum w:abstractNumId="13">
    <w:nsid w:val="41A7C4C9"/>
    <w:multiLevelType w:val="hybridMultilevel"/>
    <w:lvl w:ilvl="0">
      <w:lvlJc w:val="left"/>
      <w:lvlText w:val="%1."/>
      <w:numFmt w:val="decimal"/>
      <w:start w:val="9"/>
    </w:lvl>
  </w:abstractNum>
  <w:abstractNum w:abstractNumId="14">
    <w:nsid w:val="6B68079A"/>
    <w:multiLevelType w:val="hybridMultilevel"/>
    <w:lvl w:ilvl="0">
      <w:lvlJc w:val="left"/>
      <w:lvlText w:val="%1."/>
      <w:numFmt w:val="upperLetter"/>
      <w:start w:val="3"/>
    </w:lvl>
  </w:abstractNum>
  <w:abstractNum w:abstractNumId="15">
    <w:nsid w:val="4E6AFB66"/>
    <w:multiLevelType w:val="hybridMultilevel"/>
    <w:lvl w:ilvl="0">
      <w:lvlJc w:val="left"/>
      <w:lvlText w:val="%1."/>
      <w:numFmt w:val="upperLetter"/>
      <w:start w:val="5"/>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2019-12-09T05:30:00Z</dcterms:created>
  <dcterms:modified xsi:type="dcterms:W3CDTF">2019-12-09T05:30:00Z</dcterms:modified>
</cp:coreProperties>
</file>