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38" w:lineRule="auto"/>
        <w:rPr>
          <w:sz w:val="20"/>
          <w:szCs w:val="20"/>
          <w:color w:val="auto"/>
        </w:rPr>
      </w:pPr>
      <w:r>
        <w:rPr>
          <w:rFonts w:ascii="Courier New" w:cs="Courier New" w:eastAsia="Courier New" w:hAnsi="Courier New"/>
          <w:sz w:val="18"/>
          <w:szCs w:val="18"/>
          <w:color w:val="auto"/>
        </w:rPr>
        <w:t>(Mark One)</w:t>
      </w:r>
    </w:p>
    <w:p>
      <w:pPr>
        <w:spacing w:after="0" w:line="5" w:lineRule="exact"/>
        <w:rPr>
          <w:sz w:val="24"/>
          <w:szCs w:val="24"/>
          <w:color w:val="auto"/>
        </w:rPr>
      </w:pPr>
    </w:p>
    <w:p>
      <w:pPr>
        <w:ind w:left="1280" w:right="3039" w:hanging="1061"/>
        <w:spacing w:after="0" w:line="235" w:lineRule="auto"/>
        <w:tabs>
          <w:tab w:leader="none" w:pos="-8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]QUARTERLY REPORT PURSUANT TO SECTION 13 OR 15 (d) OF THE SECURITIES EXCHANGE ACT OF 1934</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 the quarterly period ended January 29, 1994</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160" w:right="3039" w:hanging="941"/>
        <w:spacing w:after="0" w:line="235" w:lineRule="auto"/>
        <w:tabs>
          <w:tab w:leader="none" w:pos="-73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spacing w:after="0" w:line="208"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For the Transition period from_______________ to ________________</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04-2348234</w:t>
      </w:r>
    </w:p>
    <w:p>
      <w:pPr>
        <w:ind w:left="200"/>
        <w:spacing w:after="0" w:line="238" w:lineRule="auto"/>
        <w:rPr>
          <w:sz w:val="20"/>
          <w:szCs w:val="20"/>
          <w:color w:val="auto"/>
        </w:rPr>
      </w:pPr>
      <w:r>
        <w:rPr>
          <w:rFonts w:ascii="Courier New" w:cs="Courier New" w:eastAsia="Courier New" w:hAnsi="Courier New"/>
          <w:sz w:val="18"/>
          <w:szCs w:val="18"/>
          <w:color w:val="auto"/>
        </w:rPr>
        <w:t>(I.R.S.Employer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spacing w:after="0" w:line="226" w:lineRule="exact"/>
        <w:rPr>
          <w:sz w:val="24"/>
          <w:szCs w:val="24"/>
          <w:color w:val="auto"/>
        </w:rPr>
      </w:pPr>
    </w:p>
    <w:p>
      <w:pPr>
        <w:ind w:right="1700" w:firstLine="421"/>
        <w:spacing w:after="0" w:line="290"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spacing w:after="0" w:line="16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(617) 329-4700</w:t>
      </w:r>
    </w:p>
    <w:p>
      <w:pPr>
        <w:spacing w:after="0" w:line="4"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Indicate by check mark whether the registrant (1) has filed all reports</w:t>
      </w:r>
    </w:p>
    <w:tbl>
      <w:tblPr>
        <w:tblLayout w:type="fixed"/>
        <w:tblInd w:w="0" w:type="dxa"/>
        <w:tblCellMar>
          <w:top w:w="0" w:type="dxa"/>
          <w:left w:w="0" w:type="dxa"/>
          <w:bottom w:w="0" w:type="dxa"/>
          <w:right w:w="0" w:type="dxa"/>
        </w:tblCellMar>
      </w:tblP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filed by Section 13 or 15 (d)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Securities Exchange</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Act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during</w:t>
            </w:r>
          </w:p>
        </w:tc>
        <w:tc>
          <w:tcPr>
            <w:tcW w:w="3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the preceding 12 months (or such</w:t>
            </w:r>
          </w:p>
        </w:tc>
        <w:tc>
          <w:tcPr>
            <w:tcW w:w="2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shorter period that the</w:t>
            </w:r>
          </w:p>
        </w:tc>
        <w:tc>
          <w:tcPr>
            <w:tcW w:w="680" w:type="dxa"/>
            <w:vAlign w:val="bottom"/>
          </w:tcPr>
          <w:p>
            <w:pPr>
              <w:spacing w:after="0"/>
              <w:rPr>
                <w:sz w:val="17"/>
                <w:szCs w:val="17"/>
                <w:color w:val="auto"/>
              </w:rPr>
            </w:pP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registrant was</w:t>
            </w:r>
          </w:p>
        </w:tc>
        <w:tc>
          <w:tcPr>
            <w:tcW w:w="6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required to file such reports), and (2) has been subject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such filing</w:t>
            </w:r>
          </w:p>
        </w:tc>
        <w:tc>
          <w:tcPr>
            <w:tcW w:w="1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requirements</w:t>
            </w:r>
          </w:p>
        </w:tc>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for the past 90 days.  YES</w:t>
            </w:r>
          </w:p>
        </w:tc>
        <w:tc>
          <w:tcPr>
            <w:tcW w:w="21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X   NO</w:t>
            </w:r>
          </w:p>
        </w:tc>
        <w:tc>
          <w:tcPr>
            <w:tcW w:w="680" w:type="dxa"/>
            <w:vAlign w:val="bottom"/>
          </w:tcPr>
          <w:p>
            <w:pPr>
              <w:spacing w:after="0"/>
              <w:rPr>
                <w:sz w:val="17"/>
                <w:szCs w:val="17"/>
                <w:color w:val="auto"/>
              </w:rPr>
            </w:pPr>
          </w:p>
        </w:tc>
      </w:tr>
      <w:tr>
        <w:trPr>
          <w:trHeight w:val="405"/>
        </w:trPr>
        <w:tc>
          <w:tcPr>
            <w:tcW w:w="15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The number</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w w:val="99"/>
              </w:rPr>
              <w:t>outstanding of each</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of the</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w w:val="98"/>
              </w:rPr>
              <w:t>issuer's classes of</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Common</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as of</w:t>
            </w:r>
          </w:p>
        </w:tc>
        <w:tc>
          <w:tcPr>
            <w:tcW w:w="1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February 25,</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1994 was 49,530,241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of Common Stock.</w:t>
            </w:r>
          </w:p>
        </w:tc>
        <w:tc>
          <w:tcPr>
            <w:tcW w:w="680" w:type="dxa"/>
            <w:vAlign w:val="bottom"/>
          </w:tcPr>
          <w:p>
            <w:pPr>
              <w:spacing w:after="0"/>
              <w:rPr>
                <w:sz w:val="17"/>
                <w:szCs w:val="17"/>
                <w:color w:val="auto"/>
              </w:rPr>
            </w:pPr>
          </w:p>
        </w:tc>
      </w:tr>
    </w:tbl>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ind w:left="3060"/>
        <w:spacing w:after="0" w:line="238" w:lineRule="auto"/>
        <w:rPr>
          <w:sz w:val="20"/>
          <w:szCs w:val="20"/>
          <w:color w:val="auto"/>
        </w:rPr>
      </w:pPr>
      <w:r>
        <w:rPr>
          <w:rFonts w:ascii="Courier New" w:cs="Courier New" w:eastAsia="Courier New" w:hAnsi="Courier New"/>
          <w:sz w:val="18"/>
          <w:szCs w:val="18"/>
          <w:color w:val="auto"/>
        </w:rPr>
        <w:t>FINANCIAL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per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416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640" w:type="dxa"/>
            <w:vAlign w:val="bottom"/>
          </w:tcPr>
          <w:p>
            <w:pPr>
              <w:spacing w:after="0"/>
              <w:rPr>
                <w:sz w:val="17"/>
                <w:szCs w:val="17"/>
                <w:color w:val="auto"/>
              </w:rPr>
            </w:pPr>
          </w:p>
        </w:tc>
        <w:tc>
          <w:tcPr>
            <w:tcW w:w="416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4"/>
                <w:szCs w:val="24"/>
                <w:color w:val="auto"/>
              </w:rPr>
            </w:pP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9"/>
              </w:rPr>
              <w:t>January 29, 1994</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January 30, 1993</w:t>
            </w:r>
          </w:p>
        </w:tc>
      </w:tr>
      <w:tr>
        <w:trPr>
          <w:trHeight w:val="203"/>
        </w:trPr>
        <w:tc>
          <w:tcPr>
            <w:tcW w:w="364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$181,088</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$151,303</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94,593</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78,978</w:t>
            </w:r>
          </w:p>
        </w:tc>
      </w:tr>
      <w:tr>
        <w:trPr>
          <w:trHeight w:val="203"/>
        </w:trPr>
        <w:tc>
          <w:tcPr>
            <w:tcW w:w="3640" w:type="dxa"/>
            <w:vAlign w:val="bottom"/>
          </w:tcPr>
          <w:p>
            <w:pPr>
              <w:spacing w:after="0"/>
              <w:rPr>
                <w:sz w:val="17"/>
                <w:szCs w:val="17"/>
                <w:color w:val="auto"/>
              </w:rPr>
            </w:pP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86,495</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72,325</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24,256</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21,752</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marketing, general</w:t>
            </w:r>
          </w:p>
        </w:tc>
        <w:tc>
          <w:tcPr>
            <w:tcW w:w="2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40,997</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38,671</w:t>
            </w:r>
          </w:p>
        </w:tc>
      </w:tr>
      <w:tr>
        <w:trPr>
          <w:trHeight w:val="203"/>
        </w:trPr>
        <w:tc>
          <w:tcPr>
            <w:tcW w:w="3640" w:type="dxa"/>
            <w:vAlign w:val="bottom"/>
          </w:tcPr>
          <w:p>
            <w:pPr>
              <w:spacing w:after="0"/>
              <w:rPr>
                <w:sz w:val="17"/>
                <w:szCs w:val="17"/>
                <w:color w:val="auto"/>
              </w:rPr>
            </w:pP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65,253</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60,423</w:t>
            </w:r>
          </w:p>
        </w:tc>
      </w:tr>
      <w:tr>
        <w:trPr>
          <w:trHeight w:val="203"/>
        </w:trPr>
        <w:tc>
          <w:tcPr>
            <w:tcW w:w="3640" w:type="dxa"/>
            <w:vAlign w:val="bottom"/>
          </w:tcPr>
          <w:p>
            <w:pPr>
              <w:spacing w:after="0"/>
              <w:rPr>
                <w:sz w:val="17"/>
                <w:szCs w:val="17"/>
                <w:color w:val="auto"/>
              </w:rPr>
            </w:pP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21,242</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11,902</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Nonoperating expenses:</w:t>
            </w: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1,830</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1,527</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215</w:t>
            </w:r>
          </w:p>
        </w:tc>
      </w:tr>
      <w:tr>
        <w:trPr>
          <w:trHeight w:val="203"/>
        </w:trPr>
        <w:tc>
          <w:tcPr>
            <w:tcW w:w="3640" w:type="dxa"/>
            <w:vAlign w:val="bottom"/>
          </w:tcPr>
          <w:p>
            <w:pPr>
              <w:spacing w:after="0"/>
              <w:rPr>
                <w:sz w:val="17"/>
                <w:szCs w:val="17"/>
                <w:color w:val="auto"/>
              </w:rPr>
            </w:pP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1,802</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1,742</w:t>
            </w:r>
          </w:p>
        </w:tc>
      </w:tr>
      <w:tr>
        <w:trPr>
          <w:trHeight w:val="203"/>
        </w:trPr>
        <w:tc>
          <w:tcPr>
            <w:tcW w:w="3640" w:type="dxa"/>
            <w:vAlign w:val="bottom"/>
          </w:tcPr>
          <w:p>
            <w:pPr>
              <w:spacing w:after="0"/>
              <w:rPr>
                <w:sz w:val="17"/>
                <w:szCs w:val="17"/>
                <w:color w:val="auto"/>
              </w:rPr>
            </w:pP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19,440</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10,160</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4,180</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2,032</w:t>
            </w:r>
          </w:p>
        </w:tc>
      </w:tr>
      <w:tr>
        <w:trPr>
          <w:trHeight w:val="203"/>
        </w:trPr>
        <w:tc>
          <w:tcPr>
            <w:tcW w:w="3640" w:type="dxa"/>
            <w:vAlign w:val="bottom"/>
          </w:tcPr>
          <w:p>
            <w:pPr>
              <w:spacing w:after="0"/>
              <w:rPr>
                <w:sz w:val="17"/>
                <w:szCs w:val="17"/>
                <w:color w:val="auto"/>
              </w:rPr>
            </w:pP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$ 15,260</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8,128</w:t>
            </w:r>
          </w:p>
        </w:tc>
      </w:tr>
      <w:tr>
        <w:trPr>
          <w:trHeight w:val="203"/>
        </w:trPr>
        <w:tc>
          <w:tcPr>
            <w:tcW w:w="3640" w:type="dxa"/>
            <w:vAlign w:val="bottom"/>
          </w:tcPr>
          <w:p>
            <w:pPr>
              <w:spacing w:after="0"/>
              <w:rPr>
                <w:sz w:val="17"/>
                <w:szCs w:val="17"/>
                <w:color w:val="auto"/>
              </w:rPr>
            </w:pP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Shares used to compute</w:t>
            </w:r>
          </w:p>
        </w:tc>
        <w:tc>
          <w:tcPr>
            <w:tcW w:w="2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50,970</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49,637</w:t>
            </w:r>
          </w:p>
        </w:tc>
      </w:tr>
      <w:tr>
        <w:trPr>
          <w:trHeight w:val="203"/>
        </w:trPr>
        <w:tc>
          <w:tcPr>
            <w:tcW w:w="3640" w:type="dxa"/>
            <w:vAlign w:val="bottom"/>
          </w:tcPr>
          <w:p>
            <w:pPr>
              <w:spacing w:after="0"/>
              <w:rPr>
                <w:sz w:val="17"/>
                <w:szCs w:val="17"/>
                <w:color w:val="auto"/>
              </w:rPr>
            </w:pP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Earnings per share of common stock</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$0.30</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$0.16</w:t>
            </w:r>
          </w:p>
        </w:tc>
      </w:tr>
      <w:tr>
        <w:trPr>
          <w:trHeight w:val="203"/>
        </w:trPr>
        <w:tc>
          <w:tcPr>
            <w:tcW w:w="3640" w:type="dxa"/>
            <w:vAlign w:val="bottom"/>
          </w:tcPr>
          <w:p>
            <w:pPr>
              <w:spacing w:after="0"/>
              <w:rPr>
                <w:sz w:val="17"/>
                <w:szCs w:val="17"/>
                <w:color w:val="auto"/>
              </w:rPr>
            </w:pP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013"/>
        </w:trPr>
        <w:tc>
          <w:tcPr>
            <w:tcW w:w="306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share amounts)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810"/>
        </w:trPr>
        <w:tc>
          <w:tcPr>
            <w:tcW w:w="30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January 29, 1994</w:t>
            </w:r>
          </w:p>
        </w:tc>
        <w:tc>
          <w:tcPr>
            <w:tcW w:w="18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October 30, 1993</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January 30, 1993</w:t>
            </w:r>
          </w:p>
        </w:tc>
      </w:tr>
      <w:tr>
        <w:trPr>
          <w:trHeight w:val="203"/>
        </w:trPr>
        <w:tc>
          <w:tcPr>
            <w:tcW w:w="3060" w:type="dxa"/>
            <w:vAlign w:val="bottom"/>
          </w:tcPr>
          <w:p>
            <w:pPr>
              <w:spacing w:after="0"/>
              <w:rPr>
                <w:sz w:val="17"/>
                <w:szCs w:val="17"/>
                <w:color w:val="auto"/>
              </w:rPr>
            </w:pPr>
          </w:p>
        </w:tc>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$ 94,363</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$ 80,668</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$ 22,405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151,056</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145,663</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117,074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47,960</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51,359</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50,626</w:t>
            </w: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79,939</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80,418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71,943</w:t>
            </w: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15,160</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18,645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25,828</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143,059</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150,422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148,397</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22,500</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22,207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20,549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5,932</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4,240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5,604</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416,910</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403,200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314,029</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81,900</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81,110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78,214</w:t>
            </w: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452,549</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451,248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414,780</w:t>
            </w: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38,607</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33,170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28,738</w:t>
            </w: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27,616</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26,429</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22,524</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600,672</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591,957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544,256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Less accumulated depreciation</w:t>
            </w: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357,258</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343,527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305,464</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243,414</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248,430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238,792</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Intangible assets, net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20,794</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21,306</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22,864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w:t>
            </w: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5,497</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5,556</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4,279</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26,291</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26,862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27,143</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$ 686,615</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$678,492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$579,964</w:t>
            </w:r>
          </w:p>
        </w:tc>
      </w:tr>
      <w:tr>
        <w:trPr>
          <w:trHeight w:val="203"/>
        </w:trPr>
        <w:tc>
          <w:tcPr>
            <w:tcW w:w="448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2"/>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6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810"/>
        </w:trPr>
        <w:tc>
          <w:tcPr>
            <w:tcW w:w="316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5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share amounts)</w:t>
            </w: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810"/>
        </w:trPr>
        <w:tc>
          <w:tcPr>
            <w:tcW w:w="3160" w:type="dxa"/>
            <w:vAlign w:val="bottom"/>
          </w:tcPr>
          <w:p>
            <w:pPr>
              <w:spacing w:after="0"/>
              <w:rPr>
                <w:sz w:val="20"/>
                <w:szCs w:val="20"/>
                <w:color w:val="auto"/>
              </w:rPr>
            </w:pPr>
            <w:r>
              <w:rPr>
                <w:rFonts w:ascii="Courier New" w:cs="Courier New" w:eastAsia="Courier New" w:hAnsi="Courier New"/>
                <w:sz w:val="18"/>
                <w:szCs w:val="18"/>
                <w:color w:val="auto"/>
              </w:rPr>
              <w:t>Liabilities and</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January 29, 1994</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October 30, 1993</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January 30, 1993</w:t>
            </w:r>
          </w:p>
        </w:tc>
      </w:tr>
      <w:tr>
        <w:trPr>
          <w:trHeight w:val="203"/>
        </w:trPr>
        <w:tc>
          <w:tcPr>
            <w:tcW w:w="3160" w:type="dxa"/>
            <w:vAlign w:val="bottom"/>
          </w:tcPr>
          <w:p>
            <w:pPr>
              <w:spacing w:after="0"/>
              <w:rPr>
                <w:sz w:val="17"/>
                <w:szCs w:val="17"/>
                <w:color w:val="auto"/>
              </w:rPr>
            </w:pPr>
          </w:p>
        </w:tc>
        <w:tc>
          <w:tcPr>
            <w:tcW w:w="1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Short-term borrowings and</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 of long-</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term debt</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$ 23,531</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2,006</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2,424</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342</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335</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43,501</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48,779</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43,498</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17,263</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16,417</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13,371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15,410</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15,405</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43,014</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49,893</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34,798</w:t>
            </w:r>
          </w:p>
        </w:tc>
      </w:t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143,061</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132,835</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98,147</w:t>
            </w:r>
          </w:p>
        </w:tc>
      </w:t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480" w:type="dxa"/>
            <w:vAlign w:val="bottom"/>
          </w:tcPr>
          <w:p>
            <w:pPr>
              <w:spacing w:after="0"/>
              <w:rPr>
                <w:sz w:val="24"/>
                <w:szCs w:val="24"/>
                <w:color w:val="auto"/>
              </w:rPr>
            </w:pPr>
          </w:p>
        </w:tc>
        <w:tc>
          <w:tcPr>
            <w:tcW w:w="13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80,000</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100,000</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80,000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leases</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297</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9,025</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8,540</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12,860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4,868</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4,802</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3,901</w:t>
            </w:r>
          </w:p>
        </w:tc>
      </w:t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94,102</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113,639</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97,312</w:t>
            </w:r>
          </w:p>
        </w:tc>
      </w:t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50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500,000 shares authorized,</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Common stock, $.16 2/3 par value,</w:t>
            </w: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6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150,000,000 shares authorized,</w:t>
            </w: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51,048,855 shares issued</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6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(50,924,637 in October 1993,</w:t>
            </w: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6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50,393,179 in January 1993)</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8,508</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8,488</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8,399</w:t>
            </w: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value</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144,358</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143,502</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136,268</w:t>
            </w: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302,958</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287,698</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251,369</w:t>
            </w: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translation</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5,657</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5,473</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4,436</w:t>
            </w:r>
          </w:p>
        </w:tc>
      </w:t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461,481</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445,161</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400,472</w:t>
            </w: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1,573,917 shares in</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treasury, at cost</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6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(1,727,396 in October 1993 and</w:t>
            </w:r>
          </w:p>
        </w:tc>
        <w:tc>
          <w:tcPr>
            <w:tcW w:w="1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3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2,143,466 in January 1993)</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12,029</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13,143</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15,967</w:t>
            </w:r>
          </w:p>
        </w:tc>
      </w:t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Total stockholders' equity</w:t>
            </w: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449,452</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432,018</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384,505</w:t>
            </w:r>
          </w:p>
        </w:tc>
      </w:t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$686,615</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$678,492</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$579,964</w:t>
            </w:r>
          </w:p>
        </w:tc>
      </w:tr>
      <w:tr>
        <w:trPr>
          <w:trHeight w:val="203"/>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54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4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810"/>
        </w:trPr>
        <w:tc>
          <w:tcPr>
            <w:tcW w:w="54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CASH FLOWS</w:t>
            </w:r>
          </w:p>
        </w:tc>
        <w:tc>
          <w:tcPr>
            <w:tcW w:w="14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(thousands)</w:t>
            </w:r>
          </w:p>
        </w:tc>
        <w:tc>
          <w:tcPr>
            <w:tcW w:w="328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480" w:type="dxa"/>
            <w:vAlign w:val="bottom"/>
          </w:tcPr>
          <w:p>
            <w:pPr>
              <w:spacing w:after="0"/>
              <w:rPr>
                <w:sz w:val="17"/>
                <w:szCs w:val="17"/>
                <w:color w:val="auto"/>
              </w:rPr>
            </w:pPr>
          </w:p>
        </w:tc>
        <w:tc>
          <w:tcPr>
            <w:tcW w:w="328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00" w:type="dxa"/>
            <w:vAlign w:val="bottom"/>
            <w:gridSpan w:val="2"/>
          </w:tcPr>
          <w:p>
            <w:pPr>
              <w:ind w:left="5060"/>
              <w:spacing w:after="0"/>
              <w:rPr>
                <w:sz w:val="20"/>
                <w:szCs w:val="20"/>
                <w:color w:val="auto"/>
              </w:rPr>
            </w:pPr>
            <w:r>
              <w:rPr>
                <w:rFonts w:ascii="Courier New" w:cs="Courier New" w:eastAsia="Courier New" w:hAnsi="Courier New"/>
                <w:sz w:val="18"/>
                <w:szCs w:val="18"/>
                <w:color w:val="auto"/>
              </w:rPr>
              <w:t>January 29, 1994</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January 30, 1993</w:t>
            </w:r>
          </w:p>
        </w:tc>
      </w:tr>
      <w:tr>
        <w:trPr>
          <w:trHeight w:val="203"/>
        </w:trPr>
        <w:tc>
          <w:tcPr>
            <w:tcW w:w="6900" w:type="dxa"/>
            <w:vAlign w:val="bottom"/>
            <w:gridSpan w:val="2"/>
          </w:tcPr>
          <w:p>
            <w:pPr>
              <w:ind w:left="506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14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$15,260</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$ 8,128</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4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14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15,301</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14,240</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493</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226</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expenses</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816</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777</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(10,555)</w:t>
            </w:r>
          </w:p>
        </w:tc>
        <w:tc>
          <w:tcPr>
            <w:tcW w:w="1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(15,296)</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6,055</w:t>
            </w:r>
          </w:p>
        </w:tc>
        <w:tc>
          <w:tcPr>
            <w:tcW w:w="1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21,315</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8,075</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14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net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(10,047)</w:t>
            </w:r>
          </w:p>
        </w:tc>
        <w:tc>
          <w:tcPr>
            <w:tcW w:w="1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(15,438)</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(10,047)</w:t>
            </w:r>
          </w:p>
        </w:tc>
        <w:tc>
          <w:tcPr>
            <w:tcW w:w="1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(15,438)</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4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increase in variable rate borrowings</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1,500</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30,192</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869</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1,211</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w:t>
            </w:r>
          </w:p>
        </w:tc>
        <w:tc>
          <w:tcPr>
            <w:tcW w:w="1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fixed rate borrowings</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(20,048)</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2,288</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11,279</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1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139</w:t>
            </w:r>
          </w:p>
        </w:tc>
        <w:tc>
          <w:tcPr>
            <w:tcW w:w="18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759</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Net increase in cash and cash equivalents</w:t>
            </w:r>
          </w:p>
        </w:tc>
        <w:tc>
          <w:tcPr>
            <w:tcW w:w="1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13,695</w:t>
            </w:r>
          </w:p>
        </w:tc>
        <w:tc>
          <w:tcPr>
            <w:tcW w:w="18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4,675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80,668</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17,730</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$94,363</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$22,405</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INFORMATION</w:t>
            </w:r>
          </w:p>
        </w:tc>
        <w:tc>
          <w:tcPr>
            <w:tcW w:w="14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4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$ 3,323</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$885</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794</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$ 1,691</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rPr>
          <w:sz w:val="20"/>
          <w:szCs w:val="20"/>
          <w:color w:val="auto"/>
        </w:rPr>
      </w:pPr>
      <w:r>
        <w:rPr>
          <w:rFonts w:ascii="Courier New" w:cs="Courier New" w:eastAsia="Courier New" w:hAnsi="Courier New"/>
          <w:sz w:val="18"/>
          <w:szCs w:val="18"/>
          <w:color w:val="auto"/>
        </w:rPr>
        <w:t>January 29, 1994</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consisting only of normal recurring adjustments, which are necessary to a fair statement of the results for this interim period and should be read in conjunction with the most recent Annual Report to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Litigation</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lawsuit brought by Crystal Semiconductor Corporation ("Crystal") against the Company on November 12, 1992 in the United States District Court for the Western District of Texas (Austin Division) for patent infringement (as previously reported in the Company's Annual Report on Form 10-K for the fiscal year ended October 30, 1993) has been dismissed pursuant to a Memorandum of Understanding executed by Crystal and the Company. The Memorandum of Understanding provides for a cross-license arrangement between the Company and Crystal and the payment of license fees for technology to be used pursuant to this arrangement. The Memorandum of Understanding also provides for the execution of a definitive cross-licensing agreement and, in the event the parties cannot agree to the terms of such definitive agreement, resolution of such terms by binding arbitration. The Company does not believe that compliance with the terms of such cross-licensing agreement will have a material adverse effect on the Company's financial position or overall trends in the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Income Taxes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Effective October 31, 1993, the Company changed its method of accounting for income taxes from the deferred method to the liability method required by Statement of Financial Accounting Standards No. 109, "Accounting for Income Taxes" (FAS 109). As permitted under the new rules, prior years' financial statements have not been restated. The cumulative effect of adopting FAS 109 as of October 31, 1993 was not material.</w:t>
      </w:r>
    </w:p>
    <w:p>
      <w:pPr>
        <w:spacing w:after="0" w:line="200" w:lineRule="exact"/>
        <w:rPr>
          <w:sz w:val="20"/>
          <w:szCs w:val="20"/>
          <w:color w:val="auto"/>
        </w:rPr>
      </w:pPr>
    </w:p>
    <w:p>
      <w:pPr>
        <w:spacing w:after="0" w:line="212"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tax effects of temporary differences that give rise to significant portions of the deferred tax assets and deferred tax liabilities at October 31, 1993 are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00" w:type="dxa"/>
            <w:vAlign w:val="bottom"/>
          </w:tcPr>
          <w:p>
            <w:pPr>
              <w:spacing w:after="0"/>
              <w:rPr>
                <w:sz w:val="17"/>
                <w:szCs w:val="17"/>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Inventory reserves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7,530</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loss carryover</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7,371</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business tax credits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5,725</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Deferred income on shipments to domestic distributors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4,683</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Reserve for employee benefits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3,544</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Restricted stock</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2,653</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Intercompany profits in foreign inventories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1,369</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 tax credit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810</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2,822</w:t>
            </w:r>
          </w:p>
        </w:tc>
      </w:tr>
      <w:tr>
        <w:trPr>
          <w:trHeight w:val="203"/>
        </w:trPr>
        <w:tc>
          <w:tcPr>
            <w:tcW w:w="59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deferred assets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36,507</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Valuation allowance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(14,300)</w:t>
            </w:r>
          </w:p>
        </w:tc>
      </w:tr>
      <w:tr>
        <w:trPr>
          <w:trHeight w:val="203"/>
        </w:trPr>
        <w:tc>
          <w:tcPr>
            <w:tcW w:w="59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deferred tax assets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22,207</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1100" w:type="dxa"/>
            <w:vAlign w:val="bottom"/>
          </w:tcPr>
          <w:p>
            <w:pPr>
              <w:spacing w:after="0"/>
              <w:rPr>
                <w:sz w:val="17"/>
                <w:szCs w:val="17"/>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over book depreciation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(7,702)</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(838)</w:t>
            </w:r>
          </w:p>
        </w:tc>
      </w:tr>
      <w:tr>
        <w:trPr>
          <w:trHeight w:val="203"/>
        </w:trPr>
        <w:tc>
          <w:tcPr>
            <w:tcW w:w="59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deferred tax liabilities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(8,540)</w:t>
            </w:r>
          </w:p>
        </w:tc>
      </w:tr>
      <w:tr>
        <w:trPr>
          <w:trHeight w:val="203"/>
        </w:trPr>
        <w:tc>
          <w:tcPr>
            <w:tcW w:w="59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deferred tax assets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$ 13,667</w:t>
            </w:r>
          </w:p>
        </w:tc>
      </w:tr>
      <w:tr>
        <w:trPr>
          <w:trHeight w:val="203"/>
        </w:trPr>
        <w:tc>
          <w:tcPr>
            <w:tcW w:w="59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w:t>
      </w:r>
    </w:p>
    <w:p>
      <w:pPr>
        <w:ind w:left="960"/>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of Fiscal 1994 Compared to the First Quarter of Fiscal 1993</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Net sales increased 20% to $181.1 million for the first fiscal quarter of 1994, compared to sales of $151.3 million for the first quarter of 1993. First quarter sales growth was strongest for system-level ICs, which increased approximately 55% from the same period last year. Sales growth in this product group continues to be fueled by production ramp-ups in major computer and communications applications. Sales of standard linear ICs increased 9% from the first quarter last year. On a geographic basis, sales were strongest in the Pacific Rim, driven by increased demand for disk drive and computer audio products. Much of the sales growth in the Pacific Rim resulted from design-ins in the United States and Europe. The Company also experienced year-over-year revenue gains in North America and Japan with sales growth in Japan aided by the translation of local currency sales to a weaker U.S. dollar. Sales to Western Europe decreased slightly due to weakened economic conditions.</w:t>
      </w:r>
    </w:p>
    <w:p>
      <w:pPr>
        <w:spacing w:after="0" w:line="38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Sales of new products continued to drive revenue growth with approximately 45% of total orders in the first quarter of 1994 attributable to products introduced over the past five years.</w:t>
      </w:r>
    </w:p>
    <w:p>
      <w:pPr>
        <w:spacing w:after="0" w:line="209"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Gross margin at 47.8% of sales was unchanged compared to the first quarter of 1993. R&amp;D expenses for the first quarter of 1994 grew approximately 12% over the same quarter last year but as a percentage of sales decreased to 13.4% , down from 14.4% of sales in the first quarter of 1993. R&amp;D expenditures continue to be focused on only the most promising opportunities where the Company believes it can build a sustainable competitive advantage. R&amp;D spending is expected to increase slightly during the balance of fiscal 1994 reflecting continued investment in high growth opportunities available in computer and communications products. Selling, marketing, general and administrative (SMG&amp;A) expenses grew 6% in absolute dollars compared to the first quarter of 1993, increasing at a much lower rate than sales. As a result, the SMG&amp;A-to-sales ratio declined three percentage points over the past year, in line with the Company's continuing commitment to maintaining tight control over all costs in order to gain good operating leverage on increased revenues.</w:t>
      </w:r>
    </w:p>
    <w:p>
      <w:pPr>
        <w:spacing w:after="0" w:line="208"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As a result of the reduction in total operating expenses as a percentage of sales, operating income improved to 11.7% of sales from 7.9% in the first quarter of 1993. In absolute dollars, operating income increased 78%.</w:t>
      </w:r>
    </w:p>
    <w:p>
      <w:pPr>
        <w:spacing w:after="0" w:line="17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Interest expense increased from $1.5 million in the first quarter of 1993 to $1.8 million for the first quarter of 1994 due to a higher level of total borrowings. Interest expense net of interest income was reduced to $1.2 million from $1.4 million one year ago as increased interest expense on a higher level of debt was more than offset by interest income earned on a significantly higher level of invested cash.</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effective income tax rate increased from 20% for the year ago quarter to 21.5% for the first quarter of 1994 due to a shift in the mix of worldwide profits. In the first quarter of 1994, the Company adopted Statement of Financial Accounting Standards No. 109, "Accounting for Income Taxes" (FAS 109). The adoption of FAS 109 changes the Company's method of accounting for income taxes from the deferred method to the liability method required by FAS</w:t>
      </w:r>
    </w:p>
    <w:p>
      <w:pPr>
        <w:ind w:left="640" w:hanging="632"/>
        <w:spacing w:after="0" w:line="234"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adopting FAS 109 was not material to the Company's</w:t>
      </w:r>
    </w:p>
    <w:p>
      <w:pPr>
        <w:spacing w:after="0" w:line="4"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position or results of operations. See Note 3 - "Income Taxes" in the Notes to Condensed Consolidated Financial Statements for information concerning the adoption of FAS 109.</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growth in sales and reduction in total operating expenses as a percent of sales resulted in net income of $15.3 million or $0.30 per share, up 88% from $8.1 million or $0.16 per share compared to the year-earlier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of Fiscal 1994 Compared to the Fourth Quarter of Fiscal 1993</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Continuing strength in orders coupled with a strong backlog led to a rise in net sales to $181.1 million for the first quarter of fiscal 1994 from $179.0 million for the fourth quarter of fiscal 1993. The sales increase was principally due to an increase in sales of the Company's system-level IC products which were strongest in the Pacific Rim.</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margin improved modestly from 47.4% for the previous quarter to 47.8% of sales for the first quarter of 1994. Gross margin for the Company's standard linear ICs remained at a high level, while gross margin for system-level IC products improved.</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R&amp;D expenses were down slightly from $25.0 million last quarter to $24.3 million for the first quarter of 1994, and also down as a percentage of sales from 13.9% to 13.4%. SMG&amp;A expenses were flat to the fourth quarter, decreasing to 22.6% of sales from 22.9% in the prior quarter, despite increased incentive expense and additional marketing expenses associated with new product launches.</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Operating income increased 13% from the immediately prior quarter reaching 11.7% of sales compared to 10.5% of sales in the fourth quarter. This performance was partially the result of higher sales, and was aided by some improvement in gross margin and continued tight control over operating expenses.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After nonoperating expenses of $1.8 million, comprised principally of interest expense, and income taxes of $4.2 million, the Company recorded net income of $15.3 million, or $0.30 per share, compared to $14.0 million or $0.28 per share last quarter. Net income improved to 8.4% of sales from 7.8% of sales in the fourth quarter. The effective income tax rate for the first quarter increased to 21.5% compared to an 18% rate for in the prior quarter reflecting a shift in the mix of worldwide profits to higher tax rate jurisdictions including the U.S.</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of January 29, 1994, cash and cash equivalents were $94.4 million, an increase of $13.7 million and $72.0 million from the end of the fourth and first quarters of 1993, respectively. The increase in cash from the end of fiscal 1993 was due primarily to cash generated by operations while the increase in cash from the year ago quarter reflected both a substantial improvement in cash provided from operations over the past year and an increase in cash generated from financing activities.</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Cash provided by operating activities was $21.3 million, or 11.8% of sales, in the first quarter of 1994 compared to $8.1 million, or 5.3% of sales in the first quarter of 1993.</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increase in operating cash flows from the year earlier period was principally attributable to higher net income and a reduction in net working capital requirements resulting mainly from a reduction in inventories of $7.4 million during the first quarter of 1994. Inventories were also reduced $5.3 million from the first quarter of 1993.</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Accounts receivable of $151.1 million increased 3.7% or $5.4 million from the end of fiscal 1993 due to the increase in sales as well as a higher level of quarter-end shipments. Accounts receivable rose 29% or $34.0 million from the first quarter of 1993. The primary factors contributing to the year-over-year increase were the 20% growth in sales between the two quarters and elimination of a prompt payment discount to domestic distributors during the fourth quarter of 1993 which altered the distributor payment cycle.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 from operations was used largely to fund capital expenditures of</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$10.0 million for the first quarter of 1994. Additions to property, plant and equipment for fiscal 1994 are currently estimated to be $90 million and directed principally toward continued investments in equipment to improve and increase manufacturing and test capabilities and capacity. The Company expects to finance its planned 1994 capital additions with existing cash and cash equivalent balances together with internally generated cash.</w:t>
      </w:r>
    </w:p>
    <w:p>
      <w:pPr>
        <w:spacing w:after="0" w:line="210"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Company believes that its strong financial condition, existing sources of liquidity, available capital resources and cash expected to be generated from operations leave it well positioned to obtain the funds required to meet its current and future business requirements.</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II - OTHER INFORMATION</w:t>
      </w:r>
    </w:p>
    <w:p>
      <w:pPr>
        <w:ind w:left="31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lawsuit brought by Crystal Semiconductor Corporation ("Crystal") against the Company on November 12, 1992 in the United States District Court for the Western District of Texas (Austin Division) for patent infringement (as previously reported in the Company's Annual Report on Form 10-K for the fiscal year ended October 30, 1993) has been dismissed pursuant to a Memorandum of Understanding executed by Crystal and the Company. The Memorandum of Understanding provides for a cross-license arrangement between the Company and Crystal and the payment of license fees for technology to be used pursuant to this arrangement. The Memorandum of Understanding also provides for the execution of a definitive cross-licensing agreement and, in the event the parties cannot agree to the terms of such definitive agreement, resolution of such terms by binding arbitration.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the Annual Meeting of Stockholders held on March 8, 1994 the stockholders of the Company elected Messrs. Philip L. Lowe, Joel Moses and Lester C. Thurow to serve as Class I Directors for a term of three years by the following votes: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2"/>
          </w:tcPr>
          <w:p>
            <w:pPr>
              <w:spacing w:after="0"/>
              <w:rPr>
                <w:sz w:val="20"/>
                <w:szCs w:val="20"/>
                <w:color w:val="auto"/>
              </w:rPr>
            </w:pPr>
            <w:r>
              <w:rPr>
                <w:rFonts w:ascii="Courier New" w:cs="Courier New" w:eastAsia="Courier New" w:hAnsi="Courier New"/>
                <w:sz w:val="18"/>
                <w:szCs w:val="18"/>
                <w:color w:val="auto"/>
              </w:rPr>
              <w:t>Nominee</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Votes For</w:t>
            </w:r>
          </w:p>
        </w:tc>
        <w:tc>
          <w:tcPr>
            <w:tcW w:w="2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Votes Withheld</w:t>
            </w:r>
          </w:p>
        </w:tc>
        <w:tc>
          <w:tcPr>
            <w:tcW w:w="2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Broker Non votes</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Philip</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L. Lowe</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38,574,472</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121,861</w:t>
            </w:r>
          </w:p>
        </w:tc>
        <w:tc>
          <w:tcPr>
            <w:tcW w:w="222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Joel Moses</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38,635,757</w:t>
            </w:r>
          </w:p>
        </w:tc>
        <w:tc>
          <w:tcPr>
            <w:tcW w:w="23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60,576</w:t>
            </w:r>
          </w:p>
        </w:tc>
        <w:tc>
          <w:tcPr>
            <w:tcW w:w="222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Lester</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 Thurow</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38,630,747</w:t>
            </w:r>
          </w:p>
        </w:tc>
        <w:tc>
          <w:tcPr>
            <w:tcW w:w="23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65,586</w:t>
            </w:r>
          </w:p>
        </w:tc>
        <w:tc>
          <w:tcPr>
            <w:tcW w:w="222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terms of office of Messrs. Morris Chang, John L. Doyle, Jerald G. Fishman, Gordon C. McKeague and Ray Stata continued after the meeting.</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 None</w:t>
      </w:r>
    </w:p>
    <w:p>
      <w:pPr>
        <w:spacing w:after="0" w:line="4" w:lineRule="exact"/>
        <w:rPr>
          <w:rFonts w:ascii="Courier New" w:cs="Courier New" w:eastAsia="Courier New" w:hAnsi="Courier New"/>
          <w:sz w:val="18"/>
          <w:szCs w:val="18"/>
          <w:color w:val="auto"/>
        </w:rPr>
      </w:pPr>
    </w:p>
    <w:p>
      <w:pPr>
        <w:ind w:left="960" w:right="2319" w:hanging="531"/>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January 29, 1994.</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Analog Devices, Inc.</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11,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RAY STATA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Ray Stata</w:t>
      </w:r>
    </w:p>
    <w:p>
      <w:pPr>
        <w:ind w:left="420"/>
        <w:spacing w:after="0" w:line="237" w:lineRule="auto"/>
        <w:rPr>
          <w:sz w:val="20"/>
          <w:szCs w:val="20"/>
          <w:color w:val="auto"/>
        </w:rPr>
      </w:pPr>
      <w:r>
        <w:rPr>
          <w:rFonts w:ascii="Courier New" w:cs="Courier New" w:eastAsia="Courier New" w:hAnsi="Courier New"/>
          <w:sz w:val="18"/>
          <w:szCs w:val="18"/>
          <w:color w:val="auto"/>
        </w:rPr>
        <w:t>Chairman of the Board and</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540" w:space="200"/>
            <w:col w:w="3080" w:space="720"/>
            <w:col w:w="567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11,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E. MCDONOUGH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Joseph E. McDonough</w:t>
      </w:r>
    </w:p>
    <w:p>
      <w:pPr>
        <w:ind w:left="420"/>
        <w:spacing w:after="0" w:line="237" w:lineRule="auto"/>
        <w:rPr>
          <w:sz w:val="20"/>
          <w:szCs w:val="20"/>
          <w:color w:val="auto"/>
        </w:rPr>
      </w:pPr>
      <w:r>
        <w:rPr>
          <w:rFonts w:ascii="Courier New" w:cs="Courier New" w:eastAsia="Courier New" w:hAnsi="Courier New"/>
          <w:sz w:val="18"/>
          <w:szCs w:val="18"/>
          <w:color w:val="auto"/>
        </w:rPr>
        <w:t>Vice President-Finance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and Chief Financial Officer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(Principal Financial and</w:t>
      </w:r>
    </w:p>
    <w:p>
      <w:pPr>
        <w:ind w:left="420"/>
        <w:spacing w:after="0" w:line="238" w:lineRule="auto"/>
        <w:rPr>
          <w:sz w:val="20"/>
          <w:szCs w:val="20"/>
          <w:color w:val="auto"/>
        </w:rPr>
      </w:pPr>
      <w:r>
        <w:rPr>
          <w:rFonts w:ascii="Courier New" w:cs="Courier New" w:eastAsia="Courier New" w:hAnsi="Courier New"/>
          <w:sz w:val="18"/>
          <w:szCs w:val="18"/>
          <w:color w:val="auto"/>
        </w:rPr>
        <w:t>Accounting Officer)</w:t>
      </w:r>
    </w:p>
    <w:sectPr>
      <w:pgSz w:w="11900" w:h="16838" w:orient="portrait"/>
      <w:cols w:equalWidth="0" w:num="3">
        <w:col w:w="540" w:space="200"/>
        <w:col w:w="3180" w:space="720"/>
        <w:col w:w="557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09"/>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2019-12-20T05:30:54Z</dcterms:created>
  <dcterms:modified xsi:type="dcterms:W3CDTF">2019-12-20T05:30:54Z</dcterms:modified>
</cp:coreProperties>
</file>