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14, 2014</w:t>
      </w:r>
    </w:p>
    <w:p>
      <w:pPr>
        <w:spacing w:after="0" w:line="31" w:lineRule="exact"/>
        <w:rPr>
          <w:sz w:val="24"/>
          <w:szCs w:val="24"/>
          <w:color w:val="auto"/>
        </w:rPr>
      </w:pPr>
    </w:p>
    <w:p>
      <w:pPr>
        <w:ind w:left="92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480" w:type="dxa"/>
        <w:tblCellMar>
          <w:top w:w="0" w:type="dxa"/>
          <w:left w:w="0" w:type="dxa"/>
          <w:bottom w:w="0" w:type="dxa"/>
          <w:right w:w="0" w:type="dxa"/>
        </w:tblCellMar>
      </w:tblPr>
      <w:tr>
        <w:trPr>
          <w:trHeight w:val="214"/>
        </w:trPr>
        <w:tc>
          <w:tcPr>
            <w:tcW w:w="6400" w:type="dxa"/>
            <w:vAlign w:val="bottom"/>
          </w:tcPr>
          <w:p>
            <w:pPr>
              <w:jc w:val="center"/>
              <w:ind w:right="3497"/>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1340" w:type="dxa"/>
            <w:vAlign w:val="bottom"/>
          </w:tcPr>
          <w:p>
            <w:pPr>
              <w:jc w:val="center"/>
              <w:ind w:left="121"/>
              <w:spacing w:after="0"/>
              <w:rPr>
                <w:sz w:val="20"/>
                <w:szCs w:val="20"/>
                <w:color w:val="auto"/>
              </w:rPr>
            </w:pPr>
            <w:r>
              <w:rPr>
                <w:rFonts w:ascii="Times New Roman" w:cs="Times New Roman" w:eastAsia="Times New Roman" w:hAnsi="Times New Roman"/>
                <w:sz w:val="18"/>
                <w:szCs w:val="18"/>
                <w:b w:val="1"/>
                <w:bCs w:val="1"/>
                <w:color w:val="auto"/>
                <w:w w:val="98"/>
              </w:rPr>
              <w:t>04-2348234</w:t>
            </w:r>
          </w:p>
        </w:tc>
      </w:tr>
      <w:tr>
        <w:trPr>
          <w:trHeight w:val="149"/>
        </w:trPr>
        <w:tc>
          <w:tcPr>
            <w:tcW w:w="6400" w:type="dxa"/>
            <w:vAlign w:val="bottom"/>
          </w:tcPr>
          <w:p>
            <w:pPr>
              <w:jc w:val="center"/>
              <w:ind w:right="349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40" w:type="dxa"/>
            <w:vAlign w:val="bottom"/>
          </w:tcPr>
          <w:p>
            <w:pPr>
              <w:jc w:val="center"/>
              <w:ind w:left="1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400" w:type="dxa"/>
            <w:vAlign w:val="bottom"/>
          </w:tcPr>
          <w:p>
            <w:pPr>
              <w:jc w:val="center"/>
              <w:ind w:right="349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4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6400" w:type="dxa"/>
            <w:vAlign w:val="bottom"/>
          </w:tcPr>
          <w:p>
            <w:pPr>
              <w:jc w:val="center"/>
              <w:ind w:right="3497"/>
              <w:spacing w:after="0"/>
              <w:rPr>
                <w:sz w:val="20"/>
                <w:szCs w:val="20"/>
                <w:color w:val="auto"/>
              </w:rPr>
            </w:pPr>
            <w:r>
              <w:rPr>
                <w:rFonts w:ascii="Times New Roman" w:cs="Times New Roman" w:eastAsia="Times New Roman" w:hAnsi="Times New Roman"/>
                <w:sz w:val="18"/>
                <w:szCs w:val="18"/>
                <w:b w:val="1"/>
                <w:bCs w:val="1"/>
                <w:color w:val="auto"/>
                <w:w w:val="98"/>
              </w:rPr>
              <w:t>One Technology Way, Norwood, MA</w:t>
            </w:r>
          </w:p>
        </w:tc>
        <w:tc>
          <w:tcPr>
            <w:tcW w:w="1340" w:type="dxa"/>
            <w:vAlign w:val="bottom"/>
          </w:tcPr>
          <w:p>
            <w:pPr>
              <w:jc w:val="center"/>
              <w:ind w:left="121"/>
              <w:spacing w:after="0"/>
              <w:rPr>
                <w:sz w:val="20"/>
                <w:szCs w:val="20"/>
                <w:color w:val="auto"/>
              </w:rPr>
            </w:pPr>
            <w:r>
              <w:rPr>
                <w:rFonts w:ascii="Times New Roman" w:cs="Times New Roman" w:eastAsia="Times New Roman" w:hAnsi="Times New Roman"/>
                <w:sz w:val="18"/>
                <w:szCs w:val="18"/>
                <w:b w:val="1"/>
                <w:bCs w:val="1"/>
                <w:color w:val="auto"/>
                <w:w w:val="98"/>
              </w:rPr>
              <w:t>02062-9106</w:t>
            </w:r>
          </w:p>
        </w:tc>
      </w:tr>
      <w:tr>
        <w:trPr>
          <w:trHeight w:val="190"/>
        </w:trPr>
        <w:tc>
          <w:tcPr>
            <w:tcW w:w="6400" w:type="dxa"/>
            <w:vAlign w:val="bottom"/>
          </w:tcPr>
          <w:p>
            <w:pPr>
              <w:jc w:val="center"/>
              <w:ind w:right="34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4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6400" w:type="dxa"/>
            <w:vAlign w:val="bottom"/>
          </w:tcPr>
          <w:p>
            <w:pPr>
              <w:jc w:val="center"/>
              <w:ind w:left="1997"/>
              <w:spacing w:after="0"/>
              <w:rPr>
                <w:sz w:val="20"/>
                <w:szCs w:val="20"/>
                <w:color w:val="auto"/>
              </w:rPr>
            </w:pPr>
            <w:r>
              <w:rPr>
                <w:rFonts w:ascii="Times New Roman" w:cs="Times New Roman" w:eastAsia="Times New Roman" w:hAnsi="Times New Roman"/>
                <w:sz w:val="18"/>
                <w:szCs w:val="18"/>
                <w:b w:val="1"/>
                <w:bCs w:val="1"/>
                <w:color w:val="auto"/>
                <w:w w:val="99"/>
              </w:rPr>
              <w:t>Analog Devices, Inc.</w:t>
            </w:r>
          </w:p>
        </w:tc>
        <w:tc>
          <w:tcPr>
            <w:tcW w:w="1340" w:type="dxa"/>
            <w:vAlign w:val="bottom"/>
          </w:tcPr>
          <w:p>
            <w:pPr>
              <w:spacing w:after="0"/>
              <w:rPr>
                <w:sz w:val="24"/>
                <w:szCs w:val="24"/>
                <w:color w:val="auto"/>
              </w:rPr>
            </w:pPr>
          </w:p>
        </w:tc>
      </w:tr>
      <w:tr>
        <w:trPr>
          <w:trHeight w:val="214"/>
        </w:trPr>
        <w:tc>
          <w:tcPr>
            <w:tcW w:w="6400" w:type="dxa"/>
            <w:vAlign w:val="bottom"/>
          </w:tcPr>
          <w:p>
            <w:pPr>
              <w:jc w:val="center"/>
              <w:ind w:left="1977"/>
              <w:spacing w:after="0"/>
              <w:rPr>
                <w:sz w:val="20"/>
                <w:szCs w:val="20"/>
                <w:color w:val="auto"/>
              </w:rPr>
            </w:pPr>
            <w:r>
              <w:rPr>
                <w:rFonts w:ascii="Times New Roman" w:cs="Times New Roman" w:eastAsia="Times New Roman" w:hAnsi="Times New Roman"/>
                <w:sz w:val="18"/>
                <w:szCs w:val="18"/>
                <w:b w:val="1"/>
                <w:bCs w:val="1"/>
                <w:color w:val="auto"/>
                <w:w w:val="99"/>
              </w:rPr>
              <w:t>Amended and Restated 2006 Stock Incentive Plan</w:t>
            </w:r>
          </w:p>
        </w:tc>
        <w:tc>
          <w:tcPr>
            <w:tcW w:w="1340" w:type="dxa"/>
            <w:vAlign w:val="bottom"/>
          </w:tcPr>
          <w:p>
            <w:pPr>
              <w:spacing w:after="0"/>
              <w:rPr>
                <w:sz w:val="18"/>
                <w:szCs w:val="18"/>
                <w:color w:val="auto"/>
              </w:rPr>
            </w:pPr>
          </w:p>
        </w:tc>
      </w:tr>
      <w:tr>
        <w:trPr>
          <w:trHeight w:val="190"/>
        </w:trPr>
        <w:tc>
          <w:tcPr>
            <w:tcW w:w="6400" w:type="dxa"/>
            <w:vAlign w:val="bottom"/>
          </w:tcPr>
          <w:p>
            <w:pPr>
              <w:jc w:val="center"/>
              <w:ind w:left="1997"/>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c>
          <w:tcPr>
            <w:tcW w:w="1340" w:type="dxa"/>
            <w:vAlign w:val="bottom"/>
          </w:tcPr>
          <w:p>
            <w:pPr>
              <w:spacing w:after="0"/>
              <w:rPr>
                <w:sz w:val="16"/>
                <w:szCs w:val="16"/>
                <w:color w:val="auto"/>
              </w:rPr>
            </w:pPr>
          </w:p>
        </w:tc>
      </w:tr>
      <w:tr>
        <w:trPr>
          <w:trHeight w:val="393"/>
        </w:trPr>
        <w:tc>
          <w:tcPr>
            <w:tcW w:w="6400" w:type="dxa"/>
            <w:vAlign w:val="bottom"/>
          </w:tcPr>
          <w:p>
            <w:pPr>
              <w:jc w:val="center"/>
              <w:ind w:left="1977"/>
              <w:spacing w:after="0"/>
              <w:rPr>
                <w:sz w:val="20"/>
                <w:szCs w:val="20"/>
                <w:color w:val="auto"/>
              </w:rPr>
            </w:pPr>
            <w:r>
              <w:rPr>
                <w:rFonts w:ascii="Times New Roman" w:cs="Times New Roman" w:eastAsia="Times New Roman" w:hAnsi="Times New Roman"/>
                <w:sz w:val="18"/>
                <w:szCs w:val="18"/>
                <w:b w:val="1"/>
                <w:bCs w:val="1"/>
                <w:color w:val="auto"/>
                <w:w w:val="99"/>
              </w:rPr>
              <w:t>Margaret K. Seif</w:t>
            </w:r>
          </w:p>
        </w:tc>
        <w:tc>
          <w:tcPr>
            <w:tcW w:w="1340" w:type="dxa"/>
            <w:vAlign w:val="bottom"/>
          </w:tcPr>
          <w:p>
            <w:pPr>
              <w:spacing w:after="0"/>
              <w:rPr>
                <w:sz w:val="24"/>
                <w:szCs w:val="24"/>
                <w:color w:val="auto"/>
              </w:rPr>
            </w:pPr>
          </w:p>
        </w:tc>
      </w:tr>
      <w:tr>
        <w:trPr>
          <w:trHeight w:val="216"/>
        </w:trPr>
        <w:tc>
          <w:tcPr>
            <w:tcW w:w="6400" w:type="dxa"/>
            <w:vAlign w:val="bottom"/>
          </w:tcPr>
          <w:p>
            <w:pPr>
              <w:jc w:val="center"/>
              <w:ind w:left="1997"/>
              <w:spacing w:after="0"/>
              <w:rPr>
                <w:sz w:val="20"/>
                <w:szCs w:val="20"/>
                <w:color w:val="auto"/>
              </w:rPr>
            </w:pPr>
            <w:r>
              <w:rPr>
                <w:rFonts w:ascii="Times New Roman" w:cs="Times New Roman" w:eastAsia="Times New Roman" w:hAnsi="Times New Roman"/>
                <w:sz w:val="18"/>
                <w:szCs w:val="18"/>
                <w:b w:val="1"/>
                <w:bCs w:val="1"/>
                <w:color w:val="auto"/>
                <w:w w:val="99"/>
              </w:rPr>
              <w:t>Vice President, General Counsel and Secretary</w:t>
            </w:r>
          </w:p>
        </w:tc>
        <w:tc>
          <w:tcPr>
            <w:tcW w:w="1340" w:type="dxa"/>
            <w:vAlign w:val="bottom"/>
          </w:tcPr>
          <w:p>
            <w:pPr>
              <w:spacing w:after="0"/>
              <w:rPr>
                <w:sz w:val="18"/>
                <w:szCs w:val="18"/>
                <w:color w:val="auto"/>
              </w:rPr>
            </w:pPr>
          </w:p>
        </w:tc>
      </w:tr>
      <w:tr>
        <w:trPr>
          <w:trHeight w:val="216"/>
        </w:trPr>
        <w:tc>
          <w:tcPr>
            <w:tcW w:w="6400" w:type="dxa"/>
            <w:vAlign w:val="bottom"/>
          </w:tcPr>
          <w:p>
            <w:pPr>
              <w:jc w:val="center"/>
              <w:ind w:left="1997"/>
              <w:spacing w:after="0"/>
              <w:rPr>
                <w:sz w:val="20"/>
                <w:szCs w:val="20"/>
                <w:color w:val="auto"/>
              </w:rPr>
            </w:pPr>
            <w:r>
              <w:rPr>
                <w:rFonts w:ascii="Times New Roman" w:cs="Times New Roman" w:eastAsia="Times New Roman" w:hAnsi="Times New Roman"/>
                <w:sz w:val="18"/>
                <w:szCs w:val="18"/>
                <w:b w:val="1"/>
                <w:bCs w:val="1"/>
                <w:color w:val="auto"/>
                <w:w w:val="98"/>
              </w:rPr>
              <w:t>One Technology Way</w:t>
            </w:r>
          </w:p>
        </w:tc>
        <w:tc>
          <w:tcPr>
            <w:tcW w:w="1340" w:type="dxa"/>
            <w:vAlign w:val="bottom"/>
          </w:tcPr>
          <w:p>
            <w:pPr>
              <w:spacing w:after="0"/>
              <w:rPr>
                <w:sz w:val="18"/>
                <w:szCs w:val="18"/>
                <w:color w:val="auto"/>
              </w:rPr>
            </w:pPr>
          </w:p>
        </w:tc>
      </w:tr>
      <w:tr>
        <w:trPr>
          <w:trHeight w:val="214"/>
        </w:trPr>
        <w:tc>
          <w:tcPr>
            <w:tcW w:w="6400" w:type="dxa"/>
            <w:vAlign w:val="bottom"/>
          </w:tcPr>
          <w:p>
            <w:pPr>
              <w:jc w:val="center"/>
              <w:ind w:left="1997"/>
              <w:spacing w:after="0"/>
              <w:rPr>
                <w:sz w:val="20"/>
                <w:szCs w:val="20"/>
                <w:color w:val="auto"/>
              </w:rPr>
            </w:pPr>
            <w:r>
              <w:rPr>
                <w:rFonts w:ascii="Times New Roman" w:cs="Times New Roman" w:eastAsia="Times New Roman" w:hAnsi="Times New Roman"/>
                <w:sz w:val="18"/>
                <w:szCs w:val="18"/>
                <w:b w:val="1"/>
                <w:bCs w:val="1"/>
                <w:color w:val="auto"/>
              </w:rPr>
              <w:t>Norwood, MA 02062</w:t>
            </w:r>
          </w:p>
        </w:tc>
        <w:tc>
          <w:tcPr>
            <w:tcW w:w="1340" w:type="dxa"/>
            <w:vAlign w:val="bottom"/>
          </w:tcPr>
          <w:p>
            <w:pPr>
              <w:spacing w:after="0"/>
              <w:rPr>
                <w:sz w:val="18"/>
                <w:szCs w:val="18"/>
                <w:color w:val="auto"/>
              </w:rPr>
            </w:pPr>
          </w:p>
        </w:tc>
      </w:tr>
      <w:tr>
        <w:trPr>
          <w:trHeight w:val="190"/>
        </w:trPr>
        <w:tc>
          <w:tcPr>
            <w:tcW w:w="6400" w:type="dxa"/>
            <w:vAlign w:val="bottom"/>
          </w:tcPr>
          <w:p>
            <w:pPr>
              <w:jc w:val="center"/>
              <w:ind w:left="1997"/>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c>
          <w:tcPr>
            <w:tcW w:w="1340" w:type="dxa"/>
            <w:vAlign w:val="bottom"/>
          </w:tcPr>
          <w:p>
            <w:pPr>
              <w:spacing w:after="0"/>
              <w:rPr>
                <w:sz w:val="16"/>
                <w:szCs w:val="16"/>
                <w:color w:val="auto"/>
              </w:rPr>
            </w:pPr>
          </w:p>
        </w:tc>
      </w:tr>
      <w:tr>
        <w:trPr>
          <w:trHeight w:val="390"/>
        </w:trPr>
        <w:tc>
          <w:tcPr>
            <w:tcW w:w="6400" w:type="dxa"/>
            <w:vAlign w:val="bottom"/>
          </w:tcPr>
          <w:p>
            <w:pPr>
              <w:jc w:val="center"/>
              <w:ind w:left="1997"/>
              <w:spacing w:after="0"/>
              <w:rPr>
                <w:sz w:val="20"/>
                <w:szCs w:val="20"/>
                <w:color w:val="auto"/>
              </w:rPr>
            </w:pPr>
            <w:r>
              <w:rPr>
                <w:rFonts w:ascii="Times New Roman" w:cs="Times New Roman" w:eastAsia="Times New Roman" w:hAnsi="Times New Roman"/>
                <w:sz w:val="18"/>
                <w:szCs w:val="18"/>
                <w:b w:val="1"/>
                <w:bCs w:val="1"/>
                <w:color w:val="auto"/>
                <w:w w:val="99"/>
              </w:rPr>
              <w:t>(781) 329-4700</w:t>
            </w:r>
          </w:p>
        </w:tc>
        <w:tc>
          <w:tcPr>
            <w:tcW w:w="1340" w:type="dxa"/>
            <w:vAlign w:val="bottom"/>
          </w:tcPr>
          <w:p>
            <w:pPr>
              <w:spacing w:after="0"/>
              <w:rPr>
                <w:sz w:val="24"/>
                <w:szCs w:val="24"/>
                <w:color w:val="auto"/>
              </w:rPr>
            </w:pPr>
          </w:p>
        </w:tc>
      </w:tr>
      <w:tr>
        <w:trPr>
          <w:trHeight w:val="190"/>
        </w:trPr>
        <w:tc>
          <w:tcPr>
            <w:tcW w:w="6400" w:type="dxa"/>
            <w:vAlign w:val="bottom"/>
          </w:tcPr>
          <w:p>
            <w:pPr>
              <w:jc w:val="center"/>
              <w:ind w:left="1997"/>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212090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120" w:type="dxa"/>
            <w:vAlign w:val="bottom"/>
            <w:gridSpan w:val="2"/>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120" w:type="dxa"/>
            <w:vAlign w:val="bottom"/>
            <w:gridSpan w:val="2"/>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41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5"/>
        </w:trPr>
        <w:tc>
          <w:tcPr>
            <w:tcW w:w="1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600" w:type="dxa"/>
            <w:vAlign w:val="bottom"/>
            <w:tcBorders>
              <w:right w:val="single" w:sz="8" w:color="auto"/>
            </w:tcBorders>
          </w:tcPr>
          <w:p>
            <w:pPr>
              <w:jc w:val="center"/>
              <w:ind w:left="27"/>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4"/>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600" w:type="dxa"/>
            <w:vAlign w:val="bottom"/>
            <w:tcBorders>
              <w:right w:val="single" w:sz="8" w:color="auto"/>
            </w:tcBorders>
          </w:tcPr>
          <w:p>
            <w:pPr>
              <w:jc w:val="center"/>
              <w:ind w:left="7"/>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Title of Securities</w:t>
            </w:r>
          </w:p>
        </w:tc>
        <w:tc>
          <w:tcPr>
            <w:tcW w:w="160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to be</w:t>
            </w:r>
          </w:p>
        </w:tc>
        <w:tc>
          <w:tcPr>
            <w:tcW w:w="1600" w:type="dxa"/>
            <w:vAlign w:val="bottom"/>
            <w:tcBorders>
              <w:right w:val="single" w:sz="8" w:color="auto"/>
            </w:tcBorders>
          </w:tcPr>
          <w:p>
            <w:pPr>
              <w:jc w:val="center"/>
              <w:ind w:left="4"/>
              <w:spacing w:after="0" w:line="160"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600" w:type="dxa"/>
            <w:vAlign w:val="bottom"/>
            <w:tcBorders>
              <w:right w:val="single" w:sz="8" w:color="auto"/>
            </w:tcBorders>
          </w:tcPr>
          <w:p>
            <w:pPr>
              <w:jc w:val="center"/>
              <w:ind w:left="7"/>
              <w:spacing w:after="0" w:line="160"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560" w:type="dxa"/>
            <w:vAlign w:val="bottom"/>
          </w:tcPr>
          <w:p>
            <w:pPr>
              <w:jc w:val="center"/>
              <w:ind w:left="22"/>
              <w:spacing w:after="0" w:line="160"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Registered(1)</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6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$0.16 2/3 par value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19,000,000 shares</w:t>
            </w:r>
          </w:p>
        </w:tc>
        <w:tc>
          <w:tcPr>
            <w:tcW w:w="1600" w:type="dxa"/>
            <w:vAlign w:val="bottom"/>
            <w:tcBorders>
              <w:bottom w:val="single" w:sz="8" w:color="auto"/>
              <w:right w:val="single" w:sz="8" w:color="auto"/>
            </w:tcBorders>
          </w:tcPr>
          <w:p>
            <w:pPr>
              <w:jc w:val="center"/>
              <w:ind w:left="24"/>
              <w:spacing w:after="0"/>
              <w:rPr>
                <w:sz w:val="20"/>
                <w:szCs w:val="20"/>
                <w:color w:val="auto"/>
              </w:rPr>
            </w:pPr>
            <w:r>
              <w:rPr>
                <w:rFonts w:ascii="Times New Roman" w:cs="Times New Roman" w:eastAsia="Times New Roman" w:hAnsi="Times New Roman"/>
                <w:sz w:val="18"/>
                <w:szCs w:val="18"/>
                <w:color w:val="auto"/>
                <w:w w:val="99"/>
              </w:rPr>
              <w:t>$51.43(2)</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Times New Roman" w:cs="Times New Roman" w:eastAsia="Times New Roman" w:hAnsi="Times New Roman"/>
                <w:sz w:val="18"/>
                <w:szCs w:val="18"/>
                <w:color w:val="auto"/>
                <w:w w:val="99"/>
              </w:rPr>
              <w:t>$977,170,000(2)</w:t>
            </w:r>
          </w:p>
        </w:tc>
        <w:tc>
          <w:tcPr>
            <w:tcW w:w="156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rPr>
              <w:t>$125,860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line="258"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jc w:val="both"/>
        <w:ind w:left="460" w:right="100" w:hanging="452"/>
        <w:spacing w:after="0" w:line="255"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457(h) of the Securities Act of 1933, as amended, and based upon the average of the high and low prices of the Registrant’s Common Stock as reported on the NASDAQ Global Select Market on March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OF INCORPORATION BY REFERENCE</w:t>
      </w:r>
    </w:p>
    <w:p>
      <w:pPr>
        <w:spacing w:after="0" w:line="22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This Registration Statement on Form S-8 is filed to register the offer and sale of an additional 19,000,000 shares of the registrant’s common stock, $0.16 2/3 par value per share, to be issued under the registrant’s Amended and Restated 2006 Stock Incentive Plan (the “Plan”). In accordance with General Instruction E to Form S-8, except for Item 8 “Exhibits,” this registration statement incorporates by reference the contents of (i) the registration statement on Form S-8, File No. 333-181951, filed with the Securities and Exchange Commission (the “Commission”) on June 6, 2012, (ii) the registration statement on Form S-8, File No. 333-163653, filed with the Commission on December 11, 2009, (iii) the registration statement on Form S-8, File No. 333-156309, filed with the Commission on December 19, 2008 and (iv) the registration statement on Form S-8, File No. 333-132409, filed with the Commission on March 14, 2006.</w:t>
      </w:r>
    </w:p>
    <w:p>
      <w:pPr>
        <w:spacing w:after="0" w:line="3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Index immediately preceding the exhibits is incorporated herein by reference.</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340"/>
          </w:cols>
          <w:pgMar w:left="240" w:top="266" w:right="3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Norwood, Commonwealth of Massachusetts, on this 14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March, 2014.</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Vincent 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Vincent T. Roche</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the undersigned officers and directors of Analog Devices, Inc., hereby severally constitute and appoint Vincent T. Roche, David A. Zinsner and Margaret K. Seif,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8"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gridSpan w:val="3"/>
          </w:tcPr>
          <w:p>
            <w:pPr>
              <w:ind w:left="18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740" w:type="dxa"/>
            <w:vAlign w:val="bottom"/>
            <w:gridSpan w:val="3"/>
          </w:tcPr>
          <w:p>
            <w:pPr>
              <w:ind w:left="2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6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6"/>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 Stata</w:t>
            </w: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9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w w:val="97"/>
              </w:rPr>
              <w:t>March 14, 2014</w:t>
            </w:r>
          </w:p>
        </w:tc>
      </w:tr>
      <w:tr>
        <w:trPr>
          <w:trHeight w:val="228"/>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Ray Stata</w:t>
            </w:r>
          </w:p>
        </w:tc>
        <w:tc>
          <w:tcPr>
            <w:tcW w:w="2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7"/>
        </w:trPr>
        <w:tc>
          <w:tcPr>
            <w:tcW w:w="4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Vincent T. Roche</w:t>
            </w:r>
          </w:p>
        </w:tc>
        <w:tc>
          <w:tcPr>
            <w:tcW w:w="4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9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w w:val="97"/>
              </w:rPr>
              <w:t>March 14, 2014</w:t>
            </w:r>
          </w:p>
        </w:tc>
      </w:tr>
      <w:tr>
        <w:trPr>
          <w:trHeight w:val="228"/>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Vincent T. Roche</w:t>
            </w:r>
          </w:p>
        </w:tc>
        <w:tc>
          <w:tcPr>
            <w:tcW w:w="4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7"/>
        </w:trPr>
        <w:tc>
          <w:tcPr>
            <w:tcW w:w="4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David A. Zinsner</w:t>
            </w:r>
          </w:p>
        </w:tc>
        <w:tc>
          <w:tcPr>
            <w:tcW w:w="4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tc>
        <w:tc>
          <w:tcPr>
            <w:tcW w:w="19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w w:val="97"/>
              </w:rPr>
              <w:t>March 14, 2014</w:t>
            </w:r>
          </w:p>
        </w:tc>
      </w:tr>
      <w:tr>
        <w:trPr>
          <w:trHeight w:val="228"/>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A. Zinsner</w:t>
            </w:r>
          </w:p>
        </w:tc>
        <w:tc>
          <w:tcPr>
            <w:tcW w:w="4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0"/>
        </w:trPr>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- 2 -</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4" w:name="page5"/>
    <w:bookmarkEnd w:id="4"/>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Eileen Wynne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75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Eileen Wynne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M. Beyer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75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M. Beyer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A. Champy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75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A. Champy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C. Hodgson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75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C. Hodgson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Yves-Andre Istel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75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Yves-Andre Istel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Neil Novich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75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Neil Novich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 Grant Saviers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75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Grant Saviers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Kenton J. Sicchitano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75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Kenton J. Sicchitano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Lisa 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75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Vice President, Corporate Controller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-196850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8" w:lineRule="auto"/>
        <w:tabs>
          <w:tab w:leader="none" w:pos="5200" w:val="left"/>
        </w:tabs>
        <w:rPr>
          <w:sz w:val="20"/>
          <w:szCs w:val="20"/>
          <w:color w:val="auto"/>
        </w:rPr>
      </w:pPr>
      <w:r>
        <w:rPr>
          <w:rFonts w:ascii="Times New Roman" w:cs="Times New Roman" w:eastAsia="Times New Roman" w:hAnsi="Times New Roman"/>
          <w:sz w:val="18"/>
          <w:szCs w:val="18"/>
          <w:color w:val="auto"/>
        </w:rPr>
        <w:t>Accounting Officer</w:t>
      </w:r>
      <w:r>
        <w:rPr>
          <w:sz w:val="20"/>
          <w:szCs w:val="20"/>
          <w:color w:val="auto"/>
        </w:rPr>
        <w:tab/>
      </w:r>
      <w:r>
        <w:rPr>
          <w:rFonts w:ascii="Times New Roman" w:cs="Times New Roman" w:eastAsia="Times New Roman" w:hAnsi="Times New Roman"/>
          <w:sz w:val="26"/>
          <w:szCs w:val="26"/>
          <w:color w:val="auto"/>
          <w:vertAlign w:val="superscript"/>
        </w:rPr>
        <w:t>March 14, 2014</w:t>
      </w: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46" w:lineRule="exact"/>
        <w:rPr>
          <w:sz w:val="20"/>
          <w:szCs w:val="20"/>
          <w:color w:val="auto"/>
        </w:rPr>
      </w:pPr>
    </w:p>
    <w:p>
      <w:pPr>
        <w:spacing w:after="0"/>
        <w:tabs>
          <w:tab w:leader="none" w:pos="52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14, 2014</w:t>
      </w:r>
    </w:p>
    <w:p>
      <w:pPr>
        <w:spacing w:after="0" w:line="200" w:lineRule="exact"/>
        <w:rPr>
          <w:sz w:val="20"/>
          <w:szCs w:val="20"/>
          <w:color w:val="auto"/>
        </w:rPr>
      </w:pPr>
    </w:p>
    <w:p>
      <w:pPr>
        <w:spacing w:after="0" w:line="280" w:lineRule="exact"/>
        <w:rPr>
          <w:sz w:val="20"/>
          <w:szCs w:val="20"/>
          <w:color w:val="auto"/>
        </w:rPr>
      </w:pPr>
    </w:p>
    <w:p>
      <w:pPr>
        <w:spacing w:after="0"/>
        <w:tabs>
          <w:tab w:leader="none" w:pos="52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14, 2014</w:t>
      </w:r>
    </w:p>
    <w:p>
      <w:pPr>
        <w:spacing w:after="0" w:line="200" w:lineRule="exact"/>
        <w:rPr>
          <w:sz w:val="20"/>
          <w:szCs w:val="20"/>
          <w:color w:val="auto"/>
        </w:rPr>
      </w:pPr>
    </w:p>
    <w:p>
      <w:pPr>
        <w:spacing w:after="0" w:line="280" w:lineRule="exact"/>
        <w:rPr>
          <w:sz w:val="20"/>
          <w:szCs w:val="20"/>
          <w:color w:val="auto"/>
        </w:rPr>
      </w:pPr>
    </w:p>
    <w:p>
      <w:pPr>
        <w:spacing w:after="0"/>
        <w:tabs>
          <w:tab w:leader="none" w:pos="52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14, 2014</w:t>
      </w:r>
    </w:p>
    <w:p>
      <w:pPr>
        <w:spacing w:after="0" w:line="200" w:lineRule="exact"/>
        <w:rPr>
          <w:sz w:val="20"/>
          <w:szCs w:val="20"/>
          <w:color w:val="auto"/>
        </w:rPr>
      </w:pPr>
    </w:p>
    <w:p>
      <w:pPr>
        <w:spacing w:after="0" w:line="280" w:lineRule="exact"/>
        <w:rPr>
          <w:sz w:val="20"/>
          <w:szCs w:val="20"/>
          <w:color w:val="auto"/>
        </w:rPr>
      </w:pPr>
    </w:p>
    <w:p>
      <w:pPr>
        <w:spacing w:after="0"/>
        <w:tabs>
          <w:tab w:leader="none" w:pos="52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14, 2014</w:t>
      </w:r>
    </w:p>
    <w:p>
      <w:pPr>
        <w:spacing w:after="0" w:line="200" w:lineRule="exact"/>
        <w:rPr>
          <w:sz w:val="20"/>
          <w:szCs w:val="20"/>
          <w:color w:val="auto"/>
        </w:rPr>
      </w:pPr>
    </w:p>
    <w:p>
      <w:pPr>
        <w:spacing w:after="0" w:line="280" w:lineRule="exact"/>
        <w:rPr>
          <w:sz w:val="20"/>
          <w:szCs w:val="20"/>
          <w:color w:val="auto"/>
        </w:rPr>
      </w:pPr>
    </w:p>
    <w:p>
      <w:pPr>
        <w:spacing w:after="0"/>
        <w:tabs>
          <w:tab w:leader="none" w:pos="52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12, 2014</w:t>
      </w:r>
    </w:p>
    <w:p>
      <w:pPr>
        <w:spacing w:after="0" w:line="200" w:lineRule="exact"/>
        <w:rPr>
          <w:sz w:val="20"/>
          <w:szCs w:val="20"/>
          <w:color w:val="auto"/>
        </w:rPr>
      </w:pPr>
    </w:p>
    <w:p>
      <w:pPr>
        <w:spacing w:after="0" w:line="280" w:lineRule="exact"/>
        <w:rPr>
          <w:sz w:val="20"/>
          <w:szCs w:val="20"/>
          <w:color w:val="auto"/>
        </w:rPr>
      </w:pPr>
    </w:p>
    <w:p>
      <w:pPr>
        <w:spacing w:after="0"/>
        <w:tabs>
          <w:tab w:leader="none" w:pos="52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12, 2014</w:t>
      </w:r>
    </w:p>
    <w:p>
      <w:pPr>
        <w:spacing w:after="0" w:line="200" w:lineRule="exact"/>
        <w:rPr>
          <w:sz w:val="20"/>
          <w:szCs w:val="20"/>
          <w:color w:val="auto"/>
        </w:rPr>
      </w:pPr>
    </w:p>
    <w:p>
      <w:pPr>
        <w:spacing w:after="0" w:line="280" w:lineRule="exact"/>
        <w:rPr>
          <w:sz w:val="20"/>
          <w:szCs w:val="20"/>
          <w:color w:val="auto"/>
        </w:rPr>
      </w:pPr>
    </w:p>
    <w:p>
      <w:pPr>
        <w:spacing w:after="0"/>
        <w:tabs>
          <w:tab w:leader="none" w:pos="52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14, 2014</w:t>
      </w:r>
    </w:p>
    <w:p>
      <w:pPr>
        <w:spacing w:after="0" w:line="200" w:lineRule="exact"/>
        <w:rPr>
          <w:sz w:val="20"/>
          <w:szCs w:val="20"/>
          <w:color w:val="auto"/>
        </w:rPr>
      </w:pPr>
    </w:p>
    <w:p>
      <w:pPr>
        <w:spacing w:after="0" w:line="280" w:lineRule="exact"/>
        <w:rPr>
          <w:sz w:val="20"/>
          <w:szCs w:val="20"/>
          <w:color w:val="auto"/>
        </w:rPr>
      </w:pPr>
    </w:p>
    <w:p>
      <w:pPr>
        <w:spacing w:after="0"/>
        <w:tabs>
          <w:tab w:leader="none" w:pos="520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March 14, 2014</w:t>
      </w:r>
    </w:p>
    <w:p>
      <w:pPr>
        <w:spacing w:after="0" w:line="38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2">
            <w:col w:w="3780" w:space="720"/>
            <w:col w:w="6360"/>
          </w:cols>
          <w:pgMar w:left="240" w:top="243" w:right="7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10680" w:type="dxa"/>
            <w:vAlign w:val="bottom"/>
            <w:gridSpan w:val="3"/>
          </w:tcPr>
          <w:p>
            <w:pPr>
              <w:ind w:left="434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92"/>
        </w:trPr>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Number</w:t>
            </w:r>
          </w:p>
        </w:tc>
        <w:tc>
          <w:tcPr>
            <w:tcW w:w="10680" w:type="dxa"/>
            <w:vAlign w:val="bottom"/>
            <w:gridSpan w:val="3"/>
          </w:tcPr>
          <w:p>
            <w:pPr>
              <w:ind w:left="5420"/>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48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99"/>
        </w:trPr>
        <w:tc>
          <w:tcPr>
            <w:tcW w:w="4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4.1</w:t>
            </w:r>
          </w:p>
        </w:tc>
        <w:tc>
          <w:tcPr>
            <w:tcW w:w="106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Restated Articles of Organization of the Registrant, filed with the Commission on May 20, 2008 as Exhibit 3.1 to the Registrant’s Quarterly</w:t>
            </w:r>
          </w:p>
        </w:tc>
      </w:tr>
      <w:tr>
        <w:trPr>
          <w:trHeight w:val="234"/>
        </w:trPr>
        <w:tc>
          <w:tcPr>
            <w:tcW w:w="480" w:type="dxa"/>
            <w:vAlign w:val="bottom"/>
          </w:tcPr>
          <w:p>
            <w:pPr>
              <w:spacing w:after="0"/>
              <w:rPr>
                <w:sz w:val="20"/>
                <w:szCs w:val="20"/>
                <w:color w:val="auto"/>
              </w:rPr>
            </w:pPr>
          </w:p>
        </w:tc>
        <w:tc>
          <w:tcPr>
            <w:tcW w:w="106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Report on Form 10-Q for the fiscal quarter ended May 3, 2008 (File No. 1-7819) and incorporated herein by reference,</w:t>
            </w:r>
          </w:p>
        </w:tc>
      </w:tr>
      <w:tr>
        <w:trPr>
          <w:trHeight w:val="306"/>
        </w:trPr>
        <w:tc>
          <w:tcPr>
            <w:tcW w:w="4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4.2</w:t>
            </w:r>
          </w:p>
        </w:tc>
        <w:tc>
          <w:tcPr>
            <w:tcW w:w="106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Amendment to Restated Articles of Organization of the Registrant, filed with the Commission on December 8, 2008 as Exhibit 3.1 to the</w:t>
            </w:r>
          </w:p>
        </w:tc>
      </w:tr>
      <w:tr>
        <w:trPr>
          <w:trHeight w:val="234"/>
        </w:trPr>
        <w:tc>
          <w:tcPr>
            <w:tcW w:w="480" w:type="dxa"/>
            <w:vAlign w:val="bottom"/>
          </w:tcPr>
          <w:p>
            <w:pPr>
              <w:spacing w:after="0"/>
              <w:rPr>
                <w:sz w:val="20"/>
                <w:szCs w:val="20"/>
                <w:color w:val="auto"/>
              </w:rPr>
            </w:pPr>
          </w:p>
        </w:tc>
        <w:tc>
          <w:tcPr>
            <w:tcW w:w="106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Registrant’s Current Report on Form 8-K (File No. 1-7819) and incorporated herein by reference.</w:t>
            </w:r>
          </w:p>
        </w:tc>
      </w:tr>
      <w:tr>
        <w:trPr>
          <w:trHeight w:val="306"/>
        </w:trPr>
        <w:tc>
          <w:tcPr>
            <w:tcW w:w="4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4.3</w:t>
            </w:r>
          </w:p>
        </w:tc>
        <w:tc>
          <w:tcPr>
            <w:tcW w:w="106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Amended and Restated By-Laws of the Registrant, filed with the Commission on January 28, 2010 as Exhibit 3.1 to the Registrant’s Current</w:t>
            </w:r>
          </w:p>
        </w:tc>
      </w:tr>
      <w:tr>
        <w:trPr>
          <w:trHeight w:val="234"/>
        </w:trPr>
        <w:tc>
          <w:tcPr>
            <w:tcW w:w="480" w:type="dxa"/>
            <w:vAlign w:val="bottom"/>
          </w:tcPr>
          <w:p>
            <w:pPr>
              <w:spacing w:after="0"/>
              <w:rPr>
                <w:sz w:val="20"/>
                <w:szCs w:val="20"/>
                <w:color w:val="auto"/>
              </w:rPr>
            </w:pPr>
          </w:p>
        </w:tc>
        <w:tc>
          <w:tcPr>
            <w:tcW w:w="106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Report on Form 8-K (File No. 1-7819) and incorporated herein by reference.</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40" w:hanging="942"/>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Wilmer Cutler Pickering Hale and Dorr LLP, counsel to the Registrant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Consent of Wilmer Cutler Pickering Hale and Dorr LLP (included in Exhibit 5)</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0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Consent of Ernst &amp; Young LLP</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0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Power of attorney (included on the signature pages of this registration statement)</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7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Analog Devices, Inc. Amended and Restated 2006 Stock Incentive Plan, filed with the Commission on February 18, 2014 as Exhibit 10.1 to the</w:t>
            </w:r>
          </w:p>
        </w:tc>
      </w:tr>
      <w:tr>
        <w:trPr>
          <w:trHeight w:val="216"/>
        </w:trPr>
        <w:tc>
          <w:tcPr>
            <w:tcW w:w="680" w:type="dxa"/>
            <w:vAlign w:val="bottom"/>
          </w:tcPr>
          <w:p>
            <w:pPr>
              <w:spacing w:after="0"/>
              <w:rPr>
                <w:sz w:val="18"/>
                <w:szCs w:val="18"/>
                <w:color w:val="auto"/>
              </w:rPr>
            </w:pPr>
          </w:p>
        </w:tc>
        <w:tc>
          <w:tcPr>
            <w:tcW w:w="10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Registrant’s Quarterly Report on Form 10-Q for the fiscal quarter ended February 1, 2014 (File No. 1-7819) and incorporated herein by</w:t>
            </w:r>
          </w:p>
        </w:tc>
      </w:tr>
      <w:tr>
        <w:trPr>
          <w:trHeight w:val="234"/>
        </w:trPr>
        <w:tc>
          <w:tcPr>
            <w:tcW w:w="680" w:type="dxa"/>
            <w:vAlign w:val="bottom"/>
          </w:tcPr>
          <w:p>
            <w:pPr>
              <w:spacing w:after="0"/>
              <w:rPr>
                <w:sz w:val="20"/>
                <w:szCs w:val="20"/>
                <w:color w:val="auto"/>
              </w:rPr>
            </w:pPr>
          </w:p>
        </w:tc>
        <w:tc>
          <w:tcPr>
            <w:tcW w:w="10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reference.</w:t>
            </w:r>
          </w:p>
        </w:tc>
      </w:tr>
    </w:tbl>
    <w:p>
      <w:pPr>
        <w:sectPr>
          <w:pgSz w:w="11900" w:h="16838" w:orient="portrait"/>
          <w:cols w:equalWidth="0" w:num="1">
            <w:col w:w="11380"/>
          </w:cols>
          <w:pgMar w:left="240" w:top="266" w:right="2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6145530</wp:posOffset>
            </wp:positionH>
            <wp:positionV relativeFrom="paragraph">
              <wp:posOffset>174625</wp:posOffset>
            </wp:positionV>
            <wp:extent cx="1106170"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0617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+1 617 526 6000 (t)</w:t>
      </w:r>
    </w:p>
    <w:p>
      <w:pPr>
        <w:ind w:left="10260"/>
        <w:spacing w:after="0" w:line="226" w:lineRule="auto"/>
        <w:rPr>
          <w:sz w:val="20"/>
          <w:szCs w:val="20"/>
          <w:color w:val="auto"/>
        </w:rPr>
      </w:pPr>
      <w:r>
        <w:rPr>
          <w:rFonts w:ascii="Times New Roman" w:cs="Times New Roman" w:eastAsia="Times New Roman" w:hAnsi="Times New Roman"/>
          <w:sz w:val="14"/>
          <w:szCs w:val="14"/>
          <w:color w:val="auto"/>
        </w:rPr>
        <w:t>+1 617 526 5000 (f)</w:t>
      </w:r>
    </w:p>
    <w:p>
      <w:pPr>
        <w:spacing w:after="0" w:line="1"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4"/>
          <w:szCs w:val="14"/>
          <w:color w:val="auto"/>
        </w:rPr>
        <w:t>wilmerhale.com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Norwood, MA 02062-9106</w:t>
      </w:r>
    </w:p>
    <w:p>
      <w:pPr>
        <w:spacing w:after="0" w:line="234"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Analog Devices, Inc. Amended and Restated 2006 Stock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have assisted in the preparation of a Registration Statement on Form S-8 (the “Registration Statement”) to be filed with the Securities and Exchange Commission (the “Commission”) under the Securities Act of 1933, as amended (the “Securities Act”), relating to an aggregate of 19,000,000 shares of common stock, $0.16 2/3 par value per share (the “Shares”), of Analog Devices, Inc., a Massachusetts corporation (the “Company”), issuable under the Company’s Amended and Restated 2006 Stock Incentive Plan (the “Plan”).</w:t>
      </w:r>
    </w:p>
    <w:p>
      <w:pPr>
        <w:spacing w:after="0" w:line="180"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We have examined the Articles of Organization and By-Laws of the Company, each as amended and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176"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76"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We assume that the appropriate action will be taken, prior to the offer and sale of the Shares in accordance with the Plan, to register and qualify the Shares for sale under all applicable state securities or “blue sky” laws.</w:t>
      </w:r>
    </w:p>
    <w:p>
      <w:pPr>
        <w:spacing w:after="0" w:line="162"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We express no opinion herein as to the laws of any state or jurisdiction other than the state laws of The Commonwealth of Massachusetts and the federal laws of the United States of America.</w:t>
      </w:r>
    </w:p>
    <w:p>
      <w:pPr>
        <w:sectPr>
          <w:pgSz w:w="11900" w:h="16838" w:orient="portrait"/>
          <w:cols w:equalWidth="0" w:num="1">
            <w:col w:w="11420"/>
          </w:cols>
          <w:pgMar w:left="240" w:top="117"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6297930</wp:posOffset>
            </wp:positionH>
            <wp:positionV relativeFrom="page">
              <wp:posOffset>183515</wp:posOffset>
            </wp:positionV>
            <wp:extent cx="110617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06170" cy="222885"/>
                    </a:xfrm>
                    <a:prstGeom prst="rect">
                      <a:avLst/>
                    </a:prstGeom>
                    <a:noFill/>
                  </pic:spPr>
                </pic:pic>
              </a:graphicData>
            </a:graphic>
          </wp:anchor>
        </w:drawing>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 is understood that this opinion is to be used only in connection with the offer and sale of the Shares while the Registration Statement is in effect.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w:t>
      </w:r>
    </w:p>
    <w:p>
      <w:pPr>
        <w:spacing w:after="0" w:line="225"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WILMER CUTLER PICKERING HALE AND</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 xml:space="preserve">DORR </w:t>
      </w:r>
      <w:r>
        <w:rPr>
          <w:rFonts w:ascii="Times New Roman" w:cs="Times New Roman" w:eastAsia="Times New Roman" w:hAnsi="Times New Roman"/>
          <w:sz w:val="15"/>
          <w:szCs w:val="15"/>
          <w:color w:val="auto"/>
        </w:rPr>
        <w:t>LLP</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Jason L. Kropp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Jason L. Kropp, Partner</w:t>
      </w:r>
    </w:p>
    <w:p>
      <w:pPr>
        <w:sectPr>
          <w:pgSz w:w="11900" w:h="16838" w:orient="portrait"/>
          <w:cols w:equalWidth="0" w:num="1">
            <w:col w:w="11380"/>
          </w:cols>
          <w:pgMar w:left="240" w:top="837" w:right="2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Amended and Restated 2006 Stock Incentive Plan of Analog Devices, Inc. of our reports dated November 26, 2013, with respect to the consolidated financial statements and schedule of Analog Devices, Inc., and the effectiveness of internal control over financial reporting of Analog Devices, Inc., included in its Annual Report (Form 10-K) for the year ended November 2, 2013,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2014</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5"/>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2019-12-05T03:09:34Z</dcterms:created>
  <dcterms:modified xsi:type="dcterms:W3CDTF">2019-12-05T03:09:34Z</dcterms:modified>
</cp:coreProperties>
</file>