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5"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2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-649605</wp:posOffset>
            </wp:positionV>
            <wp:extent cx="59690" cy="66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294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-649605</wp:posOffset>
            </wp:positionV>
            <wp:extent cx="59690" cy="662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294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6746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74624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69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Brennan Seamus M.</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9106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ANALOG DEVICES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ADI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12/17/2012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hanging="4"/>
        <w:spacing w:after="0" w:line="254"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4"/>
        <w:spacing w:after="0"/>
        <w:rPr>
          <w:sz w:val="20"/>
          <w:szCs w:val="20"/>
          <w:color w:val="auto"/>
        </w:rPr>
      </w:pPr>
      <w:r>
        <w:rPr>
          <w:rFonts w:ascii="Arial" w:cs="Arial" w:eastAsia="Arial" w:hAnsi="Arial"/>
          <w:sz w:val="17"/>
          <w:szCs w:val="17"/>
          <w:color w:val="0000FF"/>
        </w:rPr>
        <w:t>VP, Chief Accounting Officer</w:t>
      </w:r>
    </w:p>
    <w:p>
      <w:pPr>
        <w:spacing w:after="0" w:line="205" w:lineRule="exact"/>
        <w:rPr>
          <w:sz w:val="24"/>
          <w:szCs w:val="24"/>
          <w:color w:val="auto"/>
        </w:rPr>
      </w:pPr>
    </w:p>
    <w:p>
      <w:pPr>
        <w:sectPr>
          <w:pgSz w:w="11900" w:h="16838" w:orient="portrait"/>
          <w:cols w:equalWidth="0" w:num="3">
            <w:col w:w="3340" w:space="720"/>
            <w:col w:w="3256" w:space="720"/>
            <w:col w:w="3484"/>
          </w:cols>
          <w:pgMar w:left="240" w:top="225" w:right="139" w:bottom="693" w:gutter="0" w:footer="0" w:header="0"/>
          <w:type w:val="continuous"/>
        </w:sectPr>
      </w:pPr>
    </w:p>
    <w:p>
      <w:pPr>
        <w:ind w:left="120"/>
        <w:spacing w:after="0"/>
        <w:rPr>
          <w:sz w:val="20"/>
          <w:szCs w:val="20"/>
          <w:color w:val="auto"/>
        </w:rPr>
      </w:pPr>
      <w:r>
        <w:rPr>
          <w:rFonts w:ascii="Arial" w:cs="Arial" w:eastAsia="Arial" w:hAnsi="Arial"/>
          <w:sz w:val="17"/>
          <w:szCs w:val="17"/>
          <w:color w:val="0000FF"/>
        </w:rPr>
        <w:t>ONE TECHNOLOGY WAY</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382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00" w:type="dxa"/>
            <w:vAlign w:val="bottom"/>
            <w:gridSpan w:val="5"/>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ind w:left="320"/>
              <w:spacing w:after="0"/>
              <w:rPr>
                <w:sz w:val="20"/>
                <w:szCs w:val="20"/>
                <w:color w:val="auto"/>
              </w:rPr>
            </w:pPr>
            <w:r>
              <w:rPr>
                <w:rFonts w:ascii="Arial" w:cs="Arial" w:eastAsia="Arial" w:hAnsi="Arial"/>
                <w:sz w:val="13"/>
                <w:szCs w:val="13"/>
                <w:color w:val="auto"/>
              </w:rPr>
              <w:t>Line)</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700" w:type="dxa"/>
            <w:vAlign w:val="bottom"/>
            <w:gridSpan w:val="5"/>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NORWOOD</w:t>
            </w:r>
          </w:p>
        </w:tc>
        <w:tc>
          <w:tcPr>
            <w:tcW w:w="1020" w:type="dxa"/>
            <w:vAlign w:val="bottom"/>
            <w:vMerge w:val="restart"/>
          </w:tcPr>
          <w:p>
            <w:pPr>
              <w:ind w:left="180"/>
              <w:spacing w:after="0"/>
              <w:rPr>
                <w:sz w:val="20"/>
                <w:szCs w:val="20"/>
                <w:color w:val="auto"/>
              </w:rPr>
            </w:pPr>
            <w:r>
              <w:rPr>
                <w:rFonts w:ascii="Arial" w:cs="Arial" w:eastAsia="Arial" w:hAnsi="Arial"/>
                <w:sz w:val="17"/>
                <w:szCs w:val="17"/>
                <w:color w:val="0000FF"/>
              </w:rPr>
              <w:t>MA</w:t>
            </w:r>
          </w:p>
        </w:tc>
        <w:tc>
          <w:tcPr>
            <w:tcW w:w="1660" w:type="dxa"/>
            <w:vAlign w:val="bottom"/>
            <w:vMerge w:val="restart"/>
          </w:tcPr>
          <w:p>
            <w:pPr>
              <w:ind w:left="420"/>
              <w:spacing w:after="0"/>
              <w:rPr>
                <w:sz w:val="20"/>
                <w:szCs w:val="20"/>
                <w:color w:val="auto"/>
              </w:rPr>
            </w:pPr>
            <w:r>
              <w:rPr>
                <w:rFonts w:ascii="Arial" w:cs="Arial" w:eastAsia="Arial" w:hAnsi="Arial"/>
                <w:sz w:val="17"/>
                <w:szCs w:val="17"/>
                <w:color w:val="0000FF"/>
              </w:rPr>
              <w:t>02062-9106</w:t>
            </w:r>
          </w:p>
        </w:tc>
        <w:tc>
          <w:tcPr>
            <w:tcW w:w="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0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9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96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6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020" w:type="dxa"/>
            <w:vAlign w:val="bottom"/>
            <w:vMerge w:val="restart"/>
          </w:tcPr>
          <w:p>
            <w:pPr>
              <w:ind w:left="180"/>
              <w:spacing w:after="0"/>
              <w:rPr>
                <w:sz w:val="20"/>
                <w:szCs w:val="20"/>
                <w:color w:val="auto"/>
              </w:rPr>
            </w:pPr>
            <w:r>
              <w:rPr>
                <w:rFonts w:ascii="Arial" w:cs="Arial" w:eastAsia="Arial" w:hAnsi="Arial"/>
                <w:sz w:val="13"/>
                <w:szCs w:val="13"/>
                <w:color w:val="auto"/>
              </w:rPr>
              <w:t>(State)</w:t>
            </w:r>
          </w:p>
        </w:tc>
        <w:tc>
          <w:tcPr>
            <w:tcW w:w="2240" w:type="dxa"/>
            <w:vAlign w:val="bottom"/>
            <w:gridSpan w:val="2"/>
            <w:vMerge w:val="restart"/>
          </w:tcPr>
          <w:p>
            <w:pPr>
              <w:ind w:left="42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224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57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0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tcPr>
          <w:p>
            <w:pPr>
              <w:spacing w:after="0"/>
              <w:rPr>
                <w:sz w:val="21"/>
                <w:szCs w:val="21"/>
                <w:color w:val="auto"/>
              </w:rPr>
            </w:pPr>
          </w:p>
        </w:tc>
        <w:tc>
          <w:tcPr>
            <w:tcW w:w="7380" w:type="dxa"/>
            <w:vAlign w:val="bottom"/>
            <w:tcBorders>
              <w:top w:val="single" w:sz="8" w:color="2C2C2C"/>
            </w:tcBorders>
            <w:gridSpan w:val="8"/>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220" w:type="dxa"/>
            <w:vAlign w:val="bottom"/>
            <w:tcBorders>
              <w:bottom w:val="single" w:sz="8" w:color="2C2C2C"/>
            </w:tcBorders>
            <w:gridSpan w:val="3"/>
          </w:tcPr>
          <w:p>
            <w:pPr>
              <w:spacing w:after="0"/>
              <w:rPr>
                <w:sz w:val="4"/>
                <w:szCs w:val="4"/>
                <w:color w:val="auto"/>
              </w:rPr>
            </w:pPr>
          </w:p>
        </w:tc>
        <w:tc>
          <w:tcPr>
            <w:tcW w:w="22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40" w:type="dxa"/>
            <w:vAlign w:val="bottom"/>
            <w:gridSpan w:val="2"/>
          </w:tcPr>
          <w:p>
            <w:pPr>
              <w:ind w:left="11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40" w:type="dxa"/>
            <w:vAlign w:val="bottom"/>
            <w:gridSpan w:val="2"/>
          </w:tcPr>
          <w:p>
            <w:pPr>
              <w:ind w:left="118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40" w:type="dxa"/>
            <w:vAlign w:val="bottom"/>
            <w:gridSpan w:val="2"/>
          </w:tcPr>
          <w:p>
            <w:pPr>
              <w:ind w:left="11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gridSpan w:val="2"/>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220" w:type="dxa"/>
            <w:vAlign w:val="bottom"/>
            <w:tcBorders>
              <w:bottom w:val="single" w:sz="8" w:color="2C2C2C"/>
            </w:tcBorders>
            <w:gridSpan w:val="3"/>
          </w:tcPr>
          <w:p>
            <w:pPr>
              <w:spacing w:after="0"/>
              <w:rPr>
                <w:sz w:val="4"/>
                <w:szCs w:val="4"/>
                <w:color w:val="auto"/>
              </w:rPr>
            </w:pPr>
          </w:p>
        </w:tc>
        <w:tc>
          <w:tcPr>
            <w:tcW w:w="22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220" w:type="dxa"/>
            <w:vAlign w:val="bottom"/>
            <w:gridSpan w:val="3"/>
          </w:tcPr>
          <w:p>
            <w:pPr>
              <w:ind w:left="60"/>
              <w:spacing w:after="0"/>
              <w:rPr>
                <w:sz w:val="20"/>
                <w:szCs w:val="20"/>
                <w:color w:val="auto"/>
              </w:rPr>
            </w:pPr>
            <w:r>
              <w:rPr>
                <w:rFonts w:ascii="Arial" w:cs="Arial" w:eastAsia="Arial" w:hAnsi="Arial"/>
                <w:sz w:val="17"/>
                <w:szCs w:val="17"/>
                <w:color w:val="0000FF"/>
              </w:rPr>
              <w:t>Comm Stock-$.16-2/3 value</w:t>
            </w:r>
          </w:p>
        </w:tc>
        <w:tc>
          <w:tcPr>
            <w:tcW w:w="2240" w:type="dxa"/>
            <w:vAlign w:val="bottom"/>
            <w:gridSpan w:val="2"/>
          </w:tcPr>
          <w:p>
            <w:pPr>
              <w:jc w:val="right"/>
              <w:ind w:right="93"/>
              <w:spacing w:after="0"/>
              <w:rPr>
                <w:sz w:val="20"/>
                <w:szCs w:val="20"/>
                <w:color w:val="auto"/>
              </w:rPr>
            </w:pPr>
            <w:r>
              <w:rPr>
                <w:rFonts w:ascii="Arial" w:cs="Arial" w:eastAsia="Arial" w:hAnsi="Arial"/>
                <w:sz w:val="17"/>
                <w:szCs w:val="17"/>
                <w:color w:val="0000FF"/>
              </w:rPr>
              <w:t>12/17/2012</w:t>
            </w:r>
          </w:p>
        </w:tc>
        <w:tc>
          <w:tcPr>
            <w:tcW w:w="112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right"/>
              <w:ind w:right="69"/>
              <w:spacing w:after="0"/>
              <w:rPr>
                <w:sz w:val="20"/>
                <w:szCs w:val="20"/>
                <w:color w:val="auto"/>
              </w:rPr>
            </w:pPr>
            <w:r>
              <w:rPr>
                <w:rFonts w:ascii="Arial" w:cs="Arial" w:eastAsia="Arial" w:hAnsi="Arial"/>
                <w:sz w:val="17"/>
                <w:szCs w:val="17"/>
                <w:color w:val="0000FF"/>
              </w:rPr>
              <w:t>2,000</w:t>
            </w:r>
          </w:p>
        </w:tc>
        <w:tc>
          <w:tcPr>
            <w:tcW w:w="560" w:type="dxa"/>
            <w:vAlign w:val="bottom"/>
          </w:tcPr>
          <w:p>
            <w:pPr>
              <w:ind w:left="280"/>
              <w:spacing w:after="0"/>
              <w:rPr>
                <w:sz w:val="20"/>
                <w:szCs w:val="20"/>
                <w:color w:val="auto"/>
              </w:rPr>
            </w:pPr>
            <w:r>
              <w:rPr>
                <w:rFonts w:ascii="Arial" w:cs="Arial" w:eastAsia="Arial" w:hAnsi="Arial"/>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0.0000</w:t>
            </w:r>
          </w:p>
        </w:tc>
        <w:tc>
          <w:tcPr>
            <w:tcW w:w="1160" w:type="dxa"/>
            <w:vAlign w:val="bottom"/>
          </w:tcPr>
          <w:p>
            <w:pPr>
              <w:jc w:val="center"/>
              <w:spacing w:after="0"/>
              <w:rPr>
                <w:sz w:val="20"/>
                <w:szCs w:val="20"/>
                <w:color w:val="auto"/>
              </w:rPr>
            </w:pPr>
            <w:r>
              <w:rPr>
                <w:rFonts w:ascii="Arial" w:cs="Arial" w:eastAsia="Arial" w:hAnsi="Arial"/>
                <w:sz w:val="17"/>
                <w:szCs w:val="17"/>
                <w:color w:val="0000FF"/>
                <w:w w:val="88"/>
              </w:rPr>
              <w:t>11,665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220" w:type="dxa"/>
            <w:vAlign w:val="bottom"/>
            <w:tcBorders>
              <w:bottom w:val="single" w:sz="8" w:color="2C2C2C"/>
            </w:tcBorders>
            <w:gridSpan w:val="3"/>
          </w:tcPr>
          <w:p>
            <w:pPr>
              <w:spacing w:after="0"/>
              <w:rPr>
                <w:sz w:val="5"/>
                <w:szCs w:val="5"/>
                <w:color w:val="auto"/>
              </w:rPr>
            </w:pPr>
          </w:p>
        </w:tc>
        <w:tc>
          <w:tcPr>
            <w:tcW w:w="224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220" w:type="dxa"/>
            <w:vAlign w:val="bottom"/>
            <w:gridSpan w:val="3"/>
          </w:tcPr>
          <w:p>
            <w:pPr>
              <w:ind w:left="60"/>
              <w:spacing w:after="0"/>
              <w:rPr>
                <w:sz w:val="20"/>
                <w:szCs w:val="20"/>
                <w:color w:val="auto"/>
              </w:rPr>
            </w:pPr>
            <w:r>
              <w:rPr>
                <w:rFonts w:ascii="Arial" w:cs="Arial" w:eastAsia="Arial" w:hAnsi="Arial"/>
                <w:sz w:val="17"/>
                <w:szCs w:val="17"/>
                <w:color w:val="0000FF"/>
              </w:rPr>
              <w:t>Comm Stock-$.16-2/3 value</w:t>
            </w:r>
          </w:p>
        </w:tc>
        <w:tc>
          <w:tcPr>
            <w:tcW w:w="2240" w:type="dxa"/>
            <w:vAlign w:val="bottom"/>
            <w:gridSpan w:val="2"/>
          </w:tcPr>
          <w:p>
            <w:pPr>
              <w:jc w:val="right"/>
              <w:ind w:right="93"/>
              <w:spacing w:after="0"/>
              <w:rPr>
                <w:sz w:val="20"/>
                <w:szCs w:val="20"/>
                <w:color w:val="auto"/>
              </w:rPr>
            </w:pPr>
            <w:r>
              <w:rPr>
                <w:rFonts w:ascii="Arial" w:cs="Arial" w:eastAsia="Arial" w:hAnsi="Arial"/>
                <w:sz w:val="17"/>
                <w:szCs w:val="17"/>
                <w:color w:val="0000FF"/>
              </w:rPr>
              <w:t>12/17/2012</w:t>
            </w:r>
          </w:p>
        </w:tc>
        <w:tc>
          <w:tcPr>
            <w:tcW w:w="11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760" w:type="dxa"/>
            <w:vAlign w:val="bottom"/>
          </w:tcPr>
          <w:p>
            <w:pPr>
              <w:jc w:val="right"/>
              <w:ind w:right="69"/>
              <w:spacing w:after="0"/>
              <w:rPr>
                <w:sz w:val="20"/>
                <w:szCs w:val="20"/>
                <w:color w:val="auto"/>
              </w:rPr>
            </w:pPr>
            <w:r>
              <w:rPr>
                <w:rFonts w:ascii="Arial" w:cs="Arial" w:eastAsia="Arial" w:hAnsi="Arial"/>
                <w:sz w:val="17"/>
                <w:szCs w:val="17"/>
                <w:color w:val="0000FF"/>
              </w:rPr>
              <w:t>1,040</w:t>
            </w:r>
          </w:p>
        </w:tc>
        <w:tc>
          <w:tcPr>
            <w:tcW w:w="560" w:type="dxa"/>
            <w:vAlign w:val="bottom"/>
          </w:tcPr>
          <w:p>
            <w:pPr>
              <w:ind w:left="280"/>
              <w:spacing w:after="0"/>
              <w:rPr>
                <w:sz w:val="20"/>
                <w:szCs w:val="20"/>
                <w:color w:val="auto"/>
              </w:rPr>
            </w:pPr>
            <w:r>
              <w:rPr>
                <w:rFonts w:ascii="Arial" w:cs="Arial" w:eastAsia="Arial" w:hAnsi="Arial"/>
                <w:sz w:val="17"/>
                <w:szCs w:val="17"/>
                <w:color w:val="0000FF"/>
              </w:rPr>
              <w:t>D</w:t>
            </w:r>
          </w:p>
        </w:tc>
        <w:tc>
          <w:tcPr>
            <w:tcW w:w="740" w:type="dxa"/>
            <w:vAlign w:val="bottom"/>
          </w:tcPr>
          <w:p>
            <w:pPr>
              <w:jc w:val="center"/>
              <w:ind w:righ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41.55</w:t>
            </w: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10,625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By Trust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 Stock-$.16-2/3 value</w:t>
            </w: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91"/>
              </w:rPr>
              <w:t>748</w:t>
            </w:r>
          </w:p>
        </w:tc>
        <w:tc>
          <w:tcPr>
            <w:tcW w:w="96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for the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1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7"/>
                <w:szCs w:val="17"/>
                <w:color w:val="0000FF"/>
              </w:rPr>
              <w:t>Benefit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of Son</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By Trust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for the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20" w:type="dxa"/>
            <w:vAlign w:val="bottom"/>
            <w:gridSpan w:val="3"/>
          </w:tcPr>
          <w:p>
            <w:pPr>
              <w:ind w:left="60"/>
              <w:spacing w:after="0"/>
              <w:rPr>
                <w:sz w:val="20"/>
                <w:szCs w:val="20"/>
                <w:color w:val="auto"/>
              </w:rPr>
            </w:pPr>
            <w:r>
              <w:rPr>
                <w:rFonts w:ascii="Arial" w:cs="Arial" w:eastAsia="Arial" w:hAnsi="Arial"/>
                <w:sz w:val="17"/>
                <w:szCs w:val="17"/>
                <w:color w:val="0000FF"/>
              </w:rPr>
              <w:t>Comm Stock-$.16-2/3 value</w:t>
            </w: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89"/>
              </w:rPr>
              <w:t>1,723</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Benefit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of</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Spouse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166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of Securities</w:t>
            </w:r>
          </w:p>
        </w:tc>
        <w:tc>
          <w:tcPr>
            <w:tcW w:w="56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56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800" w:type="dxa"/>
            <w:vAlign w:val="bottom"/>
          </w:tcPr>
          <w:p>
            <w:pPr>
              <w:ind w:left="200"/>
              <w:spacing w:after="0"/>
              <w:rPr>
                <w:sz w:val="20"/>
                <w:szCs w:val="20"/>
                <w:color w:val="auto"/>
              </w:rPr>
            </w:pPr>
            <w:r>
              <w:rPr>
                <w:rFonts w:ascii="Arial" w:cs="Arial" w:eastAsia="Arial" w:hAnsi="Arial"/>
                <w:sz w:val="13"/>
                <w:szCs w:val="13"/>
                <w:color w:val="0000FF"/>
              </w:rPr>
              <w:t>Comm</w:t>
            </w: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2,000</w:t>
            </w:r>
          </w:p>
        </w:tc>
        <w:tc>
          <w:tcPr>
            <w:tcW w:w="720" w:type="dxa"/>
            <w:vAlign w:val="bottom"/>
          </w:tcPr>
          <w:p>
            <w:pPr>
              <w:spacing w:after="0"/>
              <w:rPr>
                <w:sz w:val="16"/>
                <w:szCs w:val="16"/>
                <w:color w:val="auto"/>
              </w:rPr>
            </w:pPr>
          </w:p>
        </w:tc>
        <w:tc>
          <w:tcPr>
            <w:tcW w:w="960" w:type="dxa"/>
            <w:vAlign w:val="bottom"/>
            <w:vMerge w:val="restart"/>
          </w:tcPr>
          <w:p>
            <w:pPr>
              <w:ind w:left="280"/>
              <w:spacing w:after="0"/>
              <w:rPr>
                <w:sz w:val="20"/>
                <w:szCs w:val="20"/>
                <w:color w:val="auto"/>
              </w:rPr>
            </w:pPr>
            <w:r>
              <w:rPr>
                <w:rFonts w:ascii="Arial" w:cs="Arial" w:eastAsia="Arial" w:hAnsi="Arial"/>
                <w:sz w:val="13"/>
                <w:szCs w:val="13"/>
                <w:color w:val="0000FF"/>
              </w:rPr>
              <w:t>4,025</w:t>
            </w:r>
            <w:r>
              <w:rPr>
                <w:rFonts w:ascii="Arial" w:cs="Arial" w:eastAsia="Arial" w:hAnsi="Arial"/>
                <w:sz w:val="22"/>
                <w:szCs w:val="22"/>
                <w:color w:val="008000"/>
                <w:vertAlign w:val="superscript"/>
              </w:rPr>
              <w:t>(3)</w:t>
            </w: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 Unit</w:t>
            </w:r>
          </w:p>
        </w:tc>
        <w:tc>
          <w:tcPr>
            <w:tcW w:w="800" w:type="dxa"/>
            <w:vAlign w:val="bottom"/>
            <w:vMerge w:val="continue"/>
          </w:tcPr>
          <w:p>
            <w:pPr>
              <w:spacing w:after="0"/>
              <w:rPr>
                <w:sz w:val="12"/>
                <w:szCs w:val="12"/>
                <w:color w:val="auto"/>
              </w:rPr>
            </w:pPr>
          </w:p>
        </w:tc>
        <w:tc>
          <w:tcPr>
            <w:tcW w:w="1120" w:type="dxa"/>
            <w:vAlign w:val="bottom"/>
          </w:tcPr>
          <w:p>
            <w:pPr>
              <w:jc w:val="right"/>
              <w:ind w:right="178"/>
              <w:spacing w:after="0" w:line="148" w:lineRule="exact"/>
              <w:rPr>
                <w:sz w:val="20"/>
                <w:szCs w:val="20"/>
                <w:color w:val="auto"/>
              </w:rPr>
            </w:pPr>
            <w:r>
              <w:rPr>
                <w:rFonts w:ascii="Arial" w:cs="Arial" w:eastAsia="Arial" w:hAnsi="Arial"/>
                <w:sz w:val="13"/>
                <w:szCs w:val="13"/>
                <w:color w:val="0000FF"/>
              </w:rPr>
              <w:t>12/17/2012</w:t>
            </w:r>
          </w:p>
        </w:tc>
        <w:tc>
          <w:tcPr>
            <w:tcW w:w="1140" w:type="dxa"/>
            <w:vAlign w:val="bottom"/>
          </w:tcPr>
          <w:p>
            <w:pPr>
              <w:spacing w:after="0"/>
              <w:rPr>
                <w:sz w:val="12"/>
                <w:szCs w:val="12"/>
                <w:color w:val="auto"/>
              </w:rPr>
            </w:pPr>
          </w:p>
        </w:tc>
        <w:tc>
          <w:tcPr>
            <w:tcW w:w="820" w:type="dxa"/>
            <w:vAlign w:val="bottom"/>
          </w:tcPr>
          <w:p>
            <w:pPr>
              <w:ind w:left="160"/>
              <w:spacing w:after="0" w:line="148" w:lineRule="exact"/>
              <w:rPr>
                <w:sz w:val="20"/>
                <w:szCs w:val="20"/>
                <w:color w:val="auto"/>
              </w:rPr>
            </w:pPr>
            <w:r>
              <w:rPr>
                <w:rFonts w:ascii="Arial" w:cs="Arial" w:eastAsia="Arial" w:hAnsi="Arial"/>
                <w:sz w:val="13"/>
                <w:szCs w:val="13"/>
                <w:color w:val="0000FF"/>
              </w:rPr>
              <w:t>M</w:t>
            </w:r>
          </w:p>
        </w:tc>
        <w:tc>
          <w:tcPr>
            <w:tcW w:w="760" w:type="dxa"/>
            <w:vAlign w:val="bottom"/>
          </w:tcPr>
          <w:p>
            <w:pPr>
              <w:ind w:left="400"/>
              <w:spacing w:after="0" w:line="148" w:lineRule="exact"/>
              <w:rPr>
                <w:sz w:val="20"/>
                <w:szCs w:val="20"/>
                <w:color w:val="auto"/>
              </w:rPr>
            </w:pPr>
            <w:r>
              <w:rPr>
                <w:rFonts w:ascii="Arial" w:cs="Arial" w:eastAsia="Arial" w:hAnsi="Arial"/>
                <w:sz w:val="13"/>
                <w:szCs w:val="13"/>
                <w:color w:val="0000FF"/>
              </w:rPr>
              <w:t>2,000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800" w:type="dxa"/>
            <w:vAlign w:val="bottom"/>
          </w:tcPr>
          <w:p>
            <w:pPr>
              <w:ind w:left="60"/>
              <w:spacing w:after="0" w:line="148" w:lineRule="exact"/>
              <w:rPr>
                <w:sz w:val="20"/>
                <w:szCs w:val="20"/>
                <w:color w:val="auto"/>
              </w:rPr>
            </w:pPr>
            <w:r>
              <w:rPr>
                <w:rFonts w:ascii="Arial" w:cs="Arial" w:eastAsia="Arial" w:hAnsi="Arial"/>
                <w:sz w:val="13"/>
                <w:szCs w:val="13"/>
                <w:color w:val="0000FF"/>
              </w:rPr>
              <w:t>Stock-$.16-</w:t>
            </w:r>
          </w:p>
        </w:tc>
        <w:tc>
          <w:tcPr>
            <w:tcW w:w="560" w:type="dxa"/>
            <w:vAlign w:val="bottom"/>
            <w:vMerge w:val="continue"/>
          </w:tcPr>
          <w:p>
            <w:pPr>
              <w:spacing w:after="0"/>
              <w:rPr>
                <w:sz w:val="12"/>
                <w:szCs w:val="12"/>
                <w:color w:val="auto"/>
              </w:rPr>
            </w:pPr>
          </w:p>
        </w:tc>
        <w:tc>
          <w:tcPr>
            <w:tcW w:w="720" w:type="dxa"/>
            <w:vAlign w:val="bottom"/>
          </w:tcPr>
          <w:p>
            <w:pPr>
              <w:ind w:left="1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60" w:type="dxa"/>
            <w:vAlign w:val="bottom"/>
            <w:vMerge w:val="continue"/>
          </w:tcPr>
          <w:p>
            <w:pPr>
              <w:spacing w:after="0"/>
              <w:rPr>
                <w:sz w:val="12"/>
                <w:szCs w:val="12"/>
                <w:color w:val="auto"/>
              </w:rPr>
            </w:pP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(RSU)</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3"/>
                <w:szCs w:val="13"/>
                <w:color w:val="0000FF"/>
              </w:rPr>
              <w:t>2/3 value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2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Upon the vesting date, each vested RSU shall automatically convert into one (1) share of common stock of the Company. Notwithstanding, the Company may elect, in its sole discretion, to deliver cash in lieu of each share of common stock, in an amount equal to the closing price of the common stock on the vesting date.</w:t>
      </w:r>
    </w:p>
    <w:p>
      <w:pPr>
        <w:spacing w:after="0" w:line="10" w:lineRule="exact"/>
        <w:rPr>
          <w:rFonts w:ascii="Arial" w:cs="Arial" w:eastAsia="Arial" w:hAnsi="Arial"/>
          <w:sz w:val="13"/>
          <w:szCs w:val="13"/>
          <w:color w:val="008000"/>
        </w:rPr>
      </w:pPr>
    </w:p>
    <w:p>
      <w:pPr>
        <w:ind w:left="40" w:right="34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granted to the Reporting Person on December 15, 2008 (the "Original Grant Date") vest 60% on the third anniversary and 20% on each of the fourth and fifth anniversaries of the Original Grant Date.</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total includes 2,025 Restricted Stock Units granted to the reporting person on January 5, 2010 with similar material terms.</w:t>
      </w:r>
    </w:p>
    <w:p>
      <w:pPr>
        <w:spacing w:after="0" w:line="8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Kevin P. Lanouette, Assistant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-7620</wp:posOffset>
            </wp:positionV>
            <wp:extent cx="13036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12/19/2012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-12065</wp:posOffset>
            </wp:positionV>
            <wp:extent cx="1956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643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-12065</wp:posOffset>
            </wp:positionV>
            <wp:extent cx="392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2430" cy="8255"/>
                    </a:xfrm>
                    <a:prstGeom prst="rect">
                      <a:avLst/>
                    </a:prstGeom>
                    <a:noFill/>
                  </pic:spPr>
                </pic:pic>
              </a:graphicData>
            </a:graphic>
          </wp:anchor>
        </w:drawing>
      </w:r>
    </w:p>
    <w:p>
      <w:pPr>
        <w:spacing w:after="0" w:line="5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6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51649"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2019-12-18T08:48:51Z</dcterms:created>
  <dcterms:modified xsi:type="dcterms:W3CDTF">2019-12-18T08:48:51Z</dcterms:modified>
</cp:coreProperties>
</file>