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620395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534670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158750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7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152400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August 3, 2013</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860" w:type="dxa"/>
        <w:tblCellMar>
          <w:top w:w="0" w:type="dxa"/>
          <w:left w:w="0" w:type="dxa"/>
          <w:bottom w:w="0" w:type="dxa"/>
          <w:right w:w="0" w:type="dxa"/>
        </w:tblCellMar>
      </w:tblPr>
      <w:tr>
        <w:trPr>
          <w:trHeight w:val="204"/>
        </w:trPr>
        <w:tc>
          <w:tcPr>
            <w:tcW w:w="5360" w:type="dxa"/>
            <w:vAlign w:val="bottom"/>
            <w:gridSpan w:val="2"/>
          </w:tcPr>
          <w:p>
            <w:pPr>
              <w:ind w:left="3040"/>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line="204" w:lineRule="exact"/>
              <w:rPr>
                <w:sz w:val="20"/>
                <w:szCs w:val="20"/>
                <w:color w:val="auto"/>
              </w:rPr>
            </w:pPr>
            <w:r>
              <w:rPr>
                <w:rFonts w:ascii="Arial" w:cs="Arial" w:eastAsia="Arial" w:hAnsi="Arial"/>
                <w:sz w:val="18"/>
                <w:szCs w:val="18"/>
                <w:b w:val="1"/>
                <w:bCs w:val="1"/>
                <w:color w:val="auto"/>
                <w:w w:val="82"/>
              </w:rPr>
              <w:t>to</w:t>
            </w:r>
          </w:p>
        </w:tc>
        <w:tc>
          <w:tcPr>
            <w:tcW w:w="580" w:type="dxa"/>
            <w:vAlign w:val="bottom"/>
            <w:tcBorders>
              <w:bottom w:val="single" w:sz="8" w:color="auto"/>
            </w:tcBorders>
            <w:gridSpan w:val="2"/>
          </w:tcPr>
          <w:p>
            <w:pPr>
              <w:spacing w:after="0"/>
              <w:rPr>
                <w:sz w:val="17"/>
                <w:szCs w:val="17"/>
                <w:color w:val="auto"/>
              </w:rPr>
            </w:pPr>
          </w:p>
        </w:tc>
        <w:tc>
          <w:tcPr>
            <w:tcW w:w="2640" w:type="dxa"/>
            <w:vAlign w:val="bottom"/>
          </w:tcPr>
          <w:p>
            <w:pPr>
              <w:spacing w:after="0"/>
              <w:rPr>
                <w:sz w:val="17"/>
                <w:szCs w:val="17"/>
                <w:color w:val="auto"/>
              </w:rPr>
            </w:pPr>
          </w:p>
        </w:tc>
      </w:tr>
      <w:tr>
        <w:trPr>
          <w:trHeight w:val="412"/>
        </w:trPr>
        <w:tc>
          <w:tcPr>
            <w:tcW w:w="3460" w:type="dxa"/>
            <w:vAlign w:val="bottom"/>
          </w:tcPr>
          <w:p>
            <w:pPr>
              <w:spacing w:after="0"/>
              <w:rPr>
                <w:sz w:val="24"/>
                <w:szCs w:val="24"/>
                <w:color w:val="auto"/>
              </w:rPr>
            </w:pPr>
          </w:p>
        </w:tc>
        <w:tc>
          <w:tcPr>
            <w:tcW w:w="24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9"/>
              </w:rPr>
              <w:t>Commission File No. 1-7819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57"/>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492"/>
        </w:trPr>
        <w:tc>
          <w:tcPr>
            <w:tcW w:w="9320" w:type="dxa"/>
            <w:vAlign w:val="bottom"/>
            <w:gridSpan w:val="7"/>
          </w:tcPr>
          <w:p>
            <w:pPr>
              <w:jc w:val="center"/>
              <w:ind w:left="285"/>
              <w:spacing w:after="0" w:line="491" w:lineRule="exact"/>
              <w:rPr>
                <w:sz w:val="20"/>
                <w:szCs w:val="20"/>
                <w:color w:val="auto"/>
              </w:rPr>
            </w:pPr>
            <w:r>
              <w:rPr>
                <w:rFonts w:ascii="Arial" w:cs="Arial" w:eastAsia="Arial" w:hAnsi="Arial"/>
                <w:sz w:val="43"/>
                <w:szCs w:val="43"/>
                <w:b w:val="1"/>
                <w:bCs w:val="1"/>
                <w:color w:val="auto"/>
                <w:w w:val="89"/>
              </w:rPr>
              <w:t>Analog Devices, Inc.</w:t>
            </w:r>
          </w:p>
        </w:tc>
      </w:tr>
      <w:tr>
        <w:trPr>
          <w:trHeight w:val="230"/>
        </w:trPr>
        <w:tc>
          <w:tcPr>
            <w:tcW w:w="9320" w:type="dxa"/>
            <w:vAlign w:val="bottom"/>
            <w:gridSpan w:val="7"/>
          </w:tcPr>
          <w:p>
            <w:pPr>
              <w:jc w:val="center"/>
              <w:ind w:left="265"/>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203"/>
        </w:trPr>
        <w:tc>
          <w:tcPr>
            <w:tcW w:w="346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93"/>
        </w:trPr>
        <w:tc>
          <w:tcPr>
            <w:tcW w:w="594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86"/>
              </w:rPr>
              <w:t>Massachusetts</w:t>
            </w:r>
          </w:p>
        </w:tc>
        <w:tc>
          <w:tcPr>
            <w:tcW w:w="338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89"/>
              </w:rPr>
              <w:t>04-2348234</w:t>
            </w:r>
          </w:p>
        </w:tc>
      </w:tr>
      <w:tr>
        <w:trPr>
          <w:trHeight w:val="218"/>
        </w:trPr>
        <w:tc>
          <w:tcPr>
            <w:tcW w:w="5940" w:type="dxa"/>
            <w:vAlign w:val="bottom"/>
            <w:gridSpan w:val="3"/>
          </w:tcPr>
          <w:p>
            <w:pPr>
              <w:jc w:val="center"/>
              <w:ind w:right="244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jc w:val="center"/>
              <w:ind w:left="50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90"/>
        </w:trPr>
        <w:tc>
          <w:tcPr>
            <w:tcW w:w="594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90"/>
              </w:rPr>
              <w:t>One Technology Way, Norwood, MA</w:t>
            </w:r>
          </w:p>
        </w:tc>
        <w:tc>
          <w:tcPr>
            <w:tcW w:w="338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89"/>
              </w:rPr>
              <w:t>02062-9106</w:t>
            </w:r>
          </w:p>
        </w:tc>
      </w:tr>
      <w:tr>
        <w:trPr>
          <w:trHeight w:val="218"/>
        </w:trPr>
        <w:tc>
          <w:tcPr>
            <w:tcW w:w="5940" w:type="dxa"/>
            <w:vAlign w:val="bottom"/>
            <w:gridSpan w:val="3"/>
          </w:tcPr>
          <w:p>
            <w:pPr>
              <w:jc w:val="center"/>
              <w:ind w:right="246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jc w:val="center"/>
              <w:ind w:left="508"/>
              <w:spacing w:after="0"/>
              <w:rPr>
                <w:sz w:val="20"/>
                <w:szCs w:val="20"/>
                <w:color w:val="auto"/>
              </w:rPr>
            </w:pPr>
            <w:r>
              <w:rPr>
                <w:rFonts w:ascii="Arial" w:cs="Arial" w:eastAsia="Arial" w:hAnsi="Arial"/>
                <w:sz w:val="14"/>
                <w:szCs w:val="14"/>
                <w:i w:val="1"/>
                <w:iCs w:val="1"/>
                <w:color w:val="auto"/>
                <w:w w:val="93"/>
              </w:rPr>
              <w:t>(Zip Code)</w:t>
            </w:r>
          </w:p>
        </w:tc>
      </w:tr>
      <w:tr>
        <w:trPr>
          <w:trHeight w:val="371"/>
        </w:trPr>
        <w:tc>
          <w:tcPr>
            <w:tcW w:w="5940" w:type="dxa"/>
            <w:vAlign w:val="bottom"/>
            <w:gridSpan w:val="3"/>
          </w:tcPr>
          <w:p>
            <w:pPr>
              <w:jc w:val="center"/>
              <w:ind w:left="3685"/>
              <w:spacing w:after="0"/>
              <w:rPr>
                <w:sz w:val="20"/>
                <w:szCs w:val="20"/>
                <w:color w:val="auto"/>
              </w:rPr>
            </w:pPr>
            <w:r>
              <w:rPr>
                <w:rFonts w:ascii="Arial" w:cs="Arial" w:eastAsia="Arial" w:hAnsi="Arial"/>
                <w:sz w:val="18"/>
                <w:szCs w:val="18"/>
                <w:b w:val="1"/>
                <w:bCs w:val="1"/>
                <w:color w:val="auto"/>
                <w:w w:val="90"/>
              </w:rPr>
              <w:t>(781) 329-4700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62"/>
        </w:trPr>
        <w:tc>
          <w:tcPr>
            <w:tcW w:w="9320" w:type="dxa"/>
            <w:vAlign w:val="bottom"/>
            <w:gridSpan w:val="7"/>
          </w:tcPr>
          <w:p>
            <w:pPr>
              <w:jc w:val="center"/>
              <w:ind w:left="285"/>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182"/>
        </w:trPr>
        <w:tc>
          <w:tcPr>
            <w:tcW w:w="9320" w:type="dxa"/>
            <w:vAlign w:val="bottom"/>
            <w:gridSpan w:val="7"/>
          </w:tcPr>
          <w:p>
            <w:pPr>
              <w:jc w:val="center"/>
              <w:ind w:left="285"/>
              <w:spacing w:after="0"/>
              <w:rPr>
                <w:sz w:val="20"/>
                <w:szCs w:val="20"/>
                <w:color w:val="auto"/>
              </w:rPr>
            </w:pPr>
            <w:r>
              <w:rPr>
                <w:rFonts w:ascii="Arial" w:cs="Arial" w:eastAsia="Arial" w:hAnsi="Arial"/>
                <w:sz w:val="14"/>
                <w:szCs w:val="14"/>
                <w:i w:val="1"/>
                <w:iCs w:val="1"/>
                <w:color w:val="auto"/>
                <w:w w:val="93"/>
              </w:rPr>
              <w:t>(Former name, former address and former fiscal year, if changed since last report)</w:t>
            </w:r>
          </w:p>
        </w:tc>
      </w:tr>
      <w:tr>
        <w:trPr>
          <w:trHeight w:val="255"/>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bl>
    <w:p>
      <w:pPr>
        <w:spacing w:after="0" w:line="36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240"/>
          </w:cols>
          <w:pgMar w:left="240" w:top="1017" w:right="419" w:bottom="1440" w:gutter="0" w:footer="0" w:header="0"/>
        </w:sectPr>
      </w:pP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920" w:space="720"/>
            <w:col w:w="4680" w:space="720"/>
            <w:col w:w="2220" w:space="720"/>
            <w:col w:w="260"/>
          </w:cols>
          <w:pgMar w:left="240" w:top="1017" w:right="41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920" w:space="720"/>
            <w:col w:w="160" w:space="100"/>
            <w:col w:w="4420" w:space="720"/>
            <w:col w:w="2220" w:space="720"/>
            <w:col w:w="260"/>
          </w:cols>
          <w:pgMar w:left="240" w:top="1017" w:right="419" w:bottom="1440" w:gutter="0" w:footer="0" w:header="0"/>
          <w:type w:val="continuous"/>
        </w:sectPr>
      </w:pPr>
    </w:p>
    <w:p>
      <w:pPr>
        <w:ind w:left="440" w:right="122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3, 2013 there were 310,692,734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240"/>
          </w:cols>
          <w:pgMar w:left="240" w:top="1017"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6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2013</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4, 2012</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2013</w:t>
            </w:r>
          </w:p>
        </w:tc>
        <w:tc>
          <w:tcPr>
            <w:tcW w:w="140" w:type="dxa"/>
            <w:vAlign w:val="bottom"/>
          </w:tcPr>
          <w:p>
            <w:pPr>
              <w:spacing w:after="0"/>
              <w:rPr>
                <w:sz w:val="22"/>
                <w:szCs w:val="22"/>
                <w:color w:val="auto"/>
              </w:rPr>
            </w:pPr>
          </w:p>
        </w:tc>
        <w:tc>
          <w:tcPr>
            <w:tcW w:w="1120" w:type="dxa"/>
            <w:vAlign w:val="bottom"/>
          </w:tcPr>
          <w:p>
            <w:pPr>
              <w:jc w:val="right"/>
              <w:ind w:right="91"/>
              <w:spacing w:after="0"/>
              <w:rPr>
                <w:sz w:val="20"/>
                <w:szCs w:val="20"/>
                <w:color w:val="auto"/>
              </w:rPr>
            </w:pPr>
            <w:r>
              <w:rPr>
                <w:rFonts w:ascii="Arial" w:cs="Arial" w:eastAsia="Arial" w:hAnsi="Arial"/>
                <w:sz w:val="14"/>
                <w:szCs w:val="14"/>
                <w:b w:val="1"/>
                <w:bCs w:val="1"/>
                <w:color w:val="auto"/>
                <w:w w:val="93"/>
              </w:rPr>
              <w:t>August 4, 2012</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1,955,556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2,006,178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sales (1)</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235,152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708,015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708,459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435,062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447,874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1,247,541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1,297,719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Research and development (1)</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381,609</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Selling, marketing, general and administrative (1)</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97,773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99,873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298,036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298,910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Special charges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226,720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235,403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694,328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688,950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608,769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20,031</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601,009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39,701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128,960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471,933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472,049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to compute earnings per share – 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309,117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298,445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306,681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298,121</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to compute earnings per share – diluted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305,604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Dividends declared and paid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(1) Includes stock-based compensation expense as follows: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200"/>
              <w:spacing w:after="0"/>
              <w:rPr>
                <w:sz w:val="20"/>
                <w:szCs w:val="20"/>
                <w:color w:val="auto"/>
              </w:rPr>
            </w:pPr>
            <w:r>
              <w:rPr>
                <w:rFonts w:ascii="Arial" w:cs="Arial" w:eastAsia="Arial" w:hAnsi="Arial"/>
                <w:sz w:val="18"/>
                <w:szCs w:val="18"/>
                <w:color w:val="auto"/>
              </w:rPr>
              <w:t>Cost of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17,046</w:t>
            </w:r>
          </w:p>
        </w:tc>
        <w:tc>
          <w:tcPr>
            <w:tcW w:w="0" w:type="dxa"/>
            <w:vAlign w:val="bottom"/>
          </w:tcPr>
          <w:p>
            <w:pPr>
              <w:spacing w:after="0"/>
              <w:rPr>
                <w:sz w:val="1"/>
                <w:szCs w:val="1"/>
                <w:color w:val="auto"/>
              </w:rPr>
            </w:pPr>
          </w:p>
        </w:tc>
      </w:tr>
      <w:tr>
        <w:trPr>
          <w:trHeight w:val="243"/>
        </w:trPr>
        <w:tc>
          <w:tcPr>
            <w:tcW w:w="6060" w:type="dxa"/>
            <w:vAlign w:val="bottom"/>
          </w:tcPr>
          <w:p>
            <w:pPr>
              <w:ind w:left="1200"/>
              <w:spacing w:after="0"/>
              <w:rPr>
                <w:sz w:val="20"/>
                <w:szCs w:val="20"/>
                <w:color w:val="auto"/>
              </w:rPr>
            </w:pPr>
            <w:r>
              <w:rPr>
                <w:rFonts w:ascii="Arial" w:cs="Arial" w:eastAsia="Arial" w:hAnsi="Arial"/>
                <w:sz w:val="18"/>
                <w:szCs w:val="18"/>
                <w:color w:val="auto"/>
              </w:rPr>
              <w:t>Selling, marketing, general and administrative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22,728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16,828</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2013</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4, 2012</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2013</w:t>
            </w:r>
          </w:p>
        </w:tc>
        <w:tc>
          <w:tcPr>
            <w:tcW w:w="14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August 4, 2012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176,239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169,768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471,933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472,049</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2"/>
              </w:rPr>
              <w:t>Change in unrealized holding (losses) gains (net of taxes of $42, $319, $63 and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$90, respectively) on securities classified as short-term investments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447</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unrealized holding losses (net of taxes of $0, $0, $0 and $300,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 on securities classified as other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4"/>
              </w:rPr>
              <w:t>Change in unrealized gains (losses) (net of taxes of $3,326, $344, $3,619 and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w w:val="94"/>
              </w:rPr>
              <w:t>$757, respectively) on derivative instruments designated as cash flow hedges</w:t>
            </w: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6,088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(5,168)</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Changes in pension plans including prior service cost, transition obligation,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actuarial loss and foreign currency translation adjustments, net of taxes of ($98,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$0, $303 and $0 respectively)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(8,585)</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179,362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168,235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472,418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463,464</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71" w:right="239" w:bottom="1440" w:gutter="0" w:footer="0" w:header="0"/>
        </w:sectPr>
      </w:pPr>
    </w:p>
    <w:bookmarkStart w:id="3" w:name="page4"/>
    <w:bookmarkEnd w:id="3"/>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 2013</w:t>
            </w:r>
          </w:p>
        </w:tc>
        <w:tc>
          <w:tcPr>
            <w:tcW w:w="200" w:type="dxa"/>
            <w:vAlign w:val="bottom"/>
          </w:tcPr>
          <w:p>
            <w:pPr>
              <w:spacing w:after="0"/>
              <w:rPr>
                <w:sz w:val="16"/>
                <w:szCs w:val="16"/>
                <w:color w:val="auto"/>
              </w:rPr>
            </w:pPr>
          </w:p>
        </w:tc>
        <w:tc>
          <w:tcPr>
            <w:tcW w:w="1480" w:type="dxa"/>
            <w:vAlign w:val="bottom"/>
          </w:tcPr>
          <w:p>
            <w:pPr>
              <w:jc w:val="right"/>
              <w:ind w:right="219"/>
              <w:spacing w:after="0"/>
              <w:rPr>
                <w:sz w:val="20"/>
                <w:szCs w:val="20"/>
                <w:color w:val="auto"/>
              </w:rPr>
            </w:pPr>
            <w:r>
              <w:rPr>
                <w:rFonts w:ascii="Arial" w:cs="Arial" w:eastAsia="Arial" w:hAnsi="Arial"/>
                <w:sz w:val="14"/>
                <w:szCs w:val="14"/>
                <w:b w:val="1"/>
                <w:bCs w:val="1"/>
                <w:color w:val="auto"/>
                <w:w w:val="97"/>
              </w:rPr>
              <w:t>November 3, 2012</w:t>
            </w:r>
          </w:p>
        </w:tc>
        <w:tc>
          <w:tcPr>
            <w:tcW w:w="0" w:type="dxa"/>
            <w:vAlign w:val="bottom"/>
          </w:tcPr>
          <w:p>
            <w:pPr>
              <w:spacing w:after="0"/>
              <w:rPr>
                <w:sz w:val="1"/>
                <w:szCs w:val="1"/>
                <w:color w:val="auto"/>
              </w:rPr>
            </w:pPr>
          </w:p>
        </w:tc>
      </w:tr>
      <w:tr>
        <w:trPr>
          <w:trHeight w:val="236"/>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528,833</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3,990,225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3,371,545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345,437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339,881</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Inventories (1)</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284,342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313,723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90,335</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Prepaid income tax</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10,258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8,624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43,244</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5,244,490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4,696,185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at Cost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Land and buildings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451,490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447,818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1,710,865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1,681,661</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Office equipment</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49,234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50,042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Leasehold improvements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48,630</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2,258,282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2,228,151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1,765,861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1,727,284</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Net property, plant and equipment</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492,421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500,867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compensation plan investments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16,240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28,426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280,591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283,833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28,772</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30,614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43,531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36,917</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other assets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401,715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423,295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6,138,626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5,620,347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113,350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117,034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on shipments to distributors,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259,003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238,541</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6,927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6,097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112,529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148,907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491,809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525,079</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807,098</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19,460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compensation plan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28,426</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95,777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93,255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1,003,581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929,909</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26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$0.16 2/3 par value, 1,200,000,000 shares authorized, 310,692,734 shares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issued and outstanding (301,389,176 on November 3, 2012)</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51,783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50,233</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Capital in excess of par value</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694,577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390,651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3,960,785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3,788,869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(63,909)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(64,394)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4,643,236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4,165,359</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6,138,626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5,620,347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0" w:right="2960" w:firstLine="272"/>
        <w:spacing w:after="0" w:line="522" w:lineRule="auto"/>
        <w:tabs>
          <w:tab w:leader="none" w:pos="65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$2,126 and $2,517 related to stock-based compensation at August 3, 2013 and November 3, 2012, respectively. See accompanying notes.</w:t>
      </w:r>
    </w:p>
    <w:p>
      <w:pPr>
        <w:sectPr>
          <w:pgSz w:w="11900" w:h="16891" w:orient="portrait"/>
          <w:cols w:equalWidth="0" w:num="1">
            <w:col w:w="11420"/>
          </w:cols>
          <w:pgMar w:left="240" w:top="773"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ANALOG DEVICES,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 2013</w:t>
            </w:r>
          </w:p>
        </w:tc>
        <w:tc>
          <w:tcPr>
            <w:tcW w:w="240" w:type="dxa"/>
            <w:vAlign w:val="bottom"/>
          </w:tcPr>
          <w:p>
            <w:pPr>
              <w:spacing w:after="0"/>
              <w:rPr>
                <w:sz w:val="22"/>
                <w:szCs w:val="22"/>
                <w:color w:val="auto"/>
              </w:rPr>
            </w:pPr>
          </w:p>
        </w:tc>
        <w:tc>
          <w:tcPr>
            <w:tcW w:w="1440" w:type="dxa"/>
            <w:vAlign w:val="bottom"/>
          </w:tcPr>
          <w:p>
            <w:pPr>
              <w:jc w:val="right"/>
              <w:ind w:right="319"/>
              <w:spacing w:after="0"/>
              <w:rPr>
                <w:sz w:val="20"/>
                <w:szCs w:val="20"/>
                <w:color w:val="auto"/>
              </w:rPr>
            </w:pPr>
            <w:r>
              <w:rPr>
                <w:rFonts w:ascii="Arial" w:cs="Arial" w:eastAsia="Arial" w:hAnsi="Arial"/>
                <w:sz w:val="14"/>
                <w:szCs w:val="14"/>
                <w:b w:val="1"/>
                <w:bCs w:val="1"/>
                <w:color w:val="auto"/>
              </w:rPr>
              <w:t>August 4, 2012</w:t>
            </w:r>
          </w:p>
        </w:tc>
      </w:tr>
      <w:tr>
        <w:trPr>
          <w:trHeight w:val="210"/>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60"/>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471,933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472,049</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82,681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82,221</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43,764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39,223</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sale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10,205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Excess tax benefit-stock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(9,552)</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(11,141)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(4,105)</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portion of special charge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Other non-cash activity</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(1,770)</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w:t>
            </w: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Total adjustments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158,247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106,446</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630,180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578,495</w:t>
            </w: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60"/>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short-term available-for-sale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(5,980,735)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(6,282,724)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Maturities of short-term available-for-sale investments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4,771,441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4,829,822</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short-term available-for-sale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337,905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Proceeds from the sale of investments</w:t>
            </w:r>
          </w:p>
        </w:tc>
        <w:tc>
          <w:tcPr>
            <w:tcW w:w="26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1,506</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(94,665)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Payments for acquisitions, net of cash acquired</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(24,158)</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w:t>
            </w: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(699,524)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(1,233,229)</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60"/>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Early termination of swap agreements</w:t>
            </w:r>
          </w:p>
        </w:tc>
        <w:tc>
          <w:tcPr>
            <w:tcW w:w="26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18,520</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senior unsecured notes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(392,790)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6"/>
                <w:szCs w:val="16"/>
                <w:color w:val="auto"/>
              </w:rPr>
              <w:t>Proceeds from long-term debt</w:t>
            </w:r>
          </w:p>
        </w:tc>
        <w:tc>
          <w:tcPr>
            <w:tcW w:w="2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493,880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Term loan repayments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(60,108)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(22,875)</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 payments to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(253,329)</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(17,720)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(140,215)</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employee stock plans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261,878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111,202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Contingent consideration payment</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(1,991)</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 other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Excess tax benefit-stock options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15,073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9,552</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(285,880)</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(2,337)</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(942,951)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528,833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1,405,100</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460,068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462,149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420"/>
          </w:cols>
          <w:pgMar w:left="240" w:top="1210"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0"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AUGUST 3,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3, 2012 and related notes. The results of operations for the interim periods shown in this report are not necessarily indicative of the results that may be expected for the fiscal year ending November 2, 2013 or any future period.</w:t>
      </w:r>
    </w:p>
    <w:p>
      <w:pPr>
        <w:spacing w:after="0" w:line="10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Certain amounts reported in previous years have been reclassified to conform to the fiscal 2013 presentation. Such reclassified amounts are immaterial. The Company has a 52-53 week fiscal year that ends on the Saturday closest to the last day in October. Fiscal 2013 is a 52-week fiscal year and fiscal 2012 was a 53-week fiscal year. The additional week in fiscal 2012 was included in the first quarter ended February 4, 2012. Therefore, the first nine months of fiscal 2012 included an additional week of operations as compared to the first nine months of fiscal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2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upon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119"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the specific product in the distributor’s inventory at the time of the price decrease.</w:t>
      </w:r>
    </w:p>
    <w:p>
      <w:pPr>
        <w:spacing w:after="0" w:line="9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2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 Shipping costs are charged to cost of sales as incurred.</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price-protection and price-adjustment credits granted to distributors historically have not exceeded the margins the Company earns on sales of its products.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 w:name="page8"/>
    <w:bookmarkEnd w:id="7"/>
    <w:p>
      <w:pPr>
        <w:ind w:right="200"/>
        <w:spacing w:after="0" w:line="277" w:lineRule="auto"/>
        <w:rPr>
          <w:sz w:val="20"/>
          <w:szCs w:val="20"/>
          <w:color w:val="auto"/>
        </w:rPr>
      </w:pPr>
      <w:r>
        <w:rPr>
          <w:rFonts w:ascii="Arial" w:cs="Arial" w:eastAsia="Arial" w:hAnsi="Arial"/>
          <w:sz w:val="18"/>
          <w:szCs w:val="18"/>
          <w:color w:val="auto"/>
        </w:rPr>
        <w:t>Company continuously monitors the level and nature of product returns and is in frequent contact with the distributors to ensure reserves are established for all known material issues.</w:t>
      </w:r>
    </w:p>
    <w:p>
      <w:pPr>
        <w:spacing w:after="0" w:line="11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As of August 3, 2013 and November 3, 2012, the Company had gross deferred revenue of $326.2 million and $299.0 million, respectively, and gross deferred cost of sales of $67.2 million and $60.5 million, respectively. Deferred income on shipments to distributors increased in the first nine months of fiscal 2013 primarily as a result of a mix shift in favor of higher margin products sold into the channel.</w:t>
      </w:r>
    </w:p>
    <w:p>
      <w:pPr>
        <w:spacing w:after="0" w:line="127"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Company generally offers a twelve-month warranty for its products. The Company’s warranty policy provides for replacement of defective products. Specific accruals are recorded for known product warranty issues. Product warranty expenses during each of the three- and nine-month periods ended August 3, 2013 and August 4, 2012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22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Determining the amount of stock-based compensation to be recorded requires the Company to develop estimates used in calculating the grant-date fair value of stock options.</w:t>
      </w:r>
    </w:p>
    <w:p>
      <w:pPr>
        <w:spacing w:after="0" w:line="18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i w:val="1"/>
          <w:iCs w:val="1"/>
          <w:color w:val="auto"/>
        </w:rPr>
        <w:t xml:space="preserve">Grant-Date Fair Value </w:t>
      </w:r>
      <w:r>
        <w:rPr>
          <w:rFonts w:ascii="Arial" w:cs="Arial" w:eastAsia="Arial" w:hAnsi="Arial"/>
          <w:sz w:val="17"/>
          <w:szCs w:val="17"/>
          <w:color w:val="auto"/>
        </w:rPr>
        <w:t>— The Company uses the Black-Scholes valuation model to calculate the grant-date fair value of stock option awards. The use of</w:t>
      </w:r>
      <w:r>
        <w:rPr>
          <w:rFonts w:ascii="Arial" w:cs="Arial" w:eastAsia="Arial" w:hAnsi="Arial"/>
          <w:sz w:val="17"/>
          <w:szCs w:val="17"/>
          <w:i w:val="1"/>
          <w:iCs w:val="1"/>
          <w:color w:val="auto"/>
        </w:rPr>
        <w:t xml:space="preserve"> </w:t>
      </w:r>
      <w:r>
        <w:rPr>
          <w:rFonts w:ascii="Arial" w:cs="Arial" w:eastAsia="Arial" w:hAnsi="Arial"/>
          <w:sz w:val="17"/>
          <w:szCs w:val="17"/>
          <w:color w:val="auto"/>
        </w:rPr>
        <w:t>valuation models requires the Company to make estimates and assumptions, such as expected volatility, expected term, risk-free interest rate, expected dividend yield and forfeiture rates. The grant-date fair value of restricted stock units represents the value of the Company’s common stock on the date of grant, reduced by the present value of dividends expected to be paid on the Company’s common stock prior to vesting.</w:t>
      </w:r>
    </w:p>
    <w:p>
      <w:pPr>
        <w:spacing w:after="0" w:line="11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granted during the three- and nine-month periods ended August 3, 2013 and August 4, 2012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4"/>
                <w:szCs w:val="14"/>
                <w:b w:val="1"/>
                <w:bCs w:val="1"/>
                <w:color w:val="auto"/>
              </w:rPr>
              <w:t>Nine Months Ended</w:t>
            </w:r>
          </w:p>
        </w:tc>
      </w:tr>
      <w:tr>
        <w:trPr>
          <w:trHeight w:val="229"/>
        </w:trPr>
        <w:tc>
          <w:tcPr>
            <w:tcW w:w="586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Options</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August 3, 2013</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August 4, 2012</w:t>
            </w: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August 3, 2013</w:t>
            </w:r>
          </w:p>
        </w:tc>
        <w:tc>
          <w:tcPr>
            <w:tcW w:w="1320" w:type="dxa"/>
            <w:vAlign w:val="bottom"/>
          </w:tcPr>
          <w:p>
            <w:pPr>
              <w:jc w:val="right"/>
              <w:ind w:right="112"/>
              <w:spacing w:after="0"/>
              <w:rPr>
                <w:sz w:val="20"/>
                <w:szCs w:val="20"/>
                <w:color w:val="auto"/>
              </w:rPr>
            </w:pPr>
            <w:r>
              <w:rPr>
                <w:rFonts w:ascii="Arial" w:cs="Arial" w:eastAsia="Arial" w:hAnsi="Arial"/>
                <w:sz w:val="14"/>
                <w:szCs w:val="14"/>
                <w:b w:val="1"/>
                <w:bCs w:val="1"/>
                <w:color w:val="auto"/>
              </w:rPr>
              <w:t>August 4, 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4"/>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granted (in thousands)</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2,263</w:t>
            </w:r>
          </w:p>
        </w:tc>
      </w:tr>
      <w:tr>
        <w:trPr>
          <w:trHeight w:val="243"/>
        </w:trPr>
        <w:tc>
          <w:tcPr>
            <w:tcW w:w="5860" w:type="dxa"/>
            <w:vAlign w:val="bottom"/>
            <w:gridSpan w:val="3"/>
          </w:tcPr>
          <w:p>
            <w:pPr>
              <w:ind w:left="40"/>
              <w:spacing w:after="0"/>
              <w:rPr>
                <w:sz w:val="20"/>
                <w:szCs w:val="20"/>
                <w:color w:val="auto"/>
              </w:rPr>
            </w:pPr>
            <w:r>
              <w:rPr>
                <w:rFonts w:ascii="Arial" w:cs="Arial" w:eastAsia="Arial" w:hAnsi="Arial"/>
                <w:sz w:val="18"/>
                <w:szCs w:val="18"/>
                <w:color w:val="auto"/>
              </w:rPr>
              <w:t>Weighted-average exercise price</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$45.97</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$39.65</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$7.49</w:t>
            </w:r>
          </w:p>
        </w:tc>
      </w:tr>
      <w:tr>
        <w:trPr>
          <w:trHeight w:val="243"/>
        </w:trPr>
        <w:tc>
          <w:tcPr>
            <w:tcW w:w="5860" w:type="dxa"/>
            <w:vAlign w:val="bottom"/>
            <w:gridSpan w:val="3"/>
          </w:tcPr>
          <w:p>
            <w:pPr>
              <w:ind w:left="40"/>
              <w:spacing w:after="0"/>
              <w:rPr>
                <w:sz w:val="20"/>
                <w:szCs w:val="20"/>
                <w:color w:val="auto"/>
              </w:rPr>
            </w:pPr>
            <w:r>
              <w:rPr>
                <w:rFonts w:ascii="Arial" w:cs="Arial" w:eastAsia="Arial" w:hAnsi="Arial"/>
                <w:sz w:val="18"/>
                <w:szCs w:val="18"/>
                <w:color w:val="auto"/>
              </w:rPr>
              <w:t>Assumptions: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586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86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dividend yield</w:t>
            </w: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75"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the remaining maturities of the traded options used to estimate volatility are at least one year.</w:t>
      </w:r>
    </w:p>
    <w:p>
      <w:pPr>
        <w:spacing w:after="0" w:line="21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ind w:firstLine="432"/>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4.4% to all unvested stock-based awards as of August 3, 2013. The rate of 4.4%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paid-in-capital (APIC) Pool</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condensed consolidated statements of income. During the three- and nine-month periods ended August 3, 2013, the Company had a sufficient APIC pool to cover any tax deficiencies recorded and as a result, these deficiencies did not affect its results of operations. During the three-month period ended August 4, 2012, the Company recorded excess tax benefits of $3.9 million. The Company applied these excess tax benefits to the income tax expense previously recorded during the three-month period ended February 4, 2012, resulting in no income tax expense related to share-based compensation for the nine-month period ended August 4, 2012.</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Activity</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 summary of the activity under the Company’s stock option plans as of August 3, 2013 and changes during the three- and nine-month periods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August 3, 2013</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8"/>
        </w:trPr>
        <w:tc>
          <w:tcPr>
            <w:tcW w:w="5500" w:type="dxa"/>
            <w:vAlign w:val="bottom"/>
            <w:gridSpan w:val="3"/>
            <w:vMerge w:val="continue"/>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16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Price Per Share</w:t>
            </w: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Term in Years</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6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May 4, 2013</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22,586</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$33.82</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103</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$45.97</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$35.53</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$35.91</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expired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$37.51</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Options outstanding at August 3, 2013</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20,231</w:t>
            </w:r>
          </w:p>
        </w:tc>
        <w:tc>
          <w:tcPr>
            <w:tcW w:w="162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$33.67</w:t>
            </w:r>
          </w:p>
        </w:tc>
        <w:tc>
          <w:tcPr>
            <w:tcW w:w="1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$327,755</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exercisable at August 3, 2013</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13,267</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$31.35</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$245,722</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Options vested or expected to vest at August 3, 2013 (1)</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gridSpan w:val="3"/>
            <w:vMerge w:val="continue"/>
          </w:tcPr>
          <w:p>
            <w:pPr>
              <w:spacing w:after="0"/>
              <w:rPr>
                <w:sz w:val="21"/>
                <w:szCs w:val="21"/>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19,706</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$33.46</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$323,467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Activity during the Nine Months Ended August 3, 2013</w:t>
            </w:r>
          </w:p>
        </w:tc>
        <w:tc>
          <w:tcPr>
            <w:tcW w:w="39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0" w:type="dxa"/>
            <w:vAlign w:val="bottom"/>
          </w:tcPr>
          <w:p>
            <w:pPr>
              <w:spacing w:after="0"/>
              <w:rPr>
                <w:sz w:val="1"/>
                <w:szCs w:val="1"/>
                <w:color w:val="auto"/>
              </w:rPr>
            </w:pPr>
          </w:p>
        </w:tc>
      </w:tr>
      <w:tr>
        <w:trPr>
          <w:trHeight w:val="158"/>
        </w:trPr>
        <w:tc>
          <w:tcPr>
            <w:tcW w:w="4500" w:type="dxa"/>
            <w:vAlign w:val="bottom"/>
            <w:gridSpan w:val="3"/>
            <w:vMerge w:val="continue"/>
          </w:tcPr>
          <w:p>
            <w:pPr>
              <w:spacing w:after="0"/>
              <w:rPr>
                <w:sz w:val="13"/>
                <w:szCs w:val="13"/>
                <w:color w:val="auto"/>
              </w:rPr>
            </w:pPr>
          </w:p>
        </w:tc>
        <w:tc>
          <w:tcPr>
            <w:tcW w:w="392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Price Per Share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38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November 3, 2012</w:t>
            </w:r>
          </w:p>
        </w:tc>
        <w:tc>
          <w:tcPr>
            <w:tcW w:w="53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26,453</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5300" w:type="dxa"/>
            <w:vAlign w:val="bottom"/>
            <w:gridSpan w:val="2"/>
          </w:tcPr>
          <w:p>
            <w:pPr>
              <w:jc w:val="right"/>
              <w:ind w:right="41"/>
              <w:spacing w:after="0"/>
              <w:rPr>
                <w:sz w:val="20"/>
                <w:szCs w:val="20"/>
                <w:color w:val="auto"/>
              </w:rPr>
            </w:pPr>
            <w:r>
              <w:rPr>
                <w:rFonts w:ascii="Arial" w:cs="Arial" w:eastAsia="Arial" w:hAnsi="Arial"/>
                <w:sz w:val="18"/>
                <w:szCs w:val="18"/>
                <w:color w:val="auto"/>
              </w:rPr>
              <w:t>2,389</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5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2"/>
          </w:tcPr>
          <w:p>
            <w:pPr>
              <w:ind w:left="360"/>
              <w:spacing w:after="0"/>
              <w:rPr>
                <w:sz w:val="20"/>
                <w:szCs w:val="20"/>
                <w:color w:val="auto"/>
              </w:rPr>
            </w:pPr>
            <w:r>
              <w:rPr>
                <w:rFonts w:ascii="Arial" w:cs="Arial" w:eastAsia="Arial" w:hAnsi="Arial"/>
                <w:sz w:val="18"/>
                <w:szCs w:val="18"/>
                <w:color w:val="auto"/>
              </w:rPr>
              <w:t>Options forfeited</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Options expired</w:t>
            </w:r>
          </w:p>
        </w:tc>
        <w:tc>
          <w:tcPr>
            <w:tcW w:w="39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57"/>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Options outstanding at August 3, 2013</w:t>
            </w:r>
          </w:p>
        </w:tc>
        <w:tc>
          <w:tcPr>
            <w:tcW w:w="39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20,231</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20" w:type="dxa"/>
            <w:vAlign w:val="bottom"/>
            <w:vMerge w:val="restart"/>
          </w:tcPr>
          <w:p>
            <w:pPr>
              <w:jc w:val="right"/>
              <w:ind w:right="2630"/>
              <w:spacing w:after="0"/>
              <w:rPr>
                <w:sz w:val="20"/>
                <w:szCs w:val="20"/>
                <w:color w:val="auto"/>
              </w:rPr>
            </w:pPr>
            <w:r>
              <w:rPr>
                <w:rFonts w:ascii="Arial" w:cs="Arial" w:eastAsia="Arial" w:hAnsi="Arial"/>
                <w:sz w:val="18"/>
                <w:szCs w:val="18"/>
                <w:color w:val="auto"/>
              </w:rPr>
              <w:t>7</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9" w:name="page10"/>
    <w:bookmarkEnd w:id="9"/>
    <w:p>
      <w:pPr>
        <w:jc w:val="both"/>
        <w:ind w:left="60" w:right="60"/>
        <w:spacing w:after="0" w:line="264" w:lineRule="auto"/>
        <w:rPr>
          <w:sz w:val="20"/>
          <w:szCs w:val="20"/>
          <w:color w:val="auto"/>
        </w:rPr>
      </w:pPr>
      <w:r>
        <w:rPr>
          <w:rFonts w:ascii="Arial" w:cs="Arial" w:eastAsia="Arial" w:hAnsi="Arial"/>
          <w:sz w:val="18"/>
          <w:szCs w:val="18"/>
          <w:color w:val="auto"/>
        </w:rPr>
        <w:t>During the three and nine months ended August 3, 2013, the total intrinsic value of options exercised (i.e. the difference between the market price at exercise and the price paid by the employee to exercise the options) was $29.3 million and $112.5 million, respectively, and the total amount of proceeds received by the Company from the exercise of these options was $85.9 million and $261.9 million, respectively.</w:t>
      </w:r>
    </w:p>
    <w:p>
      <w:pPr>
        <w:spacing w:after="0" w:line="181"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color w:val="auto"/>
        </w:rPr>
        <w:t>During the three and nine months ended August 4, 2012, the total intrinsic value of options exercised (i.e. the difference between the market price at exercise and the price paid by the employee to exercise the options) was $15.6 million and $64.9 million, respectively, and the total amount of proceeds received by the Company from the exercise of these options was $23.5 million and $111.2 million, respectively.</w:t>
      </w:r>
    </w:p>
    <w:p>
      <w:pPr>
        <w:spacing w:after="0" w:line="12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 summary of the Company’s restricted stock unit award activity as of August 3, 2013 and changes during the three- and nine-month periods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August 3, 2013</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4"/>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38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May 4, 2013</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2,506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Units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31</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August 3, 2013</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2,501</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Nine Months Ended August 3, 2013</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4"/>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38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November 3, 2012</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3,060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Units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798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(57)</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August 3, 2013</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2,501</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As of August 3, 2013, there was $95.1 million of total unrecognized compensation cost related to unvested share-based awards comprised of stock options and restricted stock units. That cost is expected to be recognized over a weighted-average period of 1.5 years. The total grant-date fair value of shares that vested during the three and nine months ended August 3, 2013 was approximately $0.9 million and $63.0 million, respectively. The total grant-date fair value of shares that vested during the three and nine months ended August 4, 2012 was approximately $0.6 million and $27.4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 Repurchase</w:t>
      </w:r>
    </w:p>
    <w:p>
      <w:pPr>
        <w:spacing w:after="0" w:line="9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$5.0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August 3, 2013, the Company had repurchased a total of approximately 129.2 million shares of its common stock for approximately $4,439.0 million under this program. As of August 3, 2013, an additional $561.0 million remains available for repurchase of shares under the current authorized program. The repurchased shares are held as authorized but unissued shares of common stock. The Company also, from time to time, repurchases shares in settlement of employee tax withholding obligations due upon the vesting of restricted stock units, or in certain limited circumstances to satisfy the exercise price of options granted to the Company’s employees under the Company’s equity compensation plans. Any future common stock repurchases will be dependent upon several factors, including our financial performance, outlook, liquidity and the amount of cash the Company has available in the United States.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at August 3, 2013 and November 3, 2012 consisted of the following, net of tax:</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2013</w:t>
            </w: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November 3,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444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gains on derivative instruments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1,165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accumulated other comprehensive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(64,394)</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aggregate fair value of investments with unrealized losses as of August 3, 2013 and November 3, 2012 was $371.9 million and $1,214.1 million, respectively. These unrealized losses were primarily related to corporate obligations that earn lower interest rates than current market rates. None of these investments have been in a loss position for more than twelve months. Because the Company does not intend to sell these investments and it is not more likely than not that the Company will be required to sell the investments before recovery of their amortized basis, which may be maturity, the Company does not consider those investments to be other-than-temporarily impaired at August 3, 2013.</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Unrealized gains and losses on available-for-sale securities classified as short-term investments at August 3, 2013 and November 3, 2012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2013</w:t>
            </w:r>
          </w:p>
        </w:tc>
        <w:tc>
          <w:tcPr>
            <w:tcW w:w="160" w:type="dxa"/>
            <w:vAlign w:val="bottom"/>
          </w:tcPr>
          <w:p>
            <w:pPr>
              <w:spacing w:after="0"/>
              <w:rPr>
                <w:sz w:val="16"/>
                <w:szCs w:val="16"/>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November 3,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securities classified as short-term investments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losses on securities classified as short-term investments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gains on securities classified as short-term investments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Realized gains or losses on investments are determined based on the specific identification basis and are recognized in nonoperating (income) expense. Gross realized gains of approximately $1.3 million and gross realized losses of approximately $0.1 million were recognized on sales of available-for-sale investments during the nine-month period ended August 4, 2012. There were no material net realized gains or losses from the sales of available-for-sale investments during any other of the fiscal periods presented.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Earnings Per Share</w:t>
      </w:r>
    </w:p>
    <w:p>
      <w:pPr>
        <w:spacing w:after="0" w:line="9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periods, related to the Company’s outstanding stock options could be dilutive in the future.</w:t>
      </w:r>
    </w:p>
    <w:p>
      <w:pPr>
        <w:spacing w:after="0" w:line="3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2013</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4, 2012</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2013</w:t>
            </w:r>
          </w:p>
        </w:tc>
        <w:tc>
          <w:tcPr>
            <w:tcW w:w="14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August 4, 2012</w:t>
            </w:r>
          </w:p>
        </w:tc>
        <w:tc>
          <w:tcPr>
            <w:tcW w:w="0" w:type="dxa"/>
            <w:vAlign w:val="bottom"/>
          </w:tcPr>
          <w:p>
            <w:pPr>
              <w:spacing w:after="0"/>
              <w:rPr>
                <w:sz w:val="1"/>
                <w:szCs w:val="1"/>
                <w:color w:val="auto"/>
              </w:rPr>
            </w:pPr>
          </w:p>
        </w:tc>
      </w:tr>
      <w:tr>
        <w:trPr>
          <w:trHeight w:val="275"/>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176,239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169,768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471,933</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472,049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shares: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309,117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298,445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306,681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298,121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Earnings per share 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shares: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309,117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298,445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306,681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298,121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Assumed exercise of common stock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Weighted-average common and common equivalent shares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315,307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305,359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312,983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305,604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Earnings per share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Anti-dilutive shares related to: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stock options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Special Charges</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127"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following tables display the special charges taken for ongoing actions and a roll-forward from November 3, 2012 to August 3, 2013 of the employee separation and exit cost accruals established related to these actions.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7"/>
              </w:rPr>
              <w:t>Reduction of Operating Costs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gridSpan w:val="4"/>
          </w:tcPr>
          <w:p>
            <w:pPr>
              <w:ind w:left="40"/>
              <w:spacing w:after="0"/>
              <w:rPr>
                <w:sz w:val="20"/>
                <w:szCs w:val="20"/>
                <w:color w:val="auto"/>
              </w:rPr>
            </w:pPr>
            <w:r>
              <w:rPr>
                <w:rFonts w:ascii="Arial" w:cs="Arial" w:eastAsia="Arial" w:hAnsi="Arial"/>
                <w:sz w:val="14"/>
                <w:szCs w:val="14"/>
                <w:b w:val="1"/>
                <w:bCs w:val="1"/>
                <w:color w:val="auto"/>
              </w:rPr>
              <w:t>Statement of Income</w:t>
            </w:r>
          </w:p>
        </w:tc>
        <w:tc>
          <w:tcPr>
            <w:tcW w:w="300" w:type="dxa"/>
            <w:vAlign w:val="bottom"/>
          </w:tcPr>
          <w:p>
            <w:pPr>
              <w:spacing w:after="0"/>
              <w:rPr>
                <w:sz w:val="19"/>
                <w:szCs w:val="19"/>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Workforce reductions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Facility closure costs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Non-cash impairment charge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Other items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Charges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252"/>
              <w:spacing w:after="0"/>
              <w:rPr>
                <w:sz w:val="20"/>
                <w:szCs w:val="20"/>
                <w:color w:val="auto"/>
              </w:rPr>
            </w:pPr>
            <w:r>
              <w:rPr>
                <w:rFonts w:ascii="Arial" w:cs="Arial" w:eastAsia="Arial" w:hAnsi="Arial"/>
                <w:sz w:val="14"/>
                <w:szCs w:val="14"/>
                <w:b w:val="1"/>
                <w:bCs w:val="1"/>
                <w:color w:val="auto"/>
                <w:w w:val="91"/>
              </w:rPr>
              <w:t>Reduction of</w:t>
            </w:r>
          </w:p>
        </w:tc>
        <w:tc>
          <w:tcPr>
            <w:tcW w:w="0" w:type="dxa"/>
            <w:vAlign w:val="bottom"/>
          </w:tcPr>
          <w:p>
            <w:pPr>
              <w:spacing w:after="0"/>
              <w:rPr>
                <w:sz w:val="1"/>
                <w:szCs w:val="1"/>
                <w:color w:val="auto"/>
              </w:rPr>
            </w:pPr>
          </w:p>
        </w:tc>
      </w:tr>
      <w:tr>
        <w:trPr>
          <w:trHeight w:val="158"/>
        </w:trPr>
        <w:tc>
          <w:tcPr>
            <w:tcW w:w="606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Operating Costs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November 3, 2012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First quarter 2013 special charge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Effect of foreign currency on accrual</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2, 2013</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37"/>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Severance payments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6060" w:type="dxa"/>
            <w:vAlign w:val="bottom"/>
            <w:gridSpan w:val="4"/>
          </w:tcPr>
          <w:p>
            <w:pPr>
              <w:ind w:left="40"/>
              <w:spacing w:after="0"/>
              <w:rPr>
                <w:sz w:val="20"/>
                <w:szCs w:val="20"/>
                <w:color w:val="auto"/>
              </w:rPr>
            </w:pPr>
            <w:r>
              <w:rPr>
                <w:rFonts w:ascii="Arial" w:cs="Arial" w:eastAsia="Arial" w:hAnsi="Arial"/>
                <w:sz w:val="18"/>
                <w:szCs w:val="18"/>
                <w:b w:val="1"/>
                <w:bCs w:val="1"/>
                <w:color w:val="auto"/>
              </w:rPr>
              <w:t>Balance at May 4, 2013</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Effect of foreign currency on accrual</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August 3, 2013</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Reduction of Operating Costs</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During fiscal 2010 through fiscal 2012, the Company recorded special charges of approximately $22.1 million. These special charges included: $21.1 million for severance and fringe benefit costs in accordance with its ongoing benefit plan or statutory requirements at foreign locations for 269 manufacturing, engineering and selling, marketing, general and administrative (SMG&amp;A) employees; $0.2 million for lease obligation costs for facilities that the Company ceased using during the third quarter of fiscal 2012; $0.1 million for contract termination costs; $0.2 million for the write-off of property, plant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6" w:right="239" w:bottom="1440" w:gutter="0" w:footer="0" w:header="0"/>
        </w:sectPr>
      </w:pPr>
    </w:p>
    <w:bookmarkStart w:id="12" w:name="page13"/>
    <w:bookmarkEnd w:id="12"/>
    <w:p>
      <w:pPr>
        <w:ind w:right="300"/>
        <w:spacing w:after="0" w:line="277" w:lineRule="auto"/>
        <w:rPr>
          <w:sz w:val="20"/>
          <w:szCs w:val="20"/>
          <w:color w:val="auto"/>
        </w:rPr>
      </w:pPr>
      <w:r>
        <w:rPr>
          <w:rFonts w:ascii="Arial" w:cs="Arial" w:eastAsia="Arial" w:hAnsi="Arial"/>
          <w:sz w:val="18"/>
          <w:szCs w:val="18"/>
          <w:color w:val="auto"/>
        </w:rPr>
        <w:t>equipment; and $0.5 million related to the impairment of intellectual property. The Company terminated the employment of all employees associated with these actions.</w:t>
      </w:r>
    </w:p>
    <w:p>
      <w:pPr>
        <w:spacing w:after="0" w:line="3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the first quarter of fiscal 2013, the Company recorded a special charge of approximately $14.1 million for severance and fringe benefit costs in accordance with its ongoing benefit plan or statutory requirements at foreign locations for 137 manufacturing, engineering and SMG&amp;A employees. The Company terminated the employment of all employees associated with this action.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Segment Information</w:t>
      </w:r>
    </w:p>
    <w:p>
      <w:pPr>
        <w:spacing w:after="0" w:line="9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August 3, 2013</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89"/>
              </w:rPr>
              <w:t>August 4, 2012</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42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4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460" w:type="dxa"/>
            <w:vAlign w:val="bottom"/>
            <w:vMerge w:val="restart"/>
          </w:tcPr>
          <w:p>
            <w:pPr>
              <w:spacing w:after="0"/>
              <w:rPr>
                <w:sz w:val="13"/>
                <w:szCs w:val="13"/>
                <w:color w:val="auto"/>
              </w:rPr>
            </w:pPr>
          </w:p>
        </w:tc>
        <w:tc>
          <w:tcPr>
            <w:tcW w:w="98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314,196</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323,621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120,386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114,876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100,163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106,940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139,427</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137,589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674,172</w:t>
            </w:r>
          </w:p>
        </w:tc>
        <w:tc>
          <w:tcPr>
            <w:tcW w:w="1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683,026</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8890</wp:posOffset>
            </wp:positionV>
            <wp:extent cx="1835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8890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-130175</wp:posOffset>
            </wp:positionV>
            <wp:extent cx="1835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-130175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August 3, 2013</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89"/>
              </w:rPr>
              <w:t>August 4, 2012</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42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4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460" w:type="dxa"/>
            <w:vAlign w:val="bottom"/>
            <w:vMerge w:val="restart"/>
          </w:tcPr>
          <w:p>
            <w:pPr>
              <w:spacing w:after="0"/>
              <w:rPr>
                <w:sz w:val="13"/>
                <w:szCs w:val="13"/>
                <w:color w:val="auto"/>
              </w:rPr>
            </w:pPr>
          </w:p>
        </w:tc>
        <w:tc>
          <w:tcPr>
            <w:tcW w:w="98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907,109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939,329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350,471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353,579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308,493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327,145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389,483</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386,125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1,955,556</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2,006,178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6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August 3, 2013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rPr>
              <w:t>August 4, 2012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2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jc w:val="right"/>
              <w:ind w:right="482"/>
              <w:spacing w:after="0" w:line="15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2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0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jc w:val="right"/>
              <w:ind w:right="500"/>
              <w:spacing w:after="0" w:line="15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Revenue*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Revenue*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306,347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299,736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171,588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180,989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92,278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98,075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570,213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578,800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45,611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45,403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615,824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1580" w:type="dxa"/>
            <w:vAlign w:val="bottom"/>
            <w:gridSpan w:val="4"/>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624,203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58,348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58,823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674,172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4"/>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683,026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80" w:type="dxa"/>
            <w:vAlign w:val="bottom"/>
            <w:gridSpan w:val="9"/>
          </w:tcPr>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August 3, 2013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August 4, 2012</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Revenue</w:t>
            </w:r>
          </w:p>
        </w:tc>
        <w:tc>
          <w:tcPr>
            <w:tcW w:w="8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jc w:val="right"/>
              <w:ind w:right="442"/>
              <w:spacing w:after="0" w:line="15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Y/Y%</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Revenue</w:t>
            </w:r>
          </w:p>
        </w:tc>
        <w:tc>
          <w:tcPr>
            <w:tcW w:w="6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jc w:val="right"/>
              <w:ind w:right="460"/>
              <w:spacing w:after="0" w:line="15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Revenue*</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Revenue</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Converters</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885,871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center"/>
              <w:ind w:left="762"/>
              <w:spacing w:after="0"/>
              <w:rPr>
                <w:sz w:val="20"/>
                <w:szCs w:val="20"/>
                <w:color w:val="auto"/>
              </w:rPr>
            </w:pPr>
            <w:r>
              <w:rPr>
                <w:rFonts w:ascii="Arial" w:cs="Arial" w:eastAsia="Arial" w:hAnsi="Arial"/>
                <w:sz w:val="18"/>
                <w:szCs w:val="18"/>
                <w:color w:val="auto"/>
                <w:w w:val="97"/>
              </w:rPr>
              <w:t>— %</w:t>
            </w: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885,528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494,234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580" w:type="dxa"/>
            <w:vAlign w:val="bottom"/>
            <w:gridSpan w:val="4"/>
          </w:tcPr>
          <w:p>
            <w:pPr>
              <w:jc w:val="center"/>
              <w:ind w:left="1050"/>
              <w:spacing w:after="0"/>
              <w:rPr>
                <w:sz w:val="20"/>
                <w:szCs w:val="20"/>
                <w:color w:val="auto"/>
              </w:rPr>
            </w:pPr>
            <w:r>
              <w:rPr>
                <w:rFonts w:ascii="Arial" w:cs="Arial" w:eastAsia="Arial" w:hAnsi="Arial"/>
                <w:sz w:val="18"/>
                <w:szCs w:val="18"/>
                <w:color w:val="auto"/>
                <w:w w:val="94"/>
              </w:rPr>
              <w:t>(6)%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523,156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analog</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279,877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80" w:type="dxa"/>
            <w:vAlign w:val="bottom"/>
            <w:tcBorders>
              <w:bottom w:val="single" w:sz="8" w:color="CCEEFF"/>
            </w:tcBorders>
            <w:gridSpan w:val="4"/>
            <w:shd w:val="clear" w:color="auto" w:fill="CCEEFF"/>
          </w:tcPr>
          <w:p>
            <w:pPr>
              <w:jc w:val="center"/>
              <w:ind w:left="1050"/>
              <w:spacing w:after="0"/>
              <w:rPr>
                <w:sz w:val="20"/>
                <w:szCs w:val="20"/>
                <w:color w:val="auto"/>
              </w:rPr>
            </w:pPr>
            <w:r>
              <w:rPr>
                <w:rFonts w:ascii="Arial" w:cs="Arial" w:eastAsia="Arial" w:hAnsi="Arial"/>
                <w:sz w:val="18"/>
                <w:szCs w:val="18"/>
                <w:color w:val="auto"/>
                <w:w w:val="94"/>
              </w:rPr>
              <w:t>(2)%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284,586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1,659,982</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top w:val="single" w:sz="8" w:color="auto"/>
            </w:tcBorders>
          </w:tcPr>
          <w:p>
            <w:pPr>
              <w:spacing w:after="0"/>
              <w:rPr>
                <w:sz w:val="20"/>
                <w:szCs w:val="20"/>
                <w:color w:val="auto"/>
              </w:rPr>
            </w:pPr>
          </w:p>
        </w:tc>
        <w:tc>
          <w:tcPr>
            <w:tcW w:w="154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1,693,270</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 management &amp; reference</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128,694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80" w:type="dxa"/>
            <w:vAlign w:val="bottom"/>
            <w:tcBorders>
              <w:bottom w:val="single" w:sz="8" w:color="CCEEFF"/>
            </w:tcBorders>
            <w:gridSpan w:val="4"/>
            <w:shd w:val="clear" w:color="auto" w:fill="CCEEFF"/>
          </w:tcPr>
          <w:p>
            <w:pPr>
              <w:jc w:val="center"/>
              <w:ind w:left="1050"/>
              <w:spacing w:after="0"/>
              <w:rPr>
                <w:sz w:val="20"/>
                <w:szCs w:val="20"/>
                <w:color w:val="auto"/>
              </w:rPr>
            </w:pPr>
            <w:r>
              <w:rPr>
                <w:rFonts w:ascii="Arial" w:cs="Arial" w:eastAsia="Arial" w:hAnsi="Arial"/>
                <w:sz w:val="18"/>
                <w:szCs w:val="18"/>
                <w:color w:val="auto"/>
                <w:w w:val="94"/>
              </w:rPr>
              <w:t>(6)%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136,328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1,788,676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40" w:type="dxa"/>
            <w:vAlign w:val="bottom"/>
            <w:tcBorders>
              <w:top w:val="single" w:sz="8" w:color="auto"/>
            </w:tcBorders>
          </w:tcPr>
          <w:p>
            <w:pPr>
              <w:spacing w:after="0"/>
              <w:rPr>
                <w:sz w:val="20"/>
                <w:szCs w:val="20"/>
                <w:color w:val="auto"/>
              </w:rPr>
            </w:pPr>
          </w:p>
        </w:tc>
        <w:tc>
          <w:tcPr>
            <w:tcW w:w="154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1,829,598</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Digital signal processing</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166,880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80" w:type="dxa"/>
            <w:vAlign w:val="bottom"/>
            <w:tcBorders>
              <w:bottom w:val="single" w:sz="8" w:color="CCEEFF"/>
            </w:tcBorders>
            <w:gridSpan w:val="4"/>
            <w:shd w:val="clear" w:color="auto" w:fill="CCEEFF"/>
          </w:tcPr>
          <w:p>
            <w:pPr>
              <w:jc w:val="center"/>
              <w:ind w:left="1050"/>
              <w:spacing w:after="0"/>
              <w:rPr>
                <w:sz w:val="20"/>
                <w:szCs w:val="20"/>
                <w:color w:val="auto"/>
              </w:rPr>
            </w:pPr>
            <w:r>
              <w:rPr>
                <w:rFonts w:ascii="Arial" w:cs="Arial" w:eastAsia="Arial" w:hAnsi="Arial"/>
                <w:sz w:val="18"/>
                <w:szCs w:val="18"/>
                <w:color w:val="auto"/>
                <w:w w:val="94"/>
              </w:rPr>
              <w:t>(5)%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176,580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1,955,556</w:t>
            </w: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0" w:type="dxa"/>
            <w:vAlign w:val="bottom"/>
            <w:tcBorders>
              <w:top w:val="single" w:sz="8" w:color="auto"/>
            </w:tcBorders>
          </w:tcPr>
          <w:p>
            <w:pPr>
              <w:spacing w:after="0"/>
              <w:rPr>
                <w:sz w:val="21"/>
                <w:szCs w:val="21"/>
                <w:color w:val="auto"/>
              </w:rPr>
            </w:pPr>
          </w:p>
        </w:tc>
        <w:tc>
          <w:tcPr>
            <w:tcW w:w="154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2,006,178</w:t>
            </w: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8890</wp:posOffset>
            </wp:positionV>
            <wp:extent cx="1835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8890</wp:posOffset>
            </wp:positionV>
            <wp:extent cx="1835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-130175</wp:posOffset>
            </wp:positionV>
            <wp:extent cx="1835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-130175</wp:posOffset>
            </wp:positionV>
            <wp:extent cx="1835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Revenue by geographic region, based on the primary location of the Company's customers’ design activity for its products, for the three- and nine-month periods ended August 3, 2013 and August 4, 2012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Region</w:t>
            </w:r>
          </w:p>
        </w:tc>
        <w:tc>
          <w:tcPr>
            <w:tcW w:w="180" w:type="dxa"/>
            <w:vAlign w:val="bottom"/>
          </w:tcPr>
          <w:p>
            <w:pPr>
              <w:spacing w:after="0"/>
              <w:rPr>
                <w:sz w:val="19"/>
                <w:szCs w:val="19"/>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 2013</w:t>
            </w:r>
          </w:p>
        </w:tc>
        <w:tc>
          <w:tcPr>
            <w:tcW w:w="1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4, 2012</w:t>
            </w:r>
          </w:p>
        </w:tc>
        <w:tc>
          <w:tcPr>
            <w:tcW w:w="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 2013</w:t>
            </w:r>
          </w:p>
        </w:tc>
        <w:tc>
          <w:tcPr>
            <w:tcW w:w="1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August 4, 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590,155</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25,063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76,769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87,533</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622,977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640,102</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77,790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87,169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214,352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254,195</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93,305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254,597</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57,719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62,084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166,275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179,596</w:t>
            </w:r>
          </w:p>
        </w:tc>
      </w:tr>
      <w:tr>
        <w:trPr>
          <w:trHeight w:val="27"/>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674,172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683,026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1,955,556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2,006,178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the three- and nine-month periods ended August 3, 2013 and August 4, 2012, the predominant country comprising “Rest of North and South America” is Canada; the predominant countries comprising “Europe” are Germany, Sweden, France and the United Kingdom; and the predominant countries comprising “Rest of Asia” are Taiwan and South Korea.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6" w:right="239" w:bottom="1440" w:gutter="0" w:footer="0" w:header="0"/>
        </w:sectPr>
      </w:pPr>
    </w:p>
    <w:bookmarkStart w:id="14" w:name="page15"/>
    <w:bookmarkEnd w:id="14"/>
    <w:p>
      <w:pPr>
        <w:ind w:right="140"/>
        <w:spacing w:after="0" w:line="264" w:lineRule="auto"/>
        <w:rPr>
          <w:sz w:val="20"/>
          <w:szCs w:val="20"/>
          <w:color w:val="auto"/>
        </w:rPr>
      </w:pPr>
      <w:r>
        <w:rPr>
          <w:rFonts w:ascii="Arial" w:cs="Arial" w:eastAsia="Arial" w:hAnsi="Arial"/>
          <w:sz w:val="18"/>
          <w:szCs w:val="18"/>
          <w:color w:val="auto"/>
        </w:rPr>
        <w:t>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2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tables below, set forth by level, the Company’s financial assets and liabilities, excluding accrued interest components that were accounted for at fair value on a recurring basis as of August 3, 2013 and November 3, 2012. The tables exclude cash on hand and assets and liabilities that are measured at historical cost or any basis other than fair value. As of August 3, 2013 and November 3, 2012, the Company held $57.7 million and $38.9 million, respectively, of cash and held-to-maturity investments that were excluded from the tables below.</w:t>
      </w:r>
    </w:p>
    <w:p>
      <w:pPr>
        <w:spacing w:after="0" w:line="125"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August 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113,010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113,010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289,356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3,478,510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3,478,510</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177,336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177,336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39,325</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255,050</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40,004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16,302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129,312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4,279,581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4,408,893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1780" w:hanging="5288"/>
        <w:spacing w:after="0" w:line="559"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August 3, 2013 was $3,789.4 million. 13</w:t>
      </w:r>
    </w:p>
    <w:p>
      <w:pPr>
        <w:sectPr>
          <w:pgSz w:w="11900" w:h="16838" w:orient="portrait"/>
          <w:cols w:equalWidth="0" w:num="1">
            <w:col w:w="11420"/>
          </w:cols>
          <w:pgMar w:left="240" w:top="665" w:right="239" w:bottom="1440" w:gutter="0" w:footer="0" w:header="0"/>
        </w:sectPr>
      </w:pPr>
    </w:p>
    <w:bookmarkStart w:id="15" w:name="page16"/>
    <w:bookmarkEnd w:id="15"/>
    <w:p>
      <w:pPr>
        <w:ind w:left="660" w:right="40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a master netting arrangement by counterparty with respect to derivative contracts. As of August 3, 2013, contracts in an asset position of $3.0 million were netted against contracts in a liability position in the Company's condensed consolidated balance sheet.</w:t>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November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143,876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143,876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347,028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347,028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2,818,798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2,818,798</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280,065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280,065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234,280</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28,480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172,356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3,718,640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3,890,996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12,219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November 3, 2012 was $3,327.5 million.</w:t>
      </w:r>
    </w:p>
    <w:p>
      <w:pPr>
        <w:spacing w:after="0" w:line="23" w:lineRule="exact"/>
        <w:rPr>
          <w:rFonts w:ascii="Arial" w:cs="Arial" w:eastAsia="Arial" w:hAnsi="Arial"/>
          <w:sz w:val="18"/>
          <w:szCs w:val="18"/>
          <w:color w:val="auto"/>
        </w:rPr>
      </w:pPr>
    </w:p>
    <w:p>
      <w:pPr>
        <w:ind w:left="660" w:right="40" w:hanging="328"/>
        <w:spacing w:after="0" w:line="29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a master netting arrangement by counterparty with respect to derivative contracts. As of November 3, 2012, contracts in a liability position of $1.9 million were netted against contracts in an asset position in the Company's condensed consolidated balance sheet.</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1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ind w:right="160" w:firstLine="432"/>
        <w:spacing w:after="0" w:line="257"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fair value of the contingent consideration was estimated utilizing the income approach and is based upon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inputs not observable in the market. The income approach is based on two steps. The first step involves a projection of the cash flows that is based on the Company’s estimates of the timing and probability of achieving the 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the contingent consideration encompasses the following significant unobservable inputs: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940" w:type="dxa"/>
            <w:vAlign w:val="bottom"/>
            <w:gridSpan w:val="3"/>
            <w:vMerge w:val="restart"/>
          </w:tcPr>
          <w:p>
            <w:pPr>
              <w:ind w:left="40"/>
              <w:spacing w:after="0"/>
              <w:rPr>
                <w:sz w:val="20"/>
                <w:szCs w:val="20"/>
                <w:color w:val="auto"/>
              </w:rPr>
            </w:pPr>
            <w:r>
              <w:rPr>
                <w:rFonts w:ascii="Arial" w:cs="Arial" w:eastAsia="Arial" w:hAnsi="Arial"/>
                <w:sz w:val="18"/>
                <w:szCs w:val="18"/>
                <w:color w:val="auto"/>
              </w:rPr>
              <w:t>Estimated contingent consideration payments</w:t>
            </w: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940" w:type="dxa"/>
            <w:vAlign w:val="bottom"/>
            <w:gridSpan w:val="3"/>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 - 10%</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Timing of cash flows</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1 - 26 months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Probability of achievement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6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Changes in the fair value of the contingent consideration subsequent to the acquisition date that are primarily driven by assumptions pertaining to the achievement of the defined milestones will be recognized in operating income in the period of the estimated fair value change. Significant increases or decreases in any of the inputs in isolation may result in a fluctuation in the fair value measurement.</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change in the fair value of the contingent consideration measured using significant unobservable inputs (Level 3) as of November 3, 2012 and August 3,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16"/>
              <w:spacing w:after="0"/>
              <w:rPr>
                <w:sz w:val="20"/>
                <w:szCs w:val="20"/>
                <w:color w:val="auto"/>
              </w:rPr>
            </w:pPr>
            <w:r>
              <w:rPr>
                <w:rFonts w:ascii="Arial" w:cs="Arial" w:eastAsia="Arial" w:hAnsi="Arial"/>
                <w:sz w:val="14"/>
                <w:szCs w:val="14"/>
                <w:b w:val="1"/>
                <w:bCs w:val="1"/>
                <w:color w:val="auto"/>
              </w:rPr>
              <w:t>Contingent</w:t>
            </w:r>
          </w:p>
        </w:tc>
      </w:tr>
      <w:tr>
        <w:trPr>
          <w:trHeight w:val="192"/>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Consideration</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Balance as of November 3, 2012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12,219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made (1)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adjustment (2)</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86</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August 3,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8,305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2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payment is reflected in the Company's condensed consolidated statements of cash flows as cash used in financing activities related to the liability recognized at fair value as of the acquisition date and as cash provided by operating activities related to the fair value adjustments previously recognized in earnings.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Recorded in research and development expense in the Company's condensed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9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On June 30, 2009, the Company issued $375.0 million aggregate principal amount of 5.0% senior unsecured notes due July 1, 2014 (the 5.0% Notes) with semi-annual fixed interest payments due on January 1 and July 1 of each year, commencing January 1, 2010. On June 6, 2013, the Company redeemed the 5.0% notes. Based on quotes received from third-party banks, the fair value of the 5.0% Notes as of November 3, 2012 was $402.5 million and was classified as a Level 1 measurement according to the fair value hierarchy.</w:t>
      </w:r>
    </w:p>
    <w:p>
      <w:pPr>
        <w:spacing w:after="0" w:line="13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April 4, 2011, the Company issued $375.0 million aggregate principal amount of 3.0% senior unsecured notes due April 15, 2016 (the 3.0% Notes) with semi-annual fixed interest payments due on April 15 and October 15 of each year, commencing October 15, 2011. Based on quotes received from third-party banks, the fair value of the 3.0% Notes as of August 3, 2013 and November 3, 2012 was $391.7 million and $402.3 million, respectively, and is classified as a Level 1 measurement according to the fair value hierarchy.</w:t>
      </w:r>
    </w:p>
    <w:p>
      <w:pPr>
        <w:spacing w:after="0" w:line="133"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On June 3, 2013, the Company issued $500.0 million aggregate principal amount of 2.875% senior unsecured notes due June 1, 2023 (the 2023 Notes) with semi-annual fixed interest payments due on June 1 and December 1 of each year, commencing December 1, 2013. Based on quotes received from third-party banks, the fair value of the 2023 Notes as of August 3, 2013 was $468.3 million and is classified as a Level 1 measurement according to the fair value hierarchy.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Derivatives</w:t>
      </w:r>
    </w:p>
    <w:p>
      <w:pPr>
        <w:spacing w:after="0" w:line="94"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i w:val="1"/>
          <w:iCs w:val="1"/>
          <w:color w:val="auto"/>
        </w:rPr>
        <w:t xml:space="preserve">Foreign Exchange Exposure Management </w:t>
      </w:r>
      <w:r>
        <w:rPr>
          <w:rFonts w:ascii="Arial" w:cs="Arial" w:eastAsia="Arial" w:hAnsi="Arial"/>
          <w:sz w:val="18"/>
          <w:szCs w:val="18"/>
          <w:color w:val="auto"/>
        </w:rPr>
        <w:t>— The Company enters into forward foreign currency exchange contracts to offset certain operational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exposures from the impact of changes in foreign currency exchange rates. Such exposures result from the portion of the Company’s operations, assets and liabilities that are denominated in currencies other</w:t>
      </w:r>
    </w:p>
    <w:p>
      <w:pPr>
        <w:ind w:right="460"/>
        <w:spacing w:after="0" w:line="261" w:lineRule="auto"/>
        <w:rPr>
          <w:sz w:val="20"/>
          <w:szCs w:val="20"/>
          <w:color w:val="auto"/>
        </w:rPr>
      </w:pPr>
      <w:r>
        <w:rPr>
          <w:rFonts w:ascii="Arial" w:cs="Arial" w:eastAsia="Arial" w:hAnsi="Arial"/>
          <w:sz w:val="18"/>
          <w:szCs w:val="18"/>
          <w:color w:val="auto"/>
        </w:rPr>
        <w:t>than the U.S. dollar, primarily the Euro; other significant exposures include the Philippine Peso and the British Pound. These foreign currency exchange contracts are entered into to support transactions made in the normal course of business,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spacing w:after="0" w:line="287" w:lineRule="auto"/>
        <w:rPr>
          <w:sz w:val="20"/>
          <w:szCs w:val="20"/>
          <w:color w:val="auto"/>
        </w:rPr>
      </w:pPr>
      <w:r>
        <w:rPr>
          <w:rFonts w:ascii="Arial" w:cs="Arial" w:eastAsia="Arial" w:hAnsi="Arial"/>
          <w:sz w:val="16"/>
          <w:szCs w:val="16"/>
          <w:color w:val="auto"/>
        </w:rPr>
        <w:t>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reported as a component of accumulated other comprehensive income (loss)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August 3, 2013 and November 3, 2012, the total notional amount of these undesignated hedges was $32.5 million and $31.5 million, respectively. The fair value of these hedging instruments in the Company’s condensed consolidated balance sheets as of August 3, 2013 and November 3, 2012 was immaterial.</w:t>
      </w:r>
    </w:p>
    <w:p>
      <w:pPr>
        <w:spacing w:after="0" w:line="11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Interest Rate Exposure Management </w:t>
      </w:r>
      <w:r>
        <w:rPr>
          <w:rFonts w:ascii="Arial" w:cs="Arial" w:eastAsia="Arial" w:hAnsi="Arial"/>
          <w:sz w:val="18"/>
          <w:szCs w:val="18"/>
          <w:color w:val="auto"/>
        </w:rPr>
        <w:t>— The Company's current and future debt may be subject to interest rate risk. The Company utilizes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to alter interest rate exposure in an attempt to reduce the effects of these changes. On April 24, 2013, the Company entered into a treasury rate lock agreement with Bank of America. This agreement allowed the Company to lock a 10-year US Treasury rate of 1.7845% through June 14, 2013 for its anticipated issuance of the 2023 Notes. The Company designated this agreement as a cash flow hedge. On June 3, 2013, the Company terminated the treasury rate lock simultaneously with the issuance of the 2023 Notes which resulted in a gain of approximately $11.0 million. This gain will be amortized into interest expense over the 10-year term of the 2023 Notes.</w:t>
      </w:r>
    </w:p>
    <w:p>
      <w:pPr>
        <w:spacing w:after="0" w:line="139"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On June 30, 2009, the Company entered into interest rate swap transactions related to its outstanding 5.0% Notes where the Company swapped the notional amount of its $375.0 million of fixed rate debt at 5.0% into floating interest rate debt through July 1, 2014.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amounts earned and owed under the swap agreements were accrued each period and were reported in interest expense. There was no ineffectiveness recognized in any of the periods presented. In the second quarter of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Company's condensed consolidated statements of cash flows. As a result of the termination, the carrying value of the 5.0% Notes was adjusted for the change in the fair value of the interest component of the debt up to the date of the termination of the swap in an amount equal to the fair value of the swap, and was amortized into earnings as a reduction of interest expense over the remaining life of the debt. During the third quarter of fiscal 2013, in conjunction with the redemption of the 5% Notes, the Company recognized the remaining $8.6 million in unamortized proceeds received from the termination of the interest rate swap as other, net expense.</w:t>
      </w:r>
    </w:p>
    <w:p>
      <w:pPr>
        <w:spacing w:after="0" w:line="11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August 3, 2013, nonperformance is not perceived to be a significant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67"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The Company records the fair value of its derivative financial instruments in its condensed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other comprehensive income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jc w:val="both"/>
        <w:ind w:right="160" w:firstLine="432"/>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August 3, 2013 and November 3, 2012 was $197.4 million and $151.8 million, respectively. The fair values of these hedging instruments in the Company’s condensed consolidated balance sheets as of August 3, 2013 and November 3, 2012 were as follows:</w:t>
      </w:r>
    </w:p>
    <w:p>
      <w:pPr>
        <w:spacing w:after="0" w:line="192"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Fair Value At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100" w:type="dxa"/>
            <w:vAlign w:val="bottom"/>
            <w:tcBorders>
              <w:top w:val="single" w:sz="8" w:color="CCEEFF"/>
            </w:tcBorders>
            <w:shd w:val="clear" w:color="auto" w:fill="CCEEFF"/>
          </w:tcPr>
          <w:p>
            <w:pPr>
              <w:spacing w:after="0"/>
              <w:rPr>
                <w:sz w:val="23"/>
                <w:szCs w:val="23"/>
                <w:color w:val="auto"/>
              </w:rPr>
            </w:pPr>
          </w:p>
        </w:tc>
        <w:tc>
          <w:tcPr>
            <w:tcW w:w="3860" w:type="dxa"/>
            <w:vAlign w:val="bottom"/>
            <w:tcBorders>
              <w:top w:val="single" w:sz="8" w:color="CCEEFF"/>
              <w:bottom w:val="single" w:sz="8" w:color="auto"/>
            </w:tcBorders>
            <w:shd w:val="clear" w:color="auto" w:fill="CCEEFF"/>
          </w:tcPr>
          <w:p>
            <w:pPr>
              <w:ind w:left="12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36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4"/>
                <w:szCs w:val="14"/>
                <w:b w:val="1"/>
                <w:bCs w:val="1"/>
                <w:color w:val="auto"/>
              </w:rPr>
              <w:t>August 3, 2013</w:t>
            </w: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4"/>
                <w:szCs w:val="14"/>
                <w:b w:val="1"/>
                <w:bCs w:val="1"/>
                <w:color w:val="auto"/>
                <w:w w:val="95"/>
              </w:rPr>
              <w:t>November 3, 2012</w:t>
            </w: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1,161</w:t>
            </w:r>
          </w:p>
        </w:tc>
      </w:tr>
      <w:tr>
        <w:trPr>
          <w:trHeight w:val="27"/>
        </w:trPr>
        <w:tc>
          <w:tcPr>
            <w:tcW w:w="4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100" w:type="dxa"/>
            <w:vAlign w:val="bottom"/>
            <w:shd w:val="clear" w:color="auto" w:fill="CCEEFF"/>
          </w:tcPr>
          <w:p>
            <w:pPr>
              <w:spacing w:after="0"/>
              <w:rPr>
                <w:sz w:val="21"/>
                <w:szCs w:val="21"/>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160" w:firstLine="432"/>
        <w:spacing w:after="0" w:line="277" w:lineRule="auto"/>
        <w:rPr>
          <w:sz w:val="20"/>
          <w:szCs w:val="20"/>
          <w:color w:val="auto"/>
        </w:rPr>
      </w:pPr>
      <w:r>
        <w:rPr>
          <w:rFonts w:ascii="Arial" w:cs="Arial" w:eastAsia="Arial" w:hAnsi="Arial"/>
          <w:sz w:val="18"/>
          <w:szCs w:val="18"/>
          <w:color w:val="auto"/>
        </w:rPr>
        <w:t>The effect of forward foreign currency derivative instruments designated as cash flow hedges on the Company's condensed consolidated statements of income for the three- and nine-month periods ended August 3, 2013 and August 4, 2012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2013</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4, 2012</w:t>
            </w:r>
          </w:p>
        </w:tc>
        <w:tc>
          <w:tcPr>
            <w:tcW w:w="20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2013</w:t>
            </w:r>
          </w:p>
        </w:tc>
        <w:tc>
          <w:tcPr>
            <w:tcW w:w="200" w:type="dxa"/>
            <w:vAlign w:val="bottom"/>
          </w:tcPr>
          <w:p>
            <w:pPr>
              <w:spacing w:after="0"/>
              <w:rPr>
                <w:sz w:val="22"/>
                <w:szCs w:val="22"/>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August 4, 2012</w:t>
            </w:r>
          </w:p>
        </w:tc>
      </w:tr>
      <w:tr>
        <w:trPr>
          <w:trHeight w:val="21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(Loss) gain recognized in OCI on derivatives (net of taxes of $184,</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$862, $56 and $1,807, 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(11,805)</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7"/>
              </w:rPr>
              <w:t>Loss (gain) reclassified from OCI into income (net of taxes of $60,</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$517, $205 and $1,049, respectively)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6,637</w:t>
            </w:r>
          </w:p>
        </w:tc>
      </w:tr>
      <w:tr>
        <w:trPr>
          <w:trHeight w:val="391"/>
        </w:trPr>
        <w:tc>
          <w:tcPr>
            <w:tcW w:w="11420" w:type="dxa"/>
            <w:vAlign w:val="bottom"/>
            <w:gridSpan w:val="12"/>
          </w:tcPr>
          <w:p>
            <w:pPr>
              <w:jc w:val="right"/>
              <w:ind w:right="195"/>
              <w:spacing w:after="0"/>
              <w:rPr>
                <w:sz w:val="20"/>
                <w:szCs w:val="20"/>
                <w:color w:val="auto"/>
              </w:rPr>
            </w:pPr>
            <w:r>
              <w:rPr>
                <w:rFonts w:ascii="Arial" w:cs="Arial" w:eastAsia="Arial" w:hAnsi="Arial"/>
                <w:sz w:val="18"/>
                <w:szCs w:val="18"/>
                <w:color w:val="auto"/>
                <w:w w:val="93"/>
              </w:rPr>
              <w:t>The amounts reclassified into earnings before tax are recognized in cost of sales and operating expenses for the three- and nine-month periods ended</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August 3, 2013 and August 4, 2012 were as follows: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9"/>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2013</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4, 2012</w:t>
            </w:r>
          </w:p>
        </w:tc>
        <w:tc>
          <w:tcPr>
            <w:tcW w:w="20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2013</w:t>
            </w:r>
          </w:p>
        </w:tc>
        <w:tc>
          <w:tcPr>
            <w:tcW w:w="200" w:type="dxa"/>
            <w:vAlign w:val="bottom"/>
          </w:tcPr>
          <w:p>
            <w:pPr>
              <w:spacing w:after="0"/>
              <w:rPr>
                <w:sz w:val="22"/>
                <w:szCs w:val="22"/>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August 4, 2012</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2,071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2,703</w:t>
            </w:r>
          </w:p>
        </w:tc>
      </w:tr>
      <w:tr>
        <w:trPr>
          <w:trHeight w:val="27"/>
        </w:trPr>
        <w:tc>
          <w:tcPr>
            <w:tcW w:w="5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derivative gains and losses related to forward foreign currency derivative instruments included in OCI will be reclassified into earnings within the next 12 months. There was no ineffectiveness in the three- and nine-month periods ended August 3, 2013 and August 4,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The Company evaluates goodwill for impairment annually,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4) or more frequently if indicators of impairment exist. For the Company’s latest annual impairment assessment that occurred on August 5, 2012,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periods presented. The Company’s next annual impairment assessment will be performed as of the first day of the fourth quarter of fiscal 2013, unless indicators arise that would require the Company to reevaluate at an earlier date. The following table presents the changes in goodwill during the first nine months of fiscal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9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7"/>
              </w:rPr>
              <w:t>Nine Months Ended</w:t>
            </w:r>
          </w:p>
        </w:tc>
      </w:tr>
      <w:tr>
        <w:trPr>
          <w:trHeight w:val="250"/>
        </w:trPr>
        <w:tc>
          <w:tcPr>
            <w:tcW w:w="96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August 3, 2013</w:t>
            </w:r>
          </w:p>
        </w:tc>
      </w:tr>
      <w:tr>
        <w:trPr>
          <w:trHeight w:val="250"/>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3,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283,833</w:t>
            </w: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(3,242)</w:t>
            </w:r>
          </w:p>
        </w:tc>
      </w:tr>
      <w:tr>
        <w:trPr>
          <w:trHeight w:val="27"/>
        </w:trPr>
        <w:tc>
          <w:tcPr>
            <w:tcW w:w="9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August 3,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280,591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As of August 3, 2013 and November 3, 2012, the Company’s finite-lived intangible assets consisted of the following which related to the acquisition of Multigig, Inc. (See Note 16, Acquisitions,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4"/>
                <w:szCs w:val="14"/>
                <w:b w:val="1"/>
                <w:bCs w:val="1"/>
                <w:color w:val="auto"/>
              </w:rPr>
              <w:t>August 3, 2013</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02"/>
              <w:spacing w:after="0"/>
              <w:rPr>
                <w:sz w:val="20"/>
                <w:szCs w:val="20"/>
                <w:color w:val="auto"/>
              </w:rPr>
            </w:pPr>
            <w:r>
              <w:rPr>
                <w:rFonts w:ascii="Arial" w:cs="Arial" w:eastAsia="Arial" w:hAnsi="Arial"/>
                <w:sz w:val="14"/>
                <w:szCs w:val="14"/>
                <w:b w:val="1"/>
                <w:bCs w:val="1"/>
                <w:color w:val="auto"/>
              </w:rPr>
              <w:t>November 3, 2012</w:t>
            </w: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20" w:type="dxa"/>
            <w:vAlign w:val="bottom"/>
          </w:tcPr>
          <w:p>
            <w:pPr>
              <w:ind w:left="4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3"/>
                <w:szCs w:val="13"/>
                <w:color w:val="auto"/>
              </w:rPr>
            </w:pPr>
          </w:p>
        </w:tc>
        <w:tc>
          <w:tcPr>
            <w:tcW w:w="134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tcPr>
          <w:p>
            <w:pPr>
              <w:ind w:left="380"/>
              <w:spacing w:after="0"/>
              <w:rPr>
                <w:sz w:val="20"/>
                <w:szCs w:val="20"/>
                <w:color w:val="auto"/>
              </w:rPr>
            </w:pPr>
            <w:r>
              <w:rPr>
                <w:rFonts w:ascii="Arial" w:cs="Arial" w:eastAsia="Arial" w:hAnsi="Arial"/>
                <w:sz w:val="14"/>
                <w:szCs w:val="14"/>
                <w:b w:val="1"/>
                <w:bCs w:val="1"/>
                <w:color w:val="auto"/>
                <w:w w:val="95"/>
              </w:rPr>
              <w:t>Amortization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Arial" w:cs="Arial" w:eastAsia="Arial" w:hAnsi="Arial"/>
                <w:sz w:val="14"/>
                <w:szCs w:val="14"/>
                <w:b w:val="1"/>
                <w:bCs w:val="1"/>
                <w:color w:val="auto"/>
              </w:rPr>
              <w:t>Amortization</w:t>
            </w:r>
          </w:p>
        </w:tc>
      </w:tr>
      <w:tr>
        <w:trPr>
          <w:trHeight w:val="243"/>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102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293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128</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For the three- and nine-month periods ended August 3, 2013, amortization expense related to finite-lived intangible assets was $0.1 million and $0.2 million, respectively. Amortization expense related to finite-lived intangible assets for each of the three- and nine-month periods ended August 4, 2012 was $0.1 million. The remaining amortization expense will be recognized over a weighted-average period of approximately 1.8 years.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annual amortization expense for intangible assets to be: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060" w:type="dxa"/>
            <w:vAlign w:val="bottom"/>
          </w:tcPr>
          <w:p>
            <w:pPr>
              <w:jc w:val="right"/>
              <w:ind w:right="253"/>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360" w:type="dxa"/>
            <w:vAlign w:val="bottom"/>
            <w:gridSpan w:val="3"/>
            <w:vMerge w:val="restart"/>
          </w:tcPr>
          <w:p>
            <w:pPr>
              <w:ind w:left="40"/>
              <w:spacing w:after="0"/>
              <w:rPr>
                <w:sz w:val="20"/>
                <w:szCs w:val="20"/>
                <w:color w:val="auto"/>
              </w:rPr>
            </w:pPr>
            <w:r>
              <w:rPr>
                <w:rFonts w:ascii="Arial" w:cs="Arial" w:eastAsia="Arial" w:hAnsi="Arial"/>
                <w:sz w:val="18"/>
                <w:szCs w:val="18"/>
                <w:color w:val="auto"/>
              </w:rPr>
              <w:t>Remainder of fiscal 2013</w:t>
            </w: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360" w:type="dxa"/>
            <w:vAlign w:val="bottom"/>
            <w:gridSpan w:val="3"/>
            <w:vMerge w:val="continue"/>
          </w:tcPr>
          <w:p>
            <w:pPr>
              <w:spacing w:after="0"/>
              <w:rPr>
                <w:sz w:val="20"/>
                <w:szCs w:val="20"/>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8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864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64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Indefinite-lived intangible assets are tested for impairment on an annual basis on the first day of the fourth quarter (on or about August 4) or more frequently if indicators of impairment exist. The impairment test involves the comparison of the fair values of the intangible assets with their carrying values. No impairment of intangible assets resulted from the impairment tests in any of the fiscal periods presented.</w:t>
      </w:r>
    </w:p>
    <w:p>
      <w:pPr>
        <w:spacing w:after="0" w:line="12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Intangible assets, excluding in-process research and development (IPR&amp;D),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R&amp;D efforts. Upon completion of the projects, the IPR&amp;D assets will be amortized over their estimated useful lives.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Indefinite-lived intangible assets consisted of $27.8 million of IPR&amp;D as of August 3, 2013 and November 3,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Pension Plans</w:t>
      </w:r>
    </w:p>
    <w:p>
      <w:pPr>
        <w:spacing w:after="0" w:line="9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2013</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4, 2012</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2013</w:t>
            </w:r>
          </w:p>
        </w:tc>
        <w:tc>
          <w:tcPr>
            <w:tcW w:w="14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August 4, 2012</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9,351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8,185</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initial net obligation</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269</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Pension contributions of $4.4 million and $13.1 million were made by the Company during the three and nine months ended August 3, 2013, respectively. The Company presently anticipates contributing an additional $4.0 million to fund its defined benefit pension plans in fiscal year 2013 for a total of $17.1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Revolving Credit Facility</w:t>
      </w:r>
    </w:p>
    <w:p>
      <w:pPr>
        <w:spacing w:after="0" w:line="229"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As of August 3, 2013, the Company had $4,450.3 million of cash and cash equivalents and short-term investments, of which $1,322.3 million was held in the United States. The balance of the Company's cash and cash equivalents and short-term investments was held outside the United States in various foreign subsidiaries. As the Company intends to reinvest its foreign earnings indefinitely, this cash is not available to meet the Company's cash requirements in the United States, including cash dividends and common stock repurchases. During December 2012, the Company terminated its five-year, $165.0 million unsecured revolving credit facility with certain institutional lenders entered into in May 2008. On December 19, 2012, the Company entered into a five-year, $500.0 million senior unsecured revolving credit facility with certain institutional lenders (the Credit Agreement). To date, the Company has not borrowed under this credit facility but the Company may borrow in the future and use the proceeds for repayment of existing indebtedness, stock repurchases, acquisitions, capital expenditures, working capital and other lawful corporate purposes. Revolving loans under the Credit Agreement (other than swing line loans) bear interest, at the Company's option, at either a rate equal to (a) the Eurodollar Rate (as defined in the Credit Agreement) plus a margin based on the Company's debt rating or (b) the Base Rate (defined as the highest of (i) the Bank of America prime rate, (ii) the Federal Funds Rate (as defined in the Credit Agreement) plus .50% and (iii) one month Eurodollar Rate plus 1.00%) plus a margin based on the Company's debt rating. The terms of the facility impose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August 3, 2013, the Company was compliant with these covenants.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Debt</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June 30, 2009, the Company issued $375.0 million aggregate principal amount of 5.0% senior unsecured notes due July 1, 2014 (the 5.0% Notes) with semi-annual fixed interest payments due on January 1 and July 1 of each year, commencing January 1, 2010. The sale of the 5.0%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5.0% Notes.</w:t>
      </w:r>
    </w:p>
    <w:p>
      <w:pPr>
        <w:spacing w:after="0" w:line="11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On June 30, 2009, the Company entered into interest rate swap transactions related to its outstanding 5.0% Notes where the Company swapped the notional amount of its $375.0 million of fixed rate debt at 5.0% into floating interest rate debt through July 1, 2014</w:t>
      </w:r>
      <w:r>
        <w:rPr>
          <w:rFonts w:ascii="Arial" w:cs="Arial" w:eastAsia="Arial" w:hAnsi="Arial"/>
          <w:sz w:val="17"/>
          <w:szCs w:val="17"/>
          <w:color w:val="FF0000"/>
        </w:rPr>
        <w:t>.</w:t>
      </w:r>
      <w:r>
        <w:rPr>
          <w:rFonts w:ascii="Arial" w:cs="Arial" w:eastAsia="Arial" w:hAnsi="Arial"/>
          <w:sz w:val="17"/>
          <w:szCs w:val="17"/>
          <w:color w:val="auto"/>
        </w:rPr>
        <w:t xml:space="preserve">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 In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Company's condensed consolidated statements of cash flows. As a result of the termination, the carrying value of the 5.0% Notes was adjusted for the change in the fair value of the interest component of the debt up to the date of the termination of the swap in an amount equal to the fair value of the swap, and was amortized into earnings as a reduction of interest expense over the remaining life of the debt. During the third quarter of fiscal 2013, in conjunction with the redemption of the 5% Notes, the Company recognized the remaining unamortized proceeds received from the termination of the interest rate swap as other, net expense, within non-operating (income) expense.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6" w:right="239" w:bottom="1440" w:gutter="0" w:footer="0" w:header="0"/>
        </w:sectPr>
      </w:pPr>
    </w:p>
    <w:bookmarkStart w:id="21" w:name="page22"/>
    <w:bookmarkEnd w:id="21"/>
    <w:p>
      <w:pPr>
        <w:ind w:firstLine="432"/>
        <w:spacing w:after="0" w:line="270" w:lineRule="auto"/>
        <w:rPr>
          <w:sz w:val="20"/>
          <w:szCs w:val="20"/>
          <w:color w:val="auto"/>
        </w:rPr>
      </w:pPr>
      <w:r>
        <w:rPr>
          <w:rFonts w:ascii="Arial" w:cs="Arial" w:eastAsia="Arial" w:hAnsi="Arial"/>
          <w:sz w:val="17"/>
          <w:szCs w:val="17"/>
          <w:color w:val="auto"/>
        </w:rPr>
        <w:t xml:space="preserve">During the third quarter of fiscal 2013, the Company redeemed its outstanding 5.0% Notes. The redemption price was 104.744% of the principal amount of the 5.0% Notes. The Company applied the provisions of Accounting Standards Codification (ASC) Subtopic 470-50, </w:t>
      </w:r>
      <w:r>
        <w:rPr>
          <w:rFonts w:ascii="Arial" w:cs="Arial" w:eastAsia="Arial" w:hAnsi="Arial"/>
          <w:sz w:val="17"/>
          <w:szCs w:val="17"/>
          <w:i w:val="1"/>
          <w:iCs w:val="1"/>
          <w:color w:val="auto"/>
        </w:rPr>
        <w:t>Modifications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Extinguishments </w:t>
      </w:r>
      <w:r>
        <w:rPr>
          <w:rFonts w:ascii="Arial" w:cs="Arial" w:eastAsia="Arial" w:hAnsi="Arial"/>
          <w:sz w:val="17"/>
          <w:szCs w:val="17"/>
          <w:color w:val="auto"/>
        </w:rPr>
        <w:t>(ASC 470-50) in order to determine if the terms of the debt were substantially different and, as a result, whether to apply modification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extinguishment accounting. The Company concluded that the debt transaction qualified as a debt extinguishment and as a result recognized a net loss on debt extinguishment of approximately $10.2 million recorded in other, net expense within non-operating (income) expense. This loss was comprised of the make-whole premium of $17.8 million paid to bondholders on the 5.0% Notes in accordance with the terms of the notes, the recognition of the remaining $8.6 million of unamortized proceeds received from the termination of the interest rate swap associated with the debt, and the write off of approximately $1.0 million of debt issuance and discount costs that remained to be amortized. The write off of the remaining unamortized portion of debt issuance costs, discount and swap proceeds are reflected in the Company's condensed consolidated statements of cash flows within operating activities, and the make-whole premium is reflected within financing activities.</w:t>
      </w:r>
    </w:p>
    <w:p>
      <w:pPr>
        <w:spacing w:after="0" w:line="299"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On December 22, 2010, Analog Devices Holdings B.V., a wholly owned subsidiary of the Company, entered into a credit agreement with Bank of America, N.A., London Branch as administrative agent. The borrower’s obligations were guaranteed by the Company. The credit agreement provided for a term loan facility of $145.0 million, which was set to mature on December 22, 2013. During the first quarter of fiscal 2013, the Company repaid the remaining outstanding principal balance on the loan of $60.1 million and the credit agreement was terminated. The terms of the agreement provided for a three year principal amortization schedule with $3.6 million payable quarterly every March, June, September and December with the balance payable upon the maturity date. During fiscal 2011 and fiscal 2012, the Company made additional principal payments of $17.5 million and $42.0 million, respectively. The loan bore interest at a fluctuating rate for each period equal to the LIBOR rate corresponding with the tenor of the interest period plus a spread of 1.25%. The terms of this facility included limitations on subsidiary indebtedness and on liens against the assets of the Company and its subsidiaries, and also included financial covenants that required the Company to maintain a minimum interest coverage ratio and not exceed a maximum leverage ratio.</w:t>
      </w:r>
    </w:p>
    <w:p>
      <w:pPr>
        <w:spacing w:after="0" w:line="113"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On April 4, 2011, the Company issued $375.0 million aggregate principal amount of 3.0% senior unsecured notes due April 15, 2016 (the 3.0% Notes) with semi-annual fixed interest payments due on April 15 and October 15 of each year, commencing October 15, 2011. The sale of the 3.0%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3.0% Notes. The indenture governing the 3.0%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August 3, 2013, the Company was compliant with these covenants. The 3.0% Notes are subordinated to any future secured debt and to the other liabilities of the Company’s subsidiaries.</w:t>
      </w:r>
    </w:p>
    <w:p>
      <w:pPr>
        <w:spacing w:after="0" w:line="113"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On June 3, 2013, the Company issued $500.0 million aggregate principal amount of 2.875% senior unsecured notes due June 1, 2023 (the 2023 Notes) with semi-annual fixed interest payments due on June 1 and December 1 of each year, commencing December 1, 2013. Prior to issuing the 2023 Notes, on April 24, 2013, the Company entered into a treasury rate lock agreement with Bank of America. This agreement allowed the Company to lock a 10-year US Treasury rate of 1.7845% through June 14, 2013 for its anticipated issuance of the 2023 Notes. Upon issuing the 2023 Notes, the Company simultaneously terminated the treasury rate lock agreement resulting in a gain of approximately $11.0 million. This gain will be amortized into interest expense over the 10-year term of the 2023 Notes. The sale of the 2023 Notes was made pursuant to the terms of an underwriting agreement, dated as of May 22, 2013, among the Company and J.P. Morgan Securities LLC, Merrill Lynch, Pierce, Fenner &amp; Smith Incorporated and Credit Suisse Securities (USA) LLC, as the representatives of the several underwriters named therein. The net proceeds of the offering were $493.9 million, after discount and issuance costs. Debt discount and issuance costs will be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August 3, 2013, the Company was compliant with these covenants. The notes are subordinated to any future secured debt and to the other liabilities of the Company's subsidiaries.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principal payments related to its debt obligations are due as follows: $375.0 million in fiscal 2016 and $500.0 million in fiscal 2023.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665"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15 – Inventories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August 3, 2013 and November 3, 2012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 2013</w:t>
            </w:r>
          </w:p>
        </w:tc>
        <w:tc>
          <w:tcPr>
            <w:tcW w:w="18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November 3,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177,476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185,773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99,839</w:t>
            </w: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284,342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313,723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Acquisitions</w:t>
      </w:r>
    </w:p>
    <w:p>
      <w:pPr>
        <w:spacing w:after="0" w:line="94"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On March 30, 2012, the Company acquired privately-held Multigig, Inc. (Multigig) of San Jose, California. The acquisition of Multigig is expected to enhance the Company’s clocking capabilities in stand-alone and embedded applications and strengthen the Company’s high speed signal processing solutions. The acquisition-date fair value of the consideration transferred totaled $26.8 million, which consisted of $24.2 million in initial cash payments at closing and an additional $2.6 million subject to an indemnification holdback that was payable within 15 months of the transaction date. During the third quarter of fiscal 2012, the Company reduced this holdback amount by $0.1 million as a result of indemnification claims. During the third quarter of fiscal 2013, the Company paid the remaining $2.5 million due under the holdback. The Company’s assessment of fair value of the tangible and intangible assets acquired and liabilities assumed was based on their estimated fair values at the date of acquisition, resulting in the recognition of $15.6 million of IPR&amp;D, $1.1 million of developed technology, $7.0 million of goodwill and $3.1 million of net deferred tax assets. The goodwill recognized is attributable to future technologies that have yet to be determined as well as the assembled workforce of Multigig. Future technologies do not meet the criteria for recognition separately from goodwill because they are a part of future development and growth of the business. None of the goodwill is expected to be deductible for tax purposes. During the fourth quarter of fiscal 2012, the Company finalized its purchase accounting for Multigig, which resulted in adjustments of $0.4 million to deferred taxes and goodwill. In addition, the Company will be obligated to pay royalties to the Multigig employees on revenue recognized from the sale of certain Multigig products through the earlier of 5 years or the aggregate maximum payment of $1.0 million. Royalty payments to Multigig employees require post-acquisition services to be rendered and, as such, the Company will record these amounts as compensation expense in the related periods. As of August 3, 2013, no royalty payments have been made. The Company recognized $0.5 million of acquisition-related costs that were expensed in fiscal 2012, which were included in operating expenses in the Company's condensed consolidated statement of income.</w:t>
      </w:r>
    </w:p>
    <w:p>
      <w:pPr>
        <w:spacing w:after="0" w:line="124"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On June 9, 2011, the Company acquired privately-held Lyric Semiconductor, Inc. (Lyric) of Cambridge, Massachusetts. The acquisition of Lyric gives the Company the potential to achieve significant improvement in power efficiency in mixed signal processing. The acquisition-date fair value of the consideration transferred totaled $27.8 million, which consisted of $14.0 million in initial cash payments at closing and 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August 3, 2013, the Company had paid $6.0 million in contingent consideration. These payments are reflected in the Company's condensed consolidated statements of cash flows as cash used in financing activities related to the liability recognized at fair value as of the acquisition date and cash provided by operating activities related to the fair value adjustments previously recognized in earnings. The Company’s assessment of fair value of the tangible and intangible assets acquired and liabilities assumed was based on their estimated fair values at the date of acquisition, resulting in the recognition of $12.2 million of IPR&amp;D, $18.9 million of goodwill and $3.3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The fair value of the remaining contingent consideration was approximately $8.3 million as of August 3, 2013, of which $4.8 million is included in accrued liabilities and $3.5 million is included in other non-current liabilities in the Company's condensed consolidated balance sheet. In addition, the Company will be obligated to pay royalties to the former equity holders of Lyric on revenue recognized from the sale of Lyric products and licenses through the earlier of 20 years or the accrual of a maximum of $25.0 million. Royalty payments to Lyric employees require post-acquisition services to be rendered and, as such, the Company will record these amounts as compensation expense in the related periods. As of August 3, 2013, no royalty payments have been made. The Company recognized $0.2 million of acquisition-related costs that were expensed in fiscal 2011, which were included in operating expenses in the Company's condensed consolidated statement of income.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ind w:right="200" w:firstLine="432"/>
        <w:spacing w:after="0" w:line="264" w:lineRule="auto"/>
        <w:rPr>
          <w:sz w:val="20"/>
          <w:szCs w:val="20"/>
          <w:color w:val="auto"/>
        </w:rPr>
      </w:pPr>
      <w:r>
        <w:rPr>
          <w:rFonts w:ascii="Arial" w:cs="Arial" w:eastAsia="Arial" w:hAnsi="Arial"/>
          <w:sz w:val="18"/>
          <w:szCs w:val="18"/>
          <w:color w:val="auto"/>
        </w:rPr>
        <w:t>The Company has not provided pro forma results of operations for Multigig and Lyric herein as these acquisitions were not considered material to the Company on either an individual or an aggregate basis. The Company included the results of operations of each acquisition in its condensed consolidated statement of income from the date of each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9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124"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The Company's effective tax rate reflects the applicable tax rate in effect in the various tax jurisdictions around the world where its income is earned. The Company's effective tax rate for the first nine months of fiscal 2013 reflects income earned in lower tax rate jurisdictions established through an international tax restructuring effective January 1, 2013. In addition, the Company's effective tax rate includes a tax benefit of $6.3 million from the reinstatement of the U.S. federal research and development tax credit in January 2013 retroactive to January 1, 2012, a tax benefit of $4.4 million from this credit for the current fiscal year and a tax benefit recorded as a result of the reversal of certain prior period tax liabilities of $6.6 million which combined resulted in lowering the Company's effective tax rate by approximately 3%.</w:t>
      </w:r>
    </w:p>
    <w:p>
      <w:pPr>
        <w:spacing w:after="0" w:line="12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Company has filed a petition with the Tax Court for one open matter for fiscal years 2006 and 2007 that pertains to Section 965 of the Internal Revenue Code related to the beneficial tax treatment of dividends paid from foreign owned companies under The American Jobs Creation Act. The potential liability for this adjustment is $36.5 million. The Company has concluded, based on discussions with its tax advisors that this item is not likely to result in any additional tax liability. Therefore, the Company has not recorded any additional tax liability for this issue.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U.S. federal tax returns prior to fiscal year 2010 are no longer subject to examination.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tax returns in Ireland prior to fiscal year 2009 are no longer subject to examination.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total amounts of unrealized tax benefits for the nine months ended August 3, 2013.</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Unrealized Tax Benefits</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November 3, 2012</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Pr>
          <w:p>
            <w:pPr>
              <w:jc w:val="right"/>
              <w:ind w:right="13"/>
              <w:spacing w:after="0"/>
              <w:rPr>
                <w:sz w:val="20"/>
                <w:szCs w:val="20"/>
                <w:color w:val="auto"/>
              </w:rPr>
            </w:pPr>
            <w:r>
              <w:rPr>
                <w:rFonts w:ascii="Arial" w:cs="Arial" w:eastAsia="Arial" w:hAnsi="Arial"/>
                <w:sz w:val="18"/>
                <w:szCs w:val="18"/>
                <w:b w:val="1"/>
                <w:bCs w:val="1"/>
                <w:color w:val="auto"/>
              </w:rPr>
              <w:t>7,103</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60" w:type="dxa"/>
            <w:vAlign w:val="bottom"/>
          </w:tcPr>
          <w:p>
            <w:pPr>
              <w:spacing w:after="0"/>
              <w:rPr>
                <w:sz w:val="21"/>
                <w:szCs w:val="21"/>
                <w:color w:val="auto"/>
              </w:rPr>
            </w:pPr>
          </w:p>
        </w:tc>
        <w:tc>
          <w:tcPr>
            <w:tcW w:w="2020" w:type="dxa"/>
            <w:vAlign w:val="bottom"/>
          </w:tcPr>
          <w:p>
            <w:pPr>
              <w:jc w:val="right"/>
              <w:ind w:right="13"/>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shd w:val="clear" w:color="auto" w:fill="CCEEFF"/>
          </w:tcPr>
          <w:p>
            <w:pPr>
              <w:spacing w:after="0"/>
              <w:rPr>
                <w:sz w:val="24"/>
                <w:szCs w:val="24"/>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108"/>
        </w:trPr>
        <w:tc>
          <w:tcPr>
            <w:tcW w:w="914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20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August 3, 2013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9,648</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New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 xml:space="preserve">In June 2011, the Financial Accounting Standards Board (FASB) issued Accounting Standards Update (ASU) No. 2011-05,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(ASU No. 2011-05). ASU No. 2011-05 amended Accounting Standards Codification (ASC) 220,</w:t>
      </w:r>
      <w:r>
        <w:rPr>
          <w:rFonts w:ascii="Arial" w:cs="Arial" w:eastAsia="Arial" w:hAnsi="Arial"/>
          <w:sz w:val="16"/>
          <w:szCs w:val="16"/>
          <w:i w:val="1"/>
          <w:iCs w:val="1"/>
          <w:color w:val="auto"/>
        </w:rPr>
        <w:t xml:space="preserve"> Comprehensive Income, </w:t>
      </w:r>
      <w:r>
        <w:rPr>
          <w:rFonts w:ascii="Arial" w:cs="Arial" w:eastAsia="Arial" w:hAnsi="Arial"/>
          <w:sz w:val="16"/>
          <w:szCs w:val="16"/>
          <w:color w:val="auto"/>
        </w:rPr>
        <w:t>to converge</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presentation of comprehensive income between U.S. GAAP and IFRS. ASU No. 2011-05 requires that all non-owner changes in stockholders’ equity be presented in either a single continuous statement of comprehensive income or in two separate but consecutive statements and requires reclassification adjustments for items that are reclassified from other comprehensive income to net income in the statements where the components of net income and the components of other comprehensive income are presented. ASU No. 2011-05 eliminates the option to present the components of other comprehensive income as part of the statement in changes of stockholders equity. ASU No. 2011-05 was effective for fiscal years, and interim periods within those years, beginning after December 15, 2011, which was the Company’s first quarter of fiscal year 2013. The adoption of ASU No. 2011-05 in the first quarter of fiscal 2013 affected the presentation of comprehensive income but did not impact the Company’s financial condition or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Standards to be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w:t>
      </w:r>
    </w:p>
    <w:p>
      <w:pPr>
        <w:spacing w:after="0" w:line="9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 xml:space="preserve">In December 2011, the FASB issued ASU No. 2011-11,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xml:space="preserve"> (ASU No. 2011-11). ASU No. 2011-11 amended ASC 210, </w:t>
      </w:r>
      <w:r>
        <w:rPr>
          <w:rFonts w:ascii="Arial" w:cs="Arial" w:eastAsia="Arial" w:hAnsi="Arial"/>
          <w:sz w:val="17"/>
          <w:szCs w:val="17"/>
          <w:i w:val="1"/>
          <w:iCs w:val="1"/>
          <w:color w:val="auto"/>
        </w:rPr>
        <w:t>Balance Sheet,</w:t>
      </w:r>
      <w:r>
        <w:rPr>
          <w:rFonts w:ascii="Arial" w:cs="Arial" w:eastAsia="Arial" w:hAnsi="Arial"/>
          <w:sz w:val="17"/>
          <w:szCs w:val="17"/>
          <w:color w:val="auto"/>
        </w:rPr>
        <w:t xml:space="preserve"> to converge the presentation of offsetting assets and liabilities between U.S. GAAP and IFRS. ASU No. 2011-11 requires that entities disclose both gross information and net information about both instruments and transactions eligible for offset in the statement of financial position and instruments and transactions subject to an agreement similar to a master netting arrangement. ASU No. 2011-11 is effective for fiscal years, and interim periods within those years, beginning after January 1, 2013, which is the Company’s fiscal year 2014. Subsequently, in January 2013, the FASB issued ASU No. 2013-01, </w:t>
      </w:r>
      <w:r>
        <w:rPr>
          <w:rFonts w:ascii="Arial" w:cs="Arial" w:eastAsia="Arial" w:hAnsi="Arial"/>
          <w:sz w:val="17"/>
          <w:szCs w:val="17"/>
          <w:i w:val="1"/>
          <w:iCs w:val="1"/>
          <w:color w:val="auto"/>
        </w:rPr>
        <w:t>Clarifying the Scope of Disclosures about offsetting Assets and Liabilities</w:t>
      </w:r>
      <w:r>
        <w:rPr>
          <w:rFonts w:ascii="Arial" w:cs="Arial" w:eastAsia="Arial" w:hAnsi="Arial"/>
          <w:sz w:val="17"/>
          <w:szCs w:val="17"/>
          <w:color w:val="auto"/>
        </w:rPr>
        <w:t>, which clarifies that the scope of ASU No. 2011-11 applies to derivatives accounted for in accordance with Topic 815, Derivatives and Hedging,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 The adoption of ASU No. 2011-11 and ASU No. 2013-01 will require additional disclosures related to offsetting assets and liabilities but will not impact the Company's financial condition or results of operations.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 xml:space="preserve">In January 2013, the FASB issued ASU No. 2013-02, </w:t>
      </w:r>
      <w:r>
        <w:rPr>
          <w:rFonts w:ascii="Arial" w:cs="Arial" w:eastAsia="Arial" w:hAnsi="Arial"/>
          <w:sz w:val="17"/>
          <w:szCs w:val="17"/>
          <w:i w:val="1"/>
          <w:iCs w:val="1"/>
          <w:color w:val="auto"/>
        </w:rPr>
        <w:t>Reporting of Amounts Reclassified out of Accumulated Other Comprehensive Income</w:t>
      </w:r>
      <w:r>
        <w:rPr>
          <w:rFonts w:ascii="Arial" w:cs="Arial" w:eastAsia="Arial" w:hAnsi="Arial"/>
          <w:sz w:val="17"/>
          <w:szCs w:val="17"/>
          <w:color w:val="auto"/>
        </w:rPr>
        <w:t xml:space="preserve"> (ASU No. 2013-02), which seek to improve the reporting of reclassifications out of accumulated other comprehensive income by requiring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The amendments in ASU No. 2013-02 supersede the presentation requirements for reclassifications out of accumulated other comprehensive income in ASU No. 2011-05,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and ASU No. 2011-12, </w:t>
      </w:r>
      <w:r>
        <w:rPr>
          <w:rFonts w:ascii="Arial" w:cs="Arial" w:eastAsia="Arial" w:hAnsi="Arial"/>
          <w:sz w:val="17"/>
          <w:szCs w:val="17"/>
          <w:i w:val="1"/>
          <w:iCs w:val="1"/>
          <w:color w:val="auto"/>
        </w:rPr>
        <w:t>Deferral of the Effective Date for</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Amendments to the Presentation of Reclassifications of Items Out of Accumulated Other Comprehensive Income in Accounting Standards Update No. 2011-05</w:t>
      </w:r>
      <w:r>
        <w:rPr>
          <w:rFonts w:ascii="Arial" w:cs="Arial" w:eastAsia="Arial" w:hAnsi="Arial"/>
          <w:sz w:val="17"/>
          <w:szCs w:val="17"/>
          <w:color w:val="auto"/>
        </w:rPr>
        <w:t>. ASU No. 2013-02 is effective for fiscal years, and interim periods within those years, beginning after December 15, 2012, which is the Company's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year 2014. The adoption of ASU No. 2013-02 in the first quarter of fiscal 2014 will affect the presentation of comprehensive income but will not impact the Company's financial condition or results of operations.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In July 2013, the FASB issued ASU No. 2013-11, </w:t>
      </w:r>
      <w:r>
        <w:rPr>
          <w:rFonts w:ascii="Arial" w:cs="Arial" w:eastAsia="Arial" w:hAnsi="Arial"/>
          <w:sz w:val="17"/>
          <w:szCs w:val="17"/>
          <w:i w:val="1"/>
          <w:iCs w:val="1"/>
          <w:color w:val="auto"/>
        </w:rPr>
        <w:t>Presentation of an Unrecognized Tax Benefit When a Net Operating Loss Carryforward, a Similar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 Loss, or a Tax Credit Carryforward Exists </w:t>
      </w:r>
      <w:r>
        <w:rPr>
          <w:rFonts w:ascii="Arial" w:cs="Arial" w:eastAsia="Arial" w:hAnsi="Arial"/>
          <w:sz w:val="17"/>
          <w:szCs w:val="17"/>
          <w:color w:val="auto"/>
        </w:rPr>
        <w:t>(ASU No. 2013-11). ASU No. 2013-11 requires that an unrecognized tax benefit, or a portion of an</w:t>
      </w:r>
      <w:r>
        <w:rPr>
          <w:rFonts w:ascii="Arial" w:cs="Arial" w:eastAsia="Arial" w:hAnsi="Arial"/>
          <w:sz w:val="17"/>
          <w:szCs w:val="17"/>
          <w:i w:val="1"/>
          <w:iCs w:val="1"/>
          <w:color w:val="auto"/>
        </w:rPr>
        <w:t xml:space="preserve"> </w:t>
      </w:r>
      <w:r>
        <w:rPr>
          <w:rFonts w:ascii="Arial" w:cs="Arial" w:eastAsia="Arial" w:hAnsi="Arial"/>
          <w:sz w:val="17"/>
          <w:szCs w:val="17"/>
          <w:color w:val="auto"/>
        </w:rPr>
        <w:t>unrecognized tax benefit, should be presented as a reduction to a deferred tax asset for a net operating loss carryforward, a similar tax loss or a tax credit carryforward, with certain exceptions. ASU No. 2013-11 is effective for fiscal years, and interim periods within those years, beginning after December 15, 2013, which is the Company's first quarter of fiscal year 2015. The adoption of ASU No. 2013-11 in the first quarter of fiscal 2015 will affect the presentation of our unrecognized tax benefits but will not impact the Company's financial condition or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On August 19, 2013, the Board of Directors of the Company declared a cash dividend of $0.34 per outstanding share of common stock. The dividend will be paid on September 11, 2013 to all shareholders of record at the close of business on August 30, 2013.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962" w:right="279" w:bottom="1440" w:gutter="0" w:footer="0" w:header="0"/>
        </w:sectPr>
      </w:pPr>
    </w:p>
    <w:bookmarkStart w:id="25" w:name="page26"/>
    <w:bookmarkEnd w:id="25"/>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3, 2012.</w:t>
      </w:r>
    </w:p>
    <w:p>
      <w:pPr>
        <w:spacing w:after="0" w:line="11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“may” and "will," and variations of such words and similar expressions are intended to identify such forward-looking statements. In addition, any statements that refer to projections regarding our future financial performance; our anticipated growth and trends in our businesses; our future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600" w:type="dxa"/>
            <w:vAlign w:val="bottom"/>
            <w:tcBorders>
              <w:bottom w:val="single" w:sz="8" w:color="auto"/>
            </w:tcBorders>
          </w:tcPr>
          <w:p>
            <w:pPr>
              <w:spacing w:after="0"/>
              <w:rPr>
                <w:sz w:val="16"/>
                <w:szCs w:val="16"/>
                <w:color w:val="auto"/>
              </w:rPr>
            </w:pPr>
          </w:p>
        </w:tc>
      </w:tr>
      <w:tr>
        <w:trPr>
          <w:trHeight w:val="264"/>
        </w:trPr>
        <w:tc>
          <w:tcPr>
            <w:tcW w:w="4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2013</w:t>
            </w:r>
          </w:p>
        </w:tc>
        <w:tc>
          <w:tcPr>
            <w:tcW w:w="20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674,172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683,026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176,239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169,768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332"/>
        </w:trPr>
        <w:tc>
          <w:tcPr>
            <w:tcW w:w="4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1600" w:type="dxa"/>
            <w:vAlign w:val="bottom"/>
            <w:tcBorders>
              <w:bottom w:val="single" w:sz="8" w:color="auto"/>
            </w:tcBorders>
          </w:tcPr>
          <w:p>
            <w:pPr>
              <w:spacing w:after="0"/>
              <w:rPr>
                <w:sz w:val="24"/>
                <w:szCs w:val="24"/>
                <w:color w:val="auto"/>
              </w:rPr>
            </w:pPr>
          </w:p>
        </w:tc>
      </w:tr>
      <w:tr>
        <w:trPr>
          <w:trHeight w:val="264"/>
        </w:trPr>
        <w:tc>
          <w:tcPr>
            <w:tcW w:w="4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2013</w:t>
            </w:r>
          </w:p>
        </w:tc>
        <w:tc>
          <w:tcPr>
            <w:tcW w:w="20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4, 2012</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1,955,556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2,006,178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471,933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472,049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Fiscal 2013 is a 52-week year and fiscal 2012 was a 53-week year. The additional week in fiscal 2012 was included in the first quarter ended February 4, 2012. Therefore, the first nine months of fiscal 2012 included an additional week of operations as compared to the first nine months of fiscal 2013.</w:t>
      </w:r>
    </w:p>
    <w:p>
      <w:pPr>
        <w:spacing w:after="0" w:line="12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type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first nine months of fiscal 2013, our revenue decreased 3% compared to the first nine months of fiscal 2012. Our diluted earnings per share in the first nine months of fiscal 2013 was $1.51 compared to $1.54 in the first nine months of fiscal 2012. Cash flow from operations in the first nine months of fiscal 2013 was $630.2 million, or 32% of revenue. The year-to-year decrease in revenue was attributable to one less week of operations in the first nine months of fiscal 2013 as compared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6" w:name="page27"/>
    <w:bookmarkEnd w:id="26"/>
    <w:p>
      <w:pPr>
        <w:ind w:right="80"/>
        <w:spacing w:after="0" w:line="308" w:lineRule="auto"/>
        <w:rPr>
          <w:sz w:val="20"/>
          <w:szCs w:val="20"/>
          <w:color w:val="auto"/>
        </w:rPr>
      </w:pPr>
      <w:r>
        <w:rPr>
          <w:rFonts w:ascii="Arial" w:cs="Arial" w:eastAsia="Arial" w:hAnsi="Arial"/>
          <w:sz w:val="17"/>
          <w:szCs w:val="17"/>
          <w:color w:val="auto"/>
        </w:rPr>
        <w:t>to the first nine months of fiscal 2012 and continued weakness in the global economic environment. We believe that our variable cost structure and continued efforts to manage production, inventory levels and expenses helped to mitigate the effect that these lower sales levels had on our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August 3, 2013</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August 4, 2012</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2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32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314,196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323,621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120,386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114,876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100,163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106,940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139,427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137,589</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674,172</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683,026</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8890</wp:posOffset>
            </wp:positionV>
            <wp:extent cx="16979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8890</wp:posOffset>
            </wp:positionV>
            <wp:extent cx="16979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-130175</wp:posOffset>
            </wp:positionV>
            <wp:extent cx="16979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-130175</wp:posOffset>
            </wp:positionV>
            <wp:extent cx="16979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August 3, 2013</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August 4, 2012</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2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32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907,109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939,329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350,471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353,579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308,493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327,145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389,483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386,125</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1,955,556</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2,006,178</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year-to-year decrease in revenue in the industrial and consumer end markets in the three-month period ended August 3, 2013 was primarily the result of a weak global economic environment. Automotive end market revenue increased in the three-month period ended August 3, 2013 primarily as a result of an increase in the demand for products used in powertrain electronics and infotainment applications.</w:t>
      </w:r>
    </w:p>
    <w:p>
      <w:pPr>
        <w:spacing w:after="0" w:line="12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year-to-year decrease in revenue in the industrial and consumer end markets in the nine-month period ended August 3, 2013 was primarily the result of a weak global economic environment and one less week of operations in the first nine months of fiscal 2013 as compared to the first nine months of fiscal 2012.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August 3, 2013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August 4, 2012</w:t>
            </w: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Revenue</w:t>
            </w:r>
          </w:p>
        </w:tc>
        <w:tc>
          <w:tcPr>
            <w:tcW w:w="120" w:type="dxa"/>
            <w:vAlign w:val="bottom"/>
            <w:gridSpan w:val="2"/>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16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Revenue</w:t>
            </w:r>
          </w:p>
        </w:tc>
        <w:tc>
          <w:tcPr>
            <w:tcW w:w="120" w:type="dxa"/>
            <w:vAlign w:val="bottom"/>
            <w:gridSpan w:val="2"/>
            <w:vMerge w:val="restart"/>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Revenue*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306,347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80" w:type="dxa"/>
            <w:vAlign w:val="bottom"/>
            <w:tcBorders>
              <w:bottom w:val="single" w:sz="8" w:color="CCEEFF"/>
            </w:tcBorders>
            <w:gridSpan w:val="4"/>
            <w:shd w:val="clear" w:color="auto" w:fill="CCEEFF"/>
          </w:tcPr>
          <w:p>
            <w:pPr>
              <w:jc w:val="right"/>
              <w:ind w:right="2"/>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299,736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171,588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180,989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92,278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98,075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570,213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578,800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45,611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45,403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615,824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624,203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58,348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58,823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674,172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683,026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gridSpan w:val="4"/>
          </w:tcPr>
          <w:p>
            <w:pPr>
              <w:spacing w:after="0"/>
              <w:rPr>
                <w:sz w:val="20"/>
                <w:szCs w:val="20"/>
                <w:color w:val="auto"/>
              </w:rPr>
            </w:pPr>
            <w:r>
              <w:rPr>
                <w:rFonts w:ascii="Arial" w:cs="Arial" w:eastAsia="Arial" w:hAnsi="Arial"/>
                <w:sz w:val="18"/>
                <w:szCs w:val="18"/>
                <w:color w:val="auto"/>
                <w:w w:val="88"/>
              </w:rPr>
              <w:t>* The sum of the individual percentages does not equal the total due to rounding</w:t>
            </w:r>
          </w:p>
        </w:tc>
        <w:tc>
          <w:tcPr>
            <w:tcW w:w="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August 3, 2013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August 4, 2012</w:t>
            </w: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1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Revenue*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885,871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left="662"/>
              <w:spacing w:after="0"/>
              <w:rPr>
                <w:sz w:val="20"/>
                <w:szCs w:val="20"/>
                <w:color w:val="auto"/>
              </w:rPr>
            </w:pPr>
            <w:r>
              <w:rPr>
                <w:rFonts w:ascii="Arial" w:cs="Arial" w:eastAsia="Arial" w:hAnsi="Arial"/>
                <w:sz w:val="18"/>
                <w:szCs w:val="18"/>
                <w:color w:val="auto"/>
                <w:w w:val="92"/>
              </w:rPr>
              <w:t>— %</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885,528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494,234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480" w:type="dxa"/>
            <w:vAlign w:val="bottom"/>
            <w:gridSpan w:val="4"/>
          </w:tcPr>
          <w:p>
            <w:pPr>
              <w:jc w:val="center"/>
              <w:ind w:left="910"/>
              <w:spacing w:after="0"/>
              <w:rPr>
                <w:sz w:val="20"/>
                <w:szCs w:val="20"/>
                <w:color w:val="auto"/>
              </w:rPr>
            </w:pPr>
            <w:r>
              <w:rPr>
                <w:rFonts w:ascii="Arial" w:cs="Arial" w:eastAsia="Arial" w:hAnsi="Arial"/>
                <w:sz w:val="18"/>
                <w:szCs w:val="18"/>
                <w:color w:val="auto"/>
                <w:w w:val="94"/>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279,877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80" w:type="dxa"/>
            <w:vAlign w:val="bottom"/>
            <w:tcBorders>
              <w:bottom w:val="single" w:sz="8" w:color="CCEEFF"/>
            </w:tcBorders>
            <w:gridSpan w:val="4"/>
            <w:shd w:val="clear" w:color="auto" w:fill="CCEEFF"/>
          </w:tcPr>
          <w:p>
            <w:pPr>
              <w:jc w:val="center"/>
              <w:ind w:left="910"/>
              <w:spacing w:after="0"/>
              <w:rPr>
                <w:sz w:val="20"/>
                <w:szCs w:val="20"/>
                <w:color w:val="auto"/>
              </w:rPr>
            </w:pPr>
            <w:r>
              <w:rPr>
                <w:rFonts w:ascii="Arial" w:cs="Arial" w:eastAsia="Arial" w:hAnsi="Arial"/>
                <w:sz w:val="18"/>
                <w:szCs w:val="18"/>
                <w:color w:val="auto"/>
                <w:w w:val="94"/>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284,586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1,659,982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top w:val="single" w:sz="8" w:color="auto"/>
            </w:tcBorders>
          </w:tcPr>
          <w:p>
            <w:pPr>
              <w:spacing w:after="0"/>
              <w:rPr>
                <w:sz w:val="20"/>
                <w:szCs w:val="20"/>
                <w:color w:val="auto"/>
              </w:rPr>
            </w:pPr>
          </w:p>
        </w:tc>
        <w:tc>
          <w:tcPr>
            <w:tcW w:w="1460" w:type="dxa"/>
            <w:vAlign w:val="bottom"/>
            <w:gridSpan w:val="3"/>
          </w:tcPr>
          <w:p>
            <w:pPr>
              <w:jc w:val="center"/>
              <w:ind w:left="890"/>
              <w:spacing w:after="0"/>
              <w:rPr>
                <w:sz w:val="20"/>
                <w:szCs w:val="20"/>
                <w:color w:val="auto"/>
              </w:rPr>
            </w:pPr>
            <w:r>
              <w:rPr>
                <w:rFonts w:ascii="Arial" w:cs="Arial" w:eastAsia="Arial" w:hAnsi="Arial"/>
                <w:sz w:val="18"/>
                <w:szCs w:val="18"/>
                <w:color w:val="auto"/>
                <w:w w:val="94"/>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1,693,270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128,694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80" w:type="dxa"/>
            <w:vAlign w:val="bottom"/>
            <w:tcBorders>
              <w:bottom w:val="single" w:sz="8" w:color="CCEEFF"/>
            </w:tcBorders>
            <w:gridSpan w:val="4"/>
            <w:shd w:val="clear" w:color="auto" w:fill="CCEEFF"/>
          </w:tcPr>
          <w:p>
            <w:pPr>
              <w:jc w:val="center"/>
              <w:ind w:left="910"/>
              <w:spacing w:after="0"/>
              <w:rPr>
                <w:sz w:val="20"/>
                <w:szCs w:val="20"/>
                <w:color w:val="auto"/>
              </w:rPr>
            </w:pPr>
            <w:r>
              <w:rPr>
                <w:rFonts w:ascii="Arial" w:cs="Arial" w:eastAsia="Arial" w:hAnsi="Arial"/>
                <w:sz w:val="18"/>
                <w:szCs w:val="18"/>
                <w:color w:val="auto"/>
                <w:w w:val="94"/>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136,328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1,788,676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Borders>
              <w:top w:val="single" w:sz="8" w:color="auto"/>
            </w:tcBorders>
          </w:tcPr>
          <w:p>
            <w:pPr>
              <w:spacing w:after="0"/>
              <w:rPr>
                <w:sz w:val="20"/>
                <w:szCs w:val="20"/>
                <w:color w:val="auto"/>
              </w:rPr>
            </w:pPr>
          </w:p>
        </w:tc>
        <w:tc>
          <w:tcPr>
            <w:tcW w:w="146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1,829,598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166,880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80" w:type="dxa"/>
            <w:vAlign w:val="bottom"/>
            <w:tcBorders>
              <w:bottom w:val="single" w:sz="8" w:color="CCEEFF"/>
            </w:tcBorders>
            <w:gridSpan w:val="4"/>
            <w:shd w:val="clear" w:color="auto" w:fill="CCEEFF"/>
          </w:tcPr>
          <w:p>
            <w:pPr>
              <w:jc w:val="center"/>
              <w:ind w:left="910"/>
              <w:spacing w:after="0"/>
              <w:rPr>
                <w:sz w:val="20"/>
                <w:szCs w:val="20"/>
                <w:color w:val="auto"/>
              </w:rPr>
            </w:pPr>
            <w:r>
              <w:rPr>
                <w:rFonts w:ascii="Arial" w:cs="Arial" w:eastAsia="Arial" w:hAnsi="Arial"/>
                <w:sz w:val="18"/>
                <w:szCs w:val="18"/>
                <w:color w:val="auto"/>
                <w:w w:val="94"/>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176,580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1,955,556</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Borders>
              <w:top w:val="single" w:sz="8" w:color="auto"/>
            </w:tcBorders>
          </w:tcPr>
          <w:p>
            <w:pPr>
              <w:spacing w:after="0"/>
              <w:rPr>
                <w:sz w:val="21"/>
                <w:szCs w:val="21"/>
                <w:color w:val="auto"/>
              </w:rPr>
            </w:pPr>
          </w:p>
        </w:tc>
        <w:tc>
          <w:tcPr>
            <w:tcW w:w="146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2,006,178</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8890</wp:posOffset>
            </wp:positionV>
            <wp:extent cx="16897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8890</wp:posOffset>
            </wp:positionV>
            <wp:extent cx="16897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-130175</wp:posOffset>
            </wp:positionV>
            <wp:extent cx="16897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-130175</wp:posOffset>
            </wp:positionV>
            <wp:extent cx="16897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5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year-to-year decrease in total revenue in the three-month period ended August 3, 2013 was primarily the result of a broad-based decrease in demand across most product type categories.</w:t>
      </w:r>
    </w:p>
    <w:p>
      <w:pPr>
        <w:spacing w:after="0" w:line="11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year-to-year decrease in total revenue in the nine-month period ended August 3, 2013 was the result of one less week of operations in the first nine months of fiscal 2013 as compared to the first nine months of fiscal 2012 and a broad-based decrease in demand across most product type categories.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Revenue by geographic region, based upon the primary location of our customers’ design activity for our products for the three- and nine-month periods ended August 3, 2013 and August 4, 2012 were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229"/>
        </w:trPr>
        <w:tc>
          <w:tcPr>
            <w:tcW w:w="5040" w:type="dxa"/>
            <w:vAlign w:val="bottom"/>
            <w:gridSpan w:val="3"/>
          </w:tcPr>
          <w:p>
            <w:pPr>
              <w:ind w:left="2320"/>
              <w:spacing w:after="0"/>
              <w:rPr>
                <w:sz w:val="20"/>
                <w:szCs w:val="20"/>
                <w:color w:val="auto"/>
              </w:rPr>
            </w:pPr>
            <w:r>
              <w:rPr>
                <w:rFonts w:ascii="Arial" w:cs="Arial" w:eastAsia="Arial" w:hAnsi="Arial"/>
                <w:sz w:val="14"/>
                <w:szCs w:val="14"/>
                <w:b w:val="1"/>
                <w:bCs w:val="1"/>
                <w:color w:val="auto"/>
              </w:rPr>
              <w:t>Region</w:t>
            </w: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3, 2013</w:t>
            </w: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4, 2012</w:t>
            </w:r>
          </w:p>
        </w:tc>
        <w:tc>
          <w:tcPr>
            <w:tcW w:w="280" w:type="dxa"/>
            <w:vAlign w:val="bottom"/>
          </w:tcPr>
          <w:p>
            <w:pPr>
              <w:spacing w:after="0"/>
              <w:rPr>
                <w:sz w:val="19"/>
                <w:szCs w:val="19"/>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9"/>
                <w:szCs w:val="19"/>
                <w:color w:val="auto"/>
              </w:rPr>
            </w:pPr>
          </w:p>
        </w:tc>
        <w:tc>
          <w:tcPr>
            <w:tcW w:w="1640" w:type="dxa"/>
            <w:vAlign w:val="bottom"/>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1"/>
        </w:trPr>
        <w:tc>
          <w:tcPr>
            <w:tcW w:w="2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25,268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77,790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87,169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89,616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3,689</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57,719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62,084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674,172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683,026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(8,854)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662"/>
        </w:trPr>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229"/>
        </w:trPr>
        <w:tc>
          <w:tcPr>
            <w:tcW w:w="5040" w:type="dxa"/>
            <w:vAlign w:val="bottom"/>
            <w:gridSpan w:val="3"/>
          </w:tcPr>
          <w:p>
            <w:pPr>
              <w:ind w:left="2320"/>
              <w:spacing w:after="0"/>
              <w:rPr>
                <w:sz w:val="20"/>
                <w:szCs w:val="20"/>
                <w:color w:val="auto"/>
              </w:rPr>
            </w:pPr>
            <w:r>
              <w:rPr>
                <w:rFonts w:ascii="Arial" w:cs="Arial" w:eastAsia="Arial" w:hAnsi="Arial"/>
                <w:sz w:val="14"/>
                <w:szCs w:val="14"/>
                <w:b w:val="1"/>
                <w:bCs w:val="1"/>
                <w:color w:val="auto"/>
              </w:rPr>
              <w:t>Region</w:t>
            </w: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3, 2013</w:t>
            </w: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4, 2012</w:t>
            </w:r>
          </w:p>
        </w:tc>
        <w:tc>
          <w:tcPr>
            <w:tcW w:w="280" w:type="dxa"/>
            <w:vAlign w:val="bottom"/>
          </w:tcPr>
          <w:p>
            <w:pPr>
              <w:spacing w:after="0"/>
              <w:rPr>
                <w:sz w:val="19"/>
                <w:szCs w:val="19"/>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9"/>
                <w:szCs w:val="19"/>
                <w:color w:val="auto"/>
              </w:rPr>
            </w:pPr>
          </w:p>
        </w:tc>
        <w:tc>
          <w:tcPr>
            <w:tcW w:w="164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1"/>
        </w:trPr>
        <w:tc>
          <w:tcPr>
            <w:tcW w:w="2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22,984</w:t>
            </w:r>
          </w:p>
        </w:tc>
        <w:tc>
          <w:tcPr>
            <w:tcW w:w="17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4 %</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76,769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87,533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(10,764)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640,102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214,352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254,195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(39,843)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7,447</w:t>
            </w:r>
          </w:p>
        </w:tc>
        <w:tc>
          <w:tcPr>
            <w:tcW w:w="17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3 %</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166,275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179,596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(13,321)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1,955,556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2,006,178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(50,622)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r>
      <w:tr>
        <w:trPr>
          <w:trHeight w:val="20"/>
        </w:trPr>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the three- and nine-month periods ended August 3, 2013 and August 4, 2012, the predominant country comprising “Rest of North and South America” is Canada; the predominant countries comprising “Europe” are Germany, Sweden, France and the United Kingdom; and the predominant countries comprising “Rest of Asia” are Taiwan and South Korea.</w:t>
      </w:r>
    </w:p>
    <w:p>
      <w:pPr>
        <w:spacing w:after="0" w:line="4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a regional basis, the year-over-year sales declines in Japan and Rest of Asia for the three-month period ended August 3, 2013 were primarily the result of lower demand for products used in consumer applications. The year-over-year sales increase in China for the three-month period ended August 3, 2013 was primarily the result of an increase in demand in the industrial end market.</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 regional basis, the year-over-year sales declines in Japan and Rest of Asia and sales increase in the United States for the nine-month period ended August 3, 2013 were primarily the result of product transitions within consumer applications. In addition, the year-over-year sales decline in Europe in the nine-month period ended August 3, 2013 was primarily a result of lower demand in the industrial and automotive end market partially offset by an increase in demand in the communication end market.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17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August 3, 2013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August 4, 2012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August 3, 2013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August 4, 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435,062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447,874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(12,812)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  $</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1,247,541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1,297,719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74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56"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Gross margin percentage was lower by 110 and 90 basis points in the three and nine months ended August 3, 2013, respectively, as compared to the same periods of fiscal 2012, respectively, primarily as a result of decreased operating levels in our manufacturing facilities driven by our efforts to balance manufacturing production, demand and inventory levels.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r>
      <w:tr>
        <w:trPr>
          <w:trHeight w:val="264"/>
        </w:trPr>
        <w:tc>
          <w:tcPr>
            <w:tcW w:w="15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August 3, 2013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August 4, 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August 3, 2013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August 4, 2012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128,947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129,694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382,221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381,609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9"/>
              </w:rPr>
              <w:t>—%</w:t>
            </w:r>
          </w:p>
        </w:tc>
      </w:tr>
      <w:tr>
        <w:trPr>
          <w:trHeight w:val="229"/>
        </w:trPr>
        <w:tc>
          <w:tcPr>
            <w:tcW w:w="1580" w:type="dxa"/>
            <w:vAlign w:val="bottom"/>
          </w:tcPr>
          <w:p>
            <w:pPr>
              <w:ind w:left="40"/>
              <w:spacing w:after="0"/>
              <w:rPr>
                <w:sz w:val="20"/>
                <w:szCs w:val="20"/>
                <w:color w:val="auto"/>
              </w:rPr>
            </w:pPr>
            <w:r>
              <w:rPr>
                <w:rFonts w:ascii="Arial" w:cs="Arial" w:eastAsia="Arial" w:hAnsi="Arial"/>
                <w:sz w:val="18"/>
                <w:szCs w:val="18"/>
                <w:color w:val="auto"/>
                <w:w w:val="95"/>
              </w:rPr>
              <w:t>R&amp;D expenses as a</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5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7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R&amp;D expenses decreased 1% in the three-month period ended August 3, 2013 as compared to the same period of fiscal 2012 as decreases in variable compensation expense linked to our overall profitability and revenue growth, and other operational spending were partially offset by increases in R&amp;D employee salary and benefit expenses.</w:t>
      </w:r>
    </w:p>
    <w:p>
      <w:pPr>
        <w:spacing w:after="0" w:line="127"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R&amp;D expenses remained flat in the nine-month period ended August 3, 2013 as compared to the same period of fiscal 2012 as increases in R&amp;D employee salary and benefit expenses and other operational spending were partially offset by lower variable compensation expense linked to our overall profitability and revenue growth.</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38" w:right="239" w:bottom="1440" w:gutter="0" w:footer="0" w:header="0"/>
        </w:sectPr>
      </w:pPr>
    </w:p>
    <w:bookmarkStart w:id="29" w:name="page30"/>
    <w:bookmarkEnd w:id="29"/>
    <w:p>
      <w:pPr>
        <w:ind w:right="180"/>
        <w:spacing w:after="0" w:line="277" w:lineRule="auto"/>
        <w:rPr>
          <w:sz w:val="20"/>
          <w:szCs w:val="20"/>
          <w:color w:val="auto"/>
        </w:rPr>
      </w:pPr>
      <w:r>
        <w:rPr>
          <w:rFonts w:ascii="Arial" w:cs="Arial" w:eastAsia="Arial" w:hAnsi="Arial"/>
          <w:sz w:val="18"/>
          <w:szCs w:val="18"/>
          <w:color w:val="auto"/>
        </w:rPr>
        <w:t>maintain product leadership with our existing products as well as to provide innovative new product offerings, and therefore, we expect to continue to make significant R&amp;D investments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r>
      <w:tr>
        <w:trPr>
          <w:trHeight w:val="264"/>
        </w:trPr>
        <w:tc>
          <w:tcPr>
            <w:tcW w:w="15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August 3, 2013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1"/>
              </w:rPr>
              <w:t>August 4, 2012</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August 3, 2013</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August 4, 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SMG&amp;A expenses   $</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97,773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99,873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(2,100)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298,036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    298,910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9"/>
              </w:rPr>
              <w:t>—%</w:t>
            </w:r>
          </w:p>
        </w:tc>
      </w:tr>
      <w:tr>
        <w:trPr>
          <w:trHeight w:val="229"/>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SMG&amp;A expenses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as a % of revenue</w:t>
            </w: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7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decreases in SMG&amp;A expenses in the three- and nine-month periods ended August 3, 2013 as compared to the same periods of fiscal 2012 were primarily the result of decreases in SMG&amp;A employee salary and benefit expenses and variable compensation expense linked to our overall profitability and revenue growth, partially offset by increases in other operational spending. In addition, the nine-month period ended August 3, 2013 also included $6.3 million of stock-based compensation expense following the death of the Company's CEO in the second quarter of fiscal 2013 due to the accelerated vesting of restricted stock units in accordance with the terms of his restricted stock unit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 – Reduction of Operating Costs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 These reductions relating to ongoing actions are described below.</w:t>
      </w:r>
    </w:p>
    <w:p>
      <w:pPr>
        <w:spacing w:after="0" w:line="12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During fiscal 2010 through fiscal 2012, we recorded special charges of approximately $22.1 million. These special charges included: $21.1 million for severance and fringe benefit costs in accordance with our ongoing benefit plan or statutory requirements at foreign locations for 269 manufacturing, engineering and SMG&amp;A employees; $0.2 million for lease obligation costs for facilities that we ceased using during the third quarter of fiscal 2012; $0.1 million for contract termination costs; $0.2 million for the write-off of property, plant and equipment; and $0.5 million related to the impairment of intellectual property. These actions resulted in annual cost savings of approximately $32.0 million. We have terminated the employment of all employees associated with these actions.</w:t>
      </w:r>
    </w:p>
    <w:p>
      <w:pPr>
        <w:spacing w:after="0" w:line="13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During the first quarter of fiscal 2013, we recorded a special charge of approximately $14.1 million for severance and fringe benefit costs in accordance with our ongoing benefit plan or statutory requirements at foreign locations for 137 manufacturing, engineering and SMG&amp;A employees. We estimate this action will result in annual cost savings of approximately $17.0 million. We have terminated the employment of all employees associated with this action.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Borders>
              <w:bottom w:val="single" w:sz="8" w:color="auto"/>
            </w:tcBorders>
          </w:tcPr>
          <w:p>
            <w:pPr>
              <w:spacing w:after="0"/>
              <w:rPr>
                <w:sz w:val="16"/>
                <w:szCs w:val="16"/>
                <w:color w:val="auto"/>
              </w:rPr>
            </w:pPr>
          </w:p>
        </w:tc>
      </w:tr>
      <w:tr>
        <w:trPr>
          <w:trHeight w:val="264"/>
        </w:trPr>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August 3, 2013</w:t>
            </w:r>
          </w:p>
        </w:tc>
        <w:tc>
          <w:tcPr>
            <w:tcW w:w="12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4, 2012</w:t>
            </w:r>
          </w:p>
        </w:tc>
        <w:tc>
          <w:tcPr>
            <w:tcW w:w="16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3, 2013</w:t>
            </w:r>
          </w:p>
        </w:tc>
        <w:tc>
          <w:tcPr>
            <w:tcW w:w="12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4, 2012</w:t>
            </w:r>
          </w:p>
        </w:tc>
        <w:tc>
          <w:tcPr>
            <w:tcW w:w="220" w:type="dxa"/>
            <w:vAlign w:val="bottom"/>
          </w:tcPr>
          <w:p>
            <w:pPr>
              <w:spacing w:after="0"/>
              <w:rPr>
                <w:sz w:val="22"/>
                <w:szCs w:val="22"/>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208,342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212,471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553,213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608,769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1580" w:type="dxa"/>
            <w:vAlign w:val="bottom"/>
          </w:tcPr>
          <w:p>
            <w:pPr>
              <w:ind w:left="40"/>
              <w:spacing w:after="0"/>
              <w:rPr>
                <w:sz w:val="20"/>
                <w:szCs w:val="20"/>
                <w:color w:val="auto"/>
              </w:rPr>
            </w:pPr>
            <w:r>
              <w:rPr>
                <w:rFonts w:ascii="Arial" w:cs="Arial" w:eastAsia="Arial" w:hAnsi="Arial"/>
                <w:sz w:val="18"/>
                <w:szCs w:val="18"/>
                <w:color w:val="auto"/>
                <w:w w:val="91"/>
              </w:rPr>
              <w:t>Operating income as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580" w:type="dxa"/>
            <w:vAlign w:val="bottom"/>
          </w:tcPr>
          <w:p>
            <w:pPr>
              <w:ind w:left="40"/>
              <w:spacing w:after="0"/>
              <w:rPr>
                <w:sz w:val="20"/>
                <w:szCs w:val="20"/>
                <w:color w:val="auto"/>
              </w:rPr>
            </w:pPr>
            <w:r>
              <w:rPr>
                <w:rFonts w:ascii="Arial" w:cs="Arial" w:eastAsia="Arial" w:hAnsi="Arial"/>
                <w:sz w:val="18"/>
                <w:szCs w:val="18"/>
                <w:color w:val="auto"/>
              </w:rPr>
              <w:t>a % of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7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The year-over-year decrease in operating income in the three months ended August 3, 2013 was primarily the result of a decrease in revenue of $8.9 million and a 110 basis point decrease in gross margin percentage which was partially offset by decreases in operating expenses of $8.7 million as more fully described above under the headings </w:t>
      </w:r>
      <w:r>
        <w:rPr>
          <w:rFonts w:ascii="Arial" w:cs="Arial" w:eastAsia="Arial" w:hAnsi="Arial"/>
          <w:sz w:val="18"/>
          <w:szCs w:val="18"/>
          <w:i w:val="1"/>
          <w:iCs w:val="1"/>
          <w:color w:val="auto"/>
        </w:rPr>
        <w:t>Research and Development (R&amp;D), Selling, Marketing, General and Administrative (SMG&amp;A) and Special Charges—</w:t>
      </w:r>
      <w:r>
        <w:rPr>
          <w:rFonts w:ascii="Arial" w:cs="Arial" w:eastAsia="Arial" w:hAnsi="Arial"/>
          <w:sz w:val="18"/>
          <w:szCs w:val="18"/>
          <w:color w:val="auto"/>
        </w:rPr>
        <w:t xml:space="preserve"> </w:t>
      </w:r>
      <w:r>
        <w:rPr>
          <w:rFonts w:ascii="Arial" w:cs="Arial" w:eastAsia="Arial" w:hAnsi="Arial"/>
          <w:sz w:val="18"/>
          <w:szCs w:val="18"/>
          <w:i w:val="1"/>
          <w:iCs w:val="1"/>
          <w:color w:val="auto"/>
        </w:rPr>
        <w:t>Reduction of Operating Costs.</w:t>
      </w:r>
    </w:p>
    <w:p>
      <w:pPr>
        <w:spacing w:after="0" w:line="133"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 xml:space="preserve">The year-over-year decrease in operating income in the nine months ended August 3, 2013 was primarily the result of a decrease in revenue of $50.6 million, a 90 basis point decrease in gross margin percentage and a $5.6 million increase in special charges recorded in the first nine months of fiscal 2013 as compared to the same period of fiscal 2012 as more fully described above under the heading </w:t>
      </w:r>
      <w:r>
        <w:rPr>
          <w:rFonts w:ascii="Arial" w:cs="Arial" w:eastAsia="Arial" w:hAnsi="Arial"/>
          <w:sz w:val="16"/>
          <w:szCs w:val="16"/>
          <w:i w:val="1"/>
          <w:iCs w:val="1"/>
          <w:color w:val="auto"/>
        </w:rPr>
        <w:t>Special Charges—Reduction of Operating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3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August 3, 2013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August 4, 2012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7"/>
              </w:rPr>
              <w:t>August 3, 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7"/>
              </w:rPr>
              <w:t>August 4, 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 Change</w:t>
            </w: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7,672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(9,402)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(10,821)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1,419</w:t>
            </w:r>
          </w:p>
        </w:tc>
      </w:tr>
      <w:tr>
        <w:trPr>
          <w:trHeight w:val="27"/>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8,754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10,811</w:t>
            </w:r>
          </w:p>
        </w:tc>
      </w:tr>
      <w:tr>
        <w:trPr>
          <w:trHeight w:val="237"/>
        </w:trPr>
        <w:tc>
          <w:tcPr>
            <w:tcW w:w="318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13,301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10,299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20,402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12,642</w:t>
            </w:r>
          </w:p>
        </w:tc>
      </w:tr>
      <w:tr>
        <w:trPr>
          <w:trHeight w:val="27"/>
        </w:trPr>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a % of revenue</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7"/>
        </w:trPr>
        <w:tc>
          <w:tcPr>
            <w:tcW w:w="3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year-over-year increase in nonoperating expense in the three and nine months ended August 3, 2013 was primarily the result of a net loss on extinguishment of debt of approximately $10.2 million in conjunction with the redemption of our $375.0 million aggregate principal amount of 5.0% senior unsecured notes during the third quarter of fiscal 2013 as more fully described below under the heading 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August 3, 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August 4, 2012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August 3, 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August 4, 2012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18,802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39,701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60,878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128,960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(68,082)</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7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decrease in our effective tax rate for the third quarter of fiscal 2013 compared to the third quarter of fiscal 2012 was primarily due to income earned in lower tax rate jurisdictions as a result of an international tax restructuring effective January 1, 2013. In addition, our effective tax rate for the third quarter of fiscal 2013 was reduced by approximately 2% due to a tax benefit related to the release of a tax reserve for an expired tax year and a tax benefit from the U.S. federal research and development tax credit which was not available during the third quarter of fiscal 2012.</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decrease in our effective tax rate for the first nine months of fiscal 2013 compared to the first nine months of fiscal 2012 was primarily due to income earned in lower tax rate jurisdictions as a result of an international tax restructuring effective January 1, 2013. In addition, our effective tax rate for the first nine months of fiscal 2013 was reduced by approximately 3% as a result of a tax benefit of $6.3 million from the reinstatement of the U.S. federal research and development tax credit in January 2013 retroactive to January 1, 2012, a tax benefit of $4.7 million from this credit for the current fiscal year, which was only available for two months of fiscal 2012, and a tax benefit of $6.6 million recorded as a result of the reversal of certain prior period tax liabilities.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our effective tax rate to be between 14% and 15% for the remainder of fiscal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r>
      <w:tr>
        <w:trPr>
          <w:trHeight w:val="264"/>
        </w:trPr>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August 3, 2013</w:t>
            </w:r>
          </w:p>
        </w:tc>
        <w:tc>
          <w:tcPr>
            <w:tcW w:w="14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August 4, 2012</w:t>
            </w:r>
          </w:p>
        </w:tc>
        <w:tc>
          <w:tcPr>
            <w:tcW w:w="16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3, 2013</w:t>
            </w:r>
          </w:p>
        </w:tc>
        <w:tc>
          <w:tcPr>
            <w:tcW w:w="14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August 4, 2012</w:t>
            </w:r>
          </w:p>
        </w:tc>
        <w:tc>
          <w:tcPr>
            <w:tcW w:w="22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176,239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169,768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471,933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472,049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9"/>
              </w:rPr>
              <w:t>—%</w:t>
            </w:r>
          </w:p>
        </w:tc>
      </w:tr>
      <w:tr>
        <w:trPr>
          <w:trHeight w:val="229"/>
        </w:trPr>
        <w:tc>
          <w:tcPr>
            <w:tcW w:w="1580" w:type="dxa"/>
            <w:vAlign w:val="bottom"/>
          </w:tcPr>
          <w:p>
            <w:pPr>
              <w:ind w:left="40"/>
              <w:spacing w:after="0"/>
              <w:rPr>
                <w:sz w:val="20"/>
                <w:szCs w:val="20"/>
                <w:color w:val="auto"/>
              </w:rPr>
            </w:pPr>
            <w:r>
              <w:rPr>
                <w:rFonts w:ascii="Arial" w:cs="Arial" w:eastAsia="Arial" w:hAnsi="Arial"/>
                <w:sz w:val="18"/>
                <w:szCs w:val="18"/>
                <w:color w:val="auto"/>
                <w:w w:val="99"/>
              </w:rPr>
              <w:t>Net Income as a %</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580" w:type="dxa"/>
            <w:vAlign w:val="bottom"/>
          </w:tcPr>
          <w:p>
            <w:pPr>
              <w:ind w:left="40"/>
              <w:spacing w:after="0"/>
              <w:rPr>
                <w:sz w:val="20"/>
                <w:szCs w:val="20"/>
                <w:color w:val="auto"/>
              </w:rPr>
            </w:pPr>
            <w:r>
              <w:rPr>
                <w:rFonts w:ascii="Arial" w:cs="Arial" w:eastAsia="Arial" w:hAnsi="Arial"/>
                <w:sz w:val="18"/>
                <w:szCs w:val="18"/>
                <w:color w:val="auto"/>
              </w:rPr>
              <w:t>of revenue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1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1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Net income increased 4% in the three months ended August 3, 2013 as compared to the same period of fiscal 2012 as the $20.9 million decrease in provision for income taxes was partially offset by the $10.3 million increase in nonoperating (income) expense and $4.1 million decrease in operating income.</w:t>
      </w:r>
    </w:p>
    <w:p>
      <w:pPr>
        <w:spacing w:after="0" w:line="70"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Net income remained flat in the nine months ended August 3, 2013 as compared to the same period of fiscal 2012 as the $68.1 million decrease in provision for income taxes was offset by the $55.6 million decrease in operating income and the $12.6 million increase in nonoperating (income) expense.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Outlook</w:t>
      </w:r>
    </w:p>
    <w:p>
      <w:pPr>
        <w:spacing w:after="0" w:line="9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The following statements are based on current expectations. These statements are forward-looking and our actual results may differ materially as a result of, among other things, the important factors contained in Part II, Item 1A. "Risk Factors" in this Quarterly Report on Form 10-Q.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 and we disclaim any obligation to update these forward-looking statements.</w:t>
      </w:r>
    </w:p>
    <w:p>
      <w:pPr>
        <w:spacing w:after="0" w:line="13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are planning for revenue in the fourth quarter of fiscal 2013 to be in the range of approximately $675 million to $700 million. Our plan is for gross margin for the fourth quarter of fiscal 2013 to be approximately 65% and for operating expenses to increase by approximately 1%. We expect our effective tax rate to be between 14% and 15%. As a result, we are planning for diluted earnings per share to be in the range of $0.55 to $0.61 in the fourth quarter of fiscal 2013.</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At August 3, 2013, our principal source of liquidity was $4,450.3 million of cash and cash equivalents and short-term investments, of which approximately $1,322.3 million was held in the United States. The balance of our cash and cash equivalents and short-term investments was held outside the United States in various foreign subsidiaries. As we intend to</w:t>
      </w:r>
    </w:p>
    <w:p>
      <w:pPr>
        <w:ind w:right="140"/>
        <w:spacing w:after="0" w:line="253" w:lineRule="auto"/>
        <w:rPr>
          <w:sz w:val="20"/>
          <w:szCs w:val="20"/>
          <w:color w:val="auto"/>
        </w:rPr>
      </w:pPr>
      <w:r>
        <w:rPr>
          <w:rFonts w:ascii="Arial" w:cs="Arial" w:eastAsia="Arial" w:hAnsi="Arial"/>
          <w:sz w:val="18"/>
          <w:szCs w:val="18"/>
          <w:color w:val="auto"/>
        </w:rPr>
        <w:t>reinvest our foreign earnings indefinitely, this cash held outside the United States is not available to meet our cash requirements in the United States, including cash dividends and common stock repurchases. Our cash and cash equivalents consist of highly liquid investments with maturities of three months or less at the time of acquisition and our short-term investments consist primarily of corporate obligations, such as commercial paper and 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137"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6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August 3, 2013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August 4, 2012</w:t>
            </w: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$630,180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$578,495</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Net cash provided by operations as a % of revenue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(699,524)</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(1,233,229)</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Net cash used for financing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(285,880)</w:t>
            </w:r>
          </w:p>
        </w:tc>
      </w:tr>
    </w:tbl>
    <w:p>
      <w:pPr>
        <w:spacing w:after="0" w:line="175"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At August 3, 2013, cash and cash equivalents totaled $460.1 million. The following changes contributed to the net decrease in cash and cash equivalents of $68.8 million in the first nine months of fiscal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nine months of fiscal 2013 we generated cash from operating activities of $630.2 million primarily as a result of changes in working capital.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first nine months of fiscal 2013 cash used for investing activities included $618.5 million for the net purchases of available-for-sale short term investments and $74.5 million for property, plant and equipment additions.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first nine months of fiscal 2013 cash used for financing activities included proceeds of $493.9 million from the issuance of $500.0 million aggregate principal amount of 2.875% senior unsecured notes on June 3, 2013, proceeds of $261.9 million from employee stock options and proceeds of $11.0 million from the settlement of derivative instruments. We paid $392.8 million related to the redemption of the $375.0 million aggregate principal amount of 5.0% senior unsecured notes, distributed $300.0 million to our shareholders in dividend payments and repaid the remaining outstanding principal balance on our $145 million term loan facility of $60.1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2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Working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700" w:type="dxa"/>
            <w:vAlign w:val="bottom"/>
            <w:gridSpan w:val="2"/>
          </w:tcPr>
          <w:p>
            <w:pPr>
              <w:ind w:left="340"/>
              <w:spacing w:after="0"/>
              <w:rPr>
                <w:sz w:val="20"/>
                <w:szCs w:val="20"/>
                <w:color w:val="auto"/>
              </w:rPr>
            </w:pPr>
            <w:r>
              <w:rPr>
                <w:rFonts w:ascii="Arial" w:cs="Arial" w:eastAsia="Arial" w:hAnsi="Arial"/>
                <w:sz w:val="14"/>
                <w:szCs w:val="14"/>
                <w:b w:val="1"/>
                <w:bCs w:val="1"/>
                <w:color w:val="auto"/>
              </w:rPr>
              <w:t>August 3, 2013</w:t>
            </w: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November 3, 2012</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$345,437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$284,342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$313,723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(29,381)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17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increase in accounts receivable in dollars and in days was primarily the result of higher product shipments made to our distributors in the final month of the third quarter of fiscal 2013 as compared to the final month of the fourth quarter of fiscal 2012.</w:t>
      </w:r>
    </w:p>
    <w:p>
      <w:pPr>
        <w:spacing w:after="0" w:line="11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Inventory decreased as a result of our continued efforts to balance manufacturing production, demand and inventory levels. Days cost of sales in inventory decreased from 114 days at the end of the fourth fiscal quarter of 2012 to 109 days at the end of the third quarter of fiscal 2013 as a result of cost of sales remaining flat while inventory decreased by 9% for the same period.</w:t>
      </w:r>
    </w:p>
    <w:p>
      <w:pPr>
        <w:spacing w:after="0" w:line="12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Current liabilities decreased to $491.8 million at August 3, 2013, a decrease of $33.3 million, or 6%, from $525.1 million at the end of fiscal 2012. This decrease was primarily due to a decrease in accrued liabilities as a result of lower variable compensation expense accruals and a decrease in the current portion of long term debt that related to the $145 million term loan facility, which we repaid in the first quarter of fiscal 2013. These decreases were partially offset by an increase in deferred income on shipments to distributors, net, which is more fully described below.</w:t>
      </w:r>
    </w:p>
    <w:p>
      <w:pPr>
        <w:spacing w:after="0" w:line="11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As of August 3, 2013 and November 3, 2012, we had gross deferred revenue of $326.2 million and $299.0 million, respectively, and gross deferred cost of sales of $67.2 million and $60.5 million, respectively. Deferred income on shipments to distributors increased in the first nine months of fiscal 2013 primarily as a result of a mix shift in favor of higher margin products sold into the channel.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3, 2013, we had $872.1 million in principal outstanding on our long term debt. Our debt obligations consist of the following: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3.0% senior unsecured notes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On April 4, 2011, we issued $375.0 million aggregate principal amount of 3.0% senior unsecured notes due April 15, 2016 (the 3.0% Notes) with semi-annual fixed interest payments due on April 15 and October 15 of each year, commencing October 15, 2011.</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$500.0 million aggregate principal amount of 2.875% senior unsecured notes</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June 3, 2013, we issued $500.0 million aggregate principal amount of 2.875% senior unsecured notes due June 1, 2023 (the 2023 Notes) with semi-annual fixed interest payments due on June 1 and December 1 of each year, commencing December 1, 2013.</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indentures governing the 3.0% Notes and the 2023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August 3, 2013, we were compliant with these covenants. See Note 14, Debt</w:t>
      </w:r>
      <w:r>
        <w:rPr>
          <w:rFonts w:ascii="Arial" w:cs="Arial" w:eastAsia="Arial" w:hAnsi="Arial"/>
          <w:sz w:val="18"/>
          <w:szCs w:val="18"/>
          <w:i w:val="1"/>
          <w:iCs w:val="1"/>
          <w:color w:val="auto"/>
        </w:rPr>
        <w:t>,</w:t>
      </w:r>
      <w:r>
        <w:rPr>
          <w:rFonts w:ascii="Arial" w:cs="Arial" w:eastAsia="Arial" w:hAnsi="Arial"/>
          <w:sz w:val="18"/>
          <w:szCs w:val="18"/>
          <w:color w:val="auto"/>
        </w:rPr>
        <w:t xml:space="preserve"> of the Notes to our Condensed Consolidated Financial Statements contained in Item 1 of this Quarterly Report on Form 10-Q for further information on our outstanding debt.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Revolving Credit Facility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3" w:name="page34"/>
    <w:bookmarkEnd w:id="33"/>
    <w:p>
      <w:pPr>
        <w:ind w:right="60" w:firstLine="432"/>
        <w:spacing w:after="0" w:line="272" w:lineRule="auto"/>
        <w:rPr>
          <w:sz w:val="20"/>
          <w:szCs w:val="20"/>
          <w:color w:val="auto"/>
        </w:rPr>
      </w:pPr>
      <w:r>
        <w:rPr>
          <w:rFonts w:ascii="Arial" w:cs="Arial" w:eastAsia="Arial" w:hAnsi="Arial"/>
          <w:sz w:val="17"/>
          <w:szCs w:val="17"/>
          <w:color w:val="auto"/>
        </w:rPr>
        <w:t>During December 2012, we terminated our five-year, $165.0 million unsecured revolving credit facility with certain institutional lenders entered into in May 2008. On December 19, 2012, we entered into a five-year, $500.0 million senior unsecured revolving credit facility with certain institutional lenders. To date, we have not borrowed under this credit facility but we may borrow in the future and use the proceeds for repayment of existing indebtedness, stock repurchases, acquisitions, capital expenditures, working capital and other lawful corporate purposes. The terms of the facility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August 3, 2013, we were compliant with these covenants.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$145.0 Million Term Loan Facility</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December 22, 2010, Analog Devices Holdings B.V., our wholly owned subsidiary, entered into a credit agreement with Bank of America, N.A., London Branch as administrative agent. The borrower's obligations were guaranteed by us. The credit agreement provided for a $145.0 million term loan facility, which was set to mature on December 22, 2013. During the first quarter of fiscal 2013, we repaid the remaining outstanding principal balance on the loan of $60.1 million and the credit agreement was terminated.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$375.0 Million Aggregate Principal Amount of 5.0% Senior Unsecured Notes</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During the third quarter of fiscal 2013, we redeemed our outstanding 5.0% Notes which were due on July 1, 2014. The redemption price was 104.744% of the principal amount of the notes. We recognized a net loss on debt extinguishment of approximately $10.2 million recorded in other, net expense within non-operating (income) expense. The loss was comprised of the make-whole premium of $17.8 million paid to bondholders on the 5.0% Notes in accordance with the terms of the notes, the recognition of the remaining $8.6 million of unamortized proceeds received from the termination of the interest rate swap associated with the debt, and the write off of approximately $1.0 million of debt issuance and discount costs that remained to be amortized. The write off of the remaining unamortized portion of debt issuance costs, discount and swap proceeds are reflected in our condensed consolidated statements of cash flows within operating activities, and the make-whole premium is reflected within financing activities.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common stock repurchase program has been in place since August 2004. In the aggregate, our Board of Directors has authorized us to repurchase $5.0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August 3, 2013, we had repurchased a total of approximately 129.2 million shares of our common stock for approximately $4,439.0 million under this program. As of August 3, 2013, an additional $561.0 million remains available for repurchase of shares under the current authorized program. The repurchased shares are held as authorized but unissued shares of common stock. We also from time to time repurchase shares in settlement of employee tax withholding obligations due upon the vesting of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additions to property, plant and equipment were $74.5 million in the first nine months of fiscal 2013 and were funded with a combination of cash on hand and cash generated from operations. We expect capital expenditures for manufacturing and engineering capabilities of approximately $113 million and international facility expansions of approximately $12 million for fiscal 2013. These capital expenditures will be funded with a combination of cash on hand and cash generated from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On August 19, 2013, our Board of Directors declared a cash dividend of $0.34 per outstanding share of common stock. The dividend will be paid on September 11, 2013 to all shareholders of record at the close of business on August 30, 2013 and is expected to total approximately $105.6 million. We currently expect quarterly dividends to continue at $0.34 per share, although they remain subject to determination and declaration by our Board of Directors. The payment of future dividends, if any, will be based on several factors, including our financial performance, outlook and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4" w:name="page35"/>
    <w:bookmarkEnd w:id="34"/>
    <w:p>
      <w:pPr>
        <w:ind w:right="40"/>
        <w:spacing w:after="0" w:line="292" w:lineRule="auto"/>
        <w:rPr>
          <w:sz w:val="20"/>
          <w:szCs w:val="20"/>
          <w:color w:val="auto"/>
        </w:rPr>
      </w:pPr>
      <w:r>
        <w:rPr>
          <w:rFonts w:ascii="Arial" w:cs="Arial" w:eastAsia="Arial" w:hAnsi="Arial"/>
          <w:sz w:val="17"/>
          <w:szCs w:val="17"/>
          <w:color w:val="auto"/>
        </w:rPr>
        <w:t>In the first quarter of fiscal 2013, we repaid the remaining outstanding principal balance of $60.1 million on our $145.0 million term loan and in the third quarter of fiscal 2013, we redeemed the 5.0% Notes. As a result of the repayments, the amounts previously reflected as “Debt obligations” and the associated interest amounts reflected as "Interest payments associated with long-term debt obligations" in the contractual obligations table contained in the section entitled “Management's Discussion and Analysis of Financial Condition and Results of Operations” of our Annual Report on Form 10-K for the fiscal year ended November 3, 2012 decreased by approximately $435.1 million and $38.4 million, respectively.</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third quarter of fiscal 2013, on June 3, 2013, we issued $500.0 million aggregate principal amount of 2.875% senior unsecured notes due June 1, 2023 (the 2023 Notes) with semi-annual fixed interest payments due on June 1 and December 1 of each year, commencing December 1, 2013. Prior to issuing the 2023 Notes, on April 24, 2013, we entered into a treasury rate lock agreement with Bank of America. This agreement allowed us to lock a 10-year US Treasury rate of 1.7845% through June 14, 2013 for our anticipated issuance of the 2023 Notes. Upon issuing the 2023 Notes, we simultaneously terminated the treasury rate lock agreement resulting in a gain of approximately $11.0 million. This gain will be amortized into interest expense over the 10-year term of the 2023 Notes.</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Assuming the debt obligation is held to maturity, the following amounts will be due under the debt agreements and were not previously reflected in the contractual obligations table contained in the section entitled “Management's Discussion and Analysis of Financial Condition and Results of Operations” of our Annual Report on Form 10-K for the fiscal year ended November 3,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Payment due by period</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w:t>
            </w:r>
          </w:p>
        </w:tc>
      </w:tr>
      <w:tr>
        <w:trPr>
          <w:trHeight w:val="276"/>
        </w:trPr>
        <w:tc>
          <w:tcPr>
            <w:tcW w:w="20" w:type="dxa"/>
            <w:vAlign w:val="bottom"/>
          </w:tcPr>
          <w:p>
            <w:pPr>
              <w:spacing w:after="0"/>
              <w:rPr>
                <w:sz w:val="24"/>
                <w:szCs w:val="24"/>
                <w:color w:val="auto"/>
              </w:rPr>
            </w:pP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1 Year</w:t>
            </w: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1-3 Years</w:t>
            </w: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2"/>
              </w:rPr>
              <w:t>5 Years</w:t>
            </w: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Long-term debt obligations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$ 500,000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500,000</w:t>
            </w: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3"/>
                <w:shd w:val="clear" w:color="auto" w:fill="CCEEFF"/>
              </w:rPr>
              <w:t>Interest payments associated with long-term debt obligations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$ 143,670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shd w:val="clear" w:color="auto" w:fill="CCEEFF"/>
              </w:rPr>
              <w:t>14,295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28,750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shd w:val="clear" w:color="auto" w:fill="CCEEFF"/>
              </w:rPr>
              <w:t>28,750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71,875</w:t>
            </w:r>
          </w:p>
        </w:tc>
      </w:tr>
      <w:tr>
        <w:trPr>
          <w:trHeight w:val="21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ind w:left="340" w:right="140" w:hanging="332"/>
        <w:spacing w:after="0" w:line="259" w:lineRule="auto"/>
        <w:tabs>
          <w:tab w:leader="none" w:pos="38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payments will be partially offset by the amortization of the $11.0 million gain on the treasury rate lock agreement over the 10-year term of the 2023 Notes.</w:t>
      </w:r>
    </w:p>
    <w:p>
      <w:pPr>
        <w:spacing w:after="0" w:line="199"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There have not been any other material changes during the first nine months of fiscal 2013 to the amounts presented in the table summarizing our contractual obligations included in our Annual Report on Form 10-K for the fiscal year ended November 3, 2012.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18, New Accounting Pronouncements</w:t>
      </w:r>
      <w:r>
        <w:rPr>
          <w:rFonts w:ascii="Arial" w:cs="Arial" w:eastAsia="Arial" w:hAnsi="Arial"/>
          <w:sz w:val="17"/>
          <w:szCs w:val="17"/>
          <w:i w:val="1"/>
          <w:iCs w:val="1"/>
          <w:color w:val="auto"/>
        </w:rPr>
        <w:t>,</w:t>
      </w:r>
      <w:r>
        <w:rPr>
          <w:rFonts w:ascii="Arial" w:cs="Arial" w:eastAsia="Arial" w:hAnsi="Arial"/>
          <w:sz w:val="17"/>
          <w:szCs w:val="17"/>
          <w:color w:val="auto"/>
        </w:rPr>
        <w:t xml:space="preserve"> of the Notes to our Condensed Consolidated Financial Statements contained in Item 1 of this Quarterly Report on Form 10-Q for a description of recently issued and adopted accounting pronouncements, including the dates of adoption and impact on our historical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were no material changes in the first nine months of fiscal 2013 to the information provided under the heading “Critical Accounting Policies and Estimates” included in our Annual Report on Form 10-K for the fiscal year ended November 3, 2012.</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On June 3, 2013, we issued for purposes other than trading purposes $500.0 million aggregate principal amount of 2.875% senior unsecured notes due June 1, 2023 with semi-annual fixed interest payments due on June 1 and December 1 of each year, commencing December 1, 2013.</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August 3, 2013, a hypothetical 100 basis point increase in market interest rates would reduce the fair value of our outstanding $375 million 3% senior unsecured notes by approximately $10.0 million. As of August 3, 2013, a similar increase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98"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in market interest rates would reduce the fair value of our $500 million 2.875% senior unsecured notes by approximately $38.0 million.</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There were no other material changes in the first nine months of fiscal 2013 to the information provided under Item 7A. “Quantitative and Qualitative Disclosures about Market Risk” set forth in our Annual Report on Form 10-K for the fiscal year ended November 3, 2012.</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August 3, 2013.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August 3, 2013, our Chief Executive Officer and Chief Financial Officer concluded that, as of such date, our disclosure controls and procedures were effective at the reasonable assurance level.</w:t>
      </w:r>
    </w:p>
    <w:p>
      <w:pPr>
        <w:spacing w:after="0" w:line="125"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August 3, 2013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November 3,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225"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There is significant continuing uncertainty regarding the stability of global credit and financial markets.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Uncertainty regarding the future stability of the Euro Zone could cause the value of the Euro to deteriorate, thus reducing the purchasing power of our European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and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8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 demand for our products and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new product announcements or introductions by us, our customers or our competitors;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00" w:hanging="328"/>
        <w:spacing w:after="0" w:line="3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delay or cancellation of significant customer orders and our ability to manage inventory;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significant litigation-related costs;</w:t>
      </w:r>
    </w:p>
    <w:p>
      <w:pPr>
        <w:spacing w:after="0" w:line="103" w:lineRule="exact"/>
        <w:rPr>
          <w:rFonts w:ascii="Arial" w:cs="Arial" w:eastAsia="Arial" w:hAnsi="Arial"/>
          <w:sz w:val="18"/>
          <w:szCs w:val="18"/>
          <w:color w:val="auto"/>
        </w:rPr>
      </w:pPr>
    </w:p>
    <w:p>
      <w:pPr>
        <w:ind w:left="660" w:right="160" w:hanging="328"/>
        <w:spacing w:after="0" w:line="3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environmental and social responsibility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effective tax rates in the United States, Ireland or worldwide; and</w:t>
      </w:r>
    </w:p>
    <w:p>
      <w:pPr>
        <w:spacing w:after="0" w:line="103" w:lineRule="exact"/>
        <w:rPr>
          <w:rFonts w:ascii="Arial" w:cs="Arial" w:eastAsia="Arial" w:hAnsi="Arial"/>
          <w:sz w:val="18"/>
          <w:szCs w:val="18"/>
          <w:color w:val="auto"/>
        </w:rPr>
      </w:pPr>
    </w:p>
    <w:p>
      <w:pPr>
        <w:ind w:left="660" w:right="20" w:hanging="328"/>
        <w:spacing w:after="0" w:line="38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1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(i) that products stocked in our inventory will not be rendered obsolete before we ship them, or</w:t>
      </w:r>
    </w:p>
    <w:p>
      <w:pPr>
        <w:jc w:val="both"/>
        <w:ind w:right="100" w:firstLine="8"/>
        <w:spacing w:after="0" w:line="254"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we will be able to produce products in a timely fashion to accommodate changing customer demand.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 number of factors may increase our future effective tax rate, including: changes in tax laws or the interpretation of such tax laws; increases in tax rates in various jurisdictions; variation in the jurisdictions in which profits are earned and taxed;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rates could adversely impact our net income during future periods.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02"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638" w:right="299" w:bottom="1440" w:gutter="0" w:footer="0" w:header="0"/>
        </w:sectPr>
      </w:pPr>
    </w:p>
    <w:bookmarkStart w:id="37" w:name="page38"/>
    <w:bookmarkEnd w:id="37"/>
    <w:p>
      <w:pPr>
        <w:ind w:right="34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3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Our future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9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3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 significant percentage of our wafer requirements annually from third-party wafer fabrication foundries, primarily Taiwan Semiconductor Manufacturing Company, or TSMC</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827" w:right="279" w:bottom="1440" w:gutter="0" w:footer="0" w:header="0"/>
        </w:sectPr>
      </w:pPr>
    </w:p>
    <w:bookmarkStart w:id="38" w:name="page39"/>
    <w:bookmarkEnd w:id="38"/>
    <w:p>
      <w:pPr>
        <w:spacing w:after="0" w:line="257" w:lineRule="auto"/>
        <w:rPr>
          <w:sz w:val="20"/>
          <w:szCs w:val="20"/>
          <w:color w:val="auto"/>
        </w:rPr>
      </w:pPr>
      <w:r>
        <w:rPr>
          <w:rFonts w:ascii="Arial" w:cs="Arial" w:eastAsia="Arial" w:hAnsi="Arial"/>
          <w:sz w:val="18"/>
          <w:szCs w:val="18"/>
          <w:color w:val="auto"/>
        </w:rPr>
        <w:t>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2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35"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2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3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indemnity,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65" w:right="259" w:bottom="1440" w:gutter="0" w:footer="0" w:header="0"/>
        </w:sectPr>
      </w:pPr>
    </w:p>
    <w:bookmarkStart w:id="39" w:name="page40"/>
    <w:bookmarkEnd w:id="39"/>
    <w:p>
      <w:pPr>
        <w:ind w:firstLine="432"/>
        <w:spacing w:after="0" w:line="255" w:lineRule="auto"/>
        <w:rPr>
          <w:sz w:val="20"/>
          <w:szCs w:val="20"/>
          <w:color w:val="auto"/>
        </w:rPr>
      </w:pPr>
      <w:r>
        <w:rPr>
          <w:rFonts w:ascii="Arial" w:cs="Arial" w:eastAsia="Arial" w:hAnsi="Arial"/>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139"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significant disruption in, or breach in security of, our information technology systems could materially and adversely affect our business or reputation.</w:t>
      </w:r>
    </w:p>
    <w:p>
      <w:pPr>
        <w:spacing w:after="0" w:line="237" w:lineRule="exact"/>
        <w:rPr>
          <w:sz w:val="20"/>
          <w:szCs w:val="20"/>
          <w:color w:val="auto"/>
        </w:rPr>
      </w:pPr>
    </w:p>
    <w:p>
      <w:pPr>
        <w:ind w:firstLine="297"/>
        <w:spacing w:after="0" w:line="270" w:lineRule="auto"/>
        <w:rPr>
          <w:sz w:val="20"/>
          <w:szCs w:val="20"/>
          <w:color w:val="auto"/>
        </w:rPr>
      </w:pPr>
      <w:r>
        <w:rPr>
          <w:rFonts w:ascii="Arial" w:cs="Arial" w:eastAsia="Arial" w:hAnsi="Arial"/>
          <w:sz w:val="17"/>
          <w:szCs w:val="17"/>
          <w:color w:val="auto"/>
        </w:rPr>
        <w:t>We rely on information technology systems throughout our company to keep financial records, process orders, manage inventory, coordinate shipments to customers, and operate other critical functions. Our information technology systems may be susceptible to damage, disruptions or shutdowns due to power outages, hardware failures, telecommunication failures, user errors, catastrophes or other unforeseen events. We may also be subject to security breaches caused by computer viruses, illegal break-ins or hacking, sabotage, or acts of vandalism by third parties. Our security measures or those of our third party service providers may not detect or prevent security breaches. If we were to experience a prolonged disruption in the information technology systems that involve our interactions with customers or suppliers, it could result in the loss of sales and customers and significant incremental costs, which could adversely affect our business. In addition, security breaches of our information technology systems could result in the misappropriation or unauthorized disclosure of confidential information belonging to us or to our employees, partners, customers or suppliers, which could result in our suffering significant financial or reputational damage.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9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Acquisitions also involve a number of risks, including:</w:t>
      </w:r>
    </w:p>
    <w:p>
      <w:pPr>
        <w:spacing w:after="0" w:line="6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46" w:right="259" w:bottom="1440" w:gutter="0" w:footer="0" w:header="0"/>
        </w:sectPr>
      </w:pPr>
    </w:p>
    <w:bookmarkStart w:id="40" w:name="page41"/>
    <w:bookmarkEnd w:id="40"/>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risk of costly and time-consuming litigation.</w:t>
      </w:r>
    </w:p>
    <w:p>
      <w:pPr>
        <w:spacing w:after="0" w:line="21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For example, in fiscal 2011, our revenue in Japan declined as a result of the severe earthquake and tsunami in that country. In addition, flooding in Thailand and the Philippines in 2012 had disruptive effects on local semiconductor-related businesses.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and the Philippines. Approximately 69% of our revenue is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August 3, 2013, our principal source of liquidity was $4,450.3 million of cash and cash equivalents and short-term investments, of which approximately $1,322.3 million was held in the United States and the remaining balance was held outside the United States in various foreign subsidiaries. As we intend to reinvest our foreign earnings indefinitely, this cash held outside the United States is not readily available to meet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through future debt or equity offerings or from other sources of cash obtained at an acceptable cost, it may be necessary for us to consider repatriation of earnings that are permanently reinvested, and we may be required to pay additional taxes under current tax laws, which could have a material effect on our results of operations and financial condition.</w:t>
      </w:r>
    </w:p>
    <w:p>
      <w:pPr>
        <w:spacing w:after="0" w:line="12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 We also incur significant costs associated with our foreign defined benefit pension plans. There can be no assurance that the value of the plan assets will be sufficient in the future and it is possible that we may be required to make higher cash contributions to the plans in future years, which would reduce the cash available for other business purposes.</w:t>
      </w:r>
    </w:p>
    <w:p>
      <w:pPr>
        <w:spacing w:after="0" w:line="11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indigenous innovation,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38" w:right="239" w:bottom="1440" w:gutter="0" w:footer="0" w:header="0"/>
        </w:sectPr>
      </w:pPr>
    </w:p>
    <w:bookmarkStart w:id="41" w:name="page42"/>
    <w:bookmarkEnd w:id="41"/>
    <w:p>
      <w:pPr>
        <w:ind w:right="620"/>
        <w:spacing w:after="0" w:line="277" w:lineRule="auto"/>
        <w:rPr>
          <w:sz w:val="20"/>
          <w:szCs w:val="20"/>
          <w:color w:val="auto"/>
        </w:rPr>
      </w:pPr>
      <w:r>
        <w:rPr>
          <w:rFonts w:ascii="Arial" w:cs="Arial" w:eastAsia="Arial" w:hAnsi="Arial"/>
          <w:sz w:val="18"/>
          <w:szCs w:val="18"/>
          <w:color w:val="auto"/>
        </w:rPr>
        <w:t>interpretation and enforcement, exposure of our proprietary intellectual property, increased taxation, restrictions on imports, import duties or currency revaluations, which could have an adverse effect on our business plans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increasingly strict environmental, health and safety (EHS) regulations, which could increase our expenses and affect our operating results.</w:t>
      </w:r>
    </w:p>
    <w:p>
      <w:pPr>
        <w:spacing w:after="0" w:line="1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industry is subject to increasingly strict EHS requirements, particularly those environmental requirements that control and restrict the sourcing, use, transportation, emission, discharge, storage and disposal of certain chemicals, minerals, elements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125"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Environmental Protection Agency (EPA) has issued greenhouse gas reporting regulations that may apply to certain of our operations. The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2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senior unsecured notes.</w:t>
      </w:r>
    </w:p>
    <w:p>
      <w:pPr>
        <w:spacing w:after="0" w:line="3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April 2011, we issued in a public offering $375.0 million aggregate principal amount of 3.0% senior unsecured notes due April 15, 2016. In June 2013, we issued in a public offering $500.0 million aggregate principal amount of 2.875% senior unsecured notes due June 1, 2023.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10" w:lineRule="exact"/>
        <w:rPr>
          <w:sz w:val="20"/>
          <w:szCs w:val="20"/>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 including the notes;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borrow under our existing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2" w:name="page43"/>
    <w:bookmarkEnd w:id="42"/>
    <w:p>
      <w:pPr>
        <w:ind w:right="420" w:firstLine="432"/>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possible on economically favorable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and outstanding debt instruments may limit our activities.</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current revolving credit facility and our outstanding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revolving credit facility requires us to maintain compliance with specified financial ratios. If we breach any of the covenants under our revolving credit facility or the indenture governing our outstanding notes and do not obtain appropriate waivers, then, subject to applicable cure periods, our outstanding indebtedness thereunder could be declared immediately due and payable.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8"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right="480" w:hanging="247"/>
        <w:spacing w:after="0" w:line="3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products, technical innovations, material transactions, acquisitions or dispositions, litigation or capital commitments;</w:t>
      </w: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746" w:right="2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660" w:type="dxa"/>
            <w:vAlign w:val="bottom"/>
            <w:gridSpan w:val="4"/>
          </w:tcPr>
          <w:p>
            <w:pPr>
              <w:ind w:left="80"/>
              <w:spacing w:after="0"/>
              <w:rPr>
                <w:sz w:val="20"/>
                <w:szCs w:val="20"/>
                <w:color w:val="auto"/>
              </w:rPr>
            </w:pPr>
            <w:r>
              <w:rPr>
                <w:rFonts w:ascii="Arial" w:cs="Arial" w:eastAsia="Arial" w:hAnsi="Arial"/>
                <w:sz w:val="18"/>
                <w:szCs w:val="18"/>
                <w:b w:val="1"/>
                <w:bCs w:val="1"/>
                <w:color w:val="auto"/>
                <w:w w:val="87"/>
              </w:rPr>
              <w:t>Unregistered Sales of Equity Securities and Use of Proceeds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6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Period</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Paid Per Share (b)</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15"/>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5, 2013 through</w:t>
            </w:r>
          </w:p>
        </w:tc>
        <w:tc>
          <w:tcPr>
            <w:tcW w:w="1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3,532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8"/>
                <w:szCs w:val="18"/>
                <w:color w:val="auto"/>
              </w:rPr>
            </w:pPr>
          </w:p>
        </w:tc>
        <w:tc>
          <w:tcPr>
            <w:tcW w:w="1800" w:type="dxa"/>
            <w:vAlign w:val="bottom"/>
            <w:vMerge w:val="restart"/>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122"/>
        </w:trPr>
        <w:tc>
          <w:tcPr>
            <w:tcW w:w="1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June 1, 2013</w:t>
            </w:r>
          </w:p>
        </w:tc>
        <w:tc>
          <w:tcPr>
            <w:tcW w:w="268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CCEEFF"/>
            </w:tcBorders>
            <w:vMerge w:val="continue"/>
            <w:shd w:val="clear" w:color="auto" w:fill="CCEEFF"/>
          </w:tcPr>
          <w:p>
            <w:pPr>
              <w:spacing w:after="0"/>
              <w:rPr>
                <w:sz w:val="10"/>
                <w:szCs w:val="10"/>
                <w:color w:val="auto"/>
              </w:rPr>
            </w:pPr>
          </w:p>
        </w:tc>
        <w:tc>
          <w:tcPr>
            <w:tcW w:w="2680" w:type="dxa"/>
            <w:vAlign w:val="bottom"/>
            <w:tcBorders>
              <w:bottom w:val="single" w:sz="8" w:color="CCEEFF"/>
            </w:tcBorders>
            <w:shd w:val="clear" w:color="auto" w:fill="CCEEFF"/>
          </w:tcPr>
          <w:p>
            <w:pPr>
              <w:spacing w:after="0"/>
              <w:rPr>
                <w:sz w:val="10"/>
                <w:szCs w:val="10"/>
                <w:color w:val="auto"/>
              </w:rPr>
            </w:pPr>
          </w:p>
        </w:tc>
        <w:tc>
          <w:tcPr>
            <w:tcW w:w="18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June 2, 2013 through</w:t>
            </w:r>
          </w:p>
        </w:tc>
        <w:tc>
          <w:tcPr>
            <w:tcW w:w="1840" w:type="dxa"/>
            <w:vAlign w:val="bottom"/>
            <w:vMerge w:val="restart"/>
          </w:tcPr>
          <w:p>
            <w:pPr>
              <w:jc w:val="right"/>
              <w:ind w:right="38"/>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ind w:right="36"/>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19"/>
                <w:szCs w:val="19"/>
                <w:color w:val="auto"/>
              </w:rPr>
            </w:pPr>
          </w:p>
        </w:tc>
        <w:tc>
          <w:tcPr>
            <w:tcW w:w="1800" w:type="dxa"/>
            <w:vAlign w:val="bottom"/>
            <w:vMerge w:val="restart"/>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40"/>
              <w:spacing w:after="0"/>
              <w:rPr>
                <w:sz w:val="20"/>
                <w:szCs w:val="20"/>
                <w:color w:val="auto"/>
              </w:rPr>
            </w:pPr>
            <w:r>
              <w:rPr>
                <w:rFonts w:ascii="Arial" w:cs="Arial" w:eastAsia="Arial" w:hAnsi="Arial"/>
                <w:sz w:val="18"/>
                <w:szCs w:val="18"/>
                <w:color w:val="auto"/>
              </w:rPr>
              <w:t>June 29, 2013</w:t>
            </w:r>
          </w:p>
        </w:tc>
        <w:tc>
          <w:tcPr>
            <w:tcW w:w="26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26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June 30, 2013 through</w:t>
            </w:r>
          </w:p>
        </w:tc>
        <w:tc>
          <w:tcPr>
            <w:tcW w:w="1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CEEFF"/>
          </w:tcPr>
          <w:p>
            <w:pPr>
              <w:spacing w:after="0"/>
              <w:rPr>
                <w:sz w:val="19"/>
                <w:szCs w:val="19"/>
                <w:color w:val="auto"/>
              </w:rPr>
            </w:pPr>
          </w:p>
        </w:tc>
        <w:tc>
          <w:tcPr>
            <w:tcW w:w="1800" w:type="dxa"/>
            <w:vAlign w:val="bottom"/>
            <w:vMerge w:val="restart"/>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122"/>
        </w:trPr>
        <w:tc>
          <w:tcPr>
            <w:tcW w:w="1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5"/>
              </w:rPr>
              <w:t>August 3, 2013</w:t>
            </w:r>
          </w:p>
        </w:tc>
        <w:tc>
          <w:tcPr>
            <w:tcW w:w="268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CCEEFF"/>
            </w:tcBorders>
            <w:vMerge w:val="continue"/>
            <w:shd w:val="clear" w:color="auto" w:fill="CCEEFF"/>
          </w:tcPr>
          <w:p>
            <w:pPr>
              <w:spacing w:after="0"/>
              <w:rPr>
                <w:sz w:val="11"/>
                <w:szCs w:val="11"/>
                <w:color w:val="auto"/>
              </w:rPr>
            </w:pPr>
          </w:p>
        </w:tc>
        <w:tc>
          <w:tcPr>
            <w:tcW w:w="2680" w:type="dxa"/>
            <w:vAlign w:val="bottom"/>
            <w:tcBorders>
              <w:bottom w:val="single" w:sz="8" w:color="CCEEFF"/>
            </w:tcBorders>
            <w:shd w:val="clear" w:color="auto" w:fill="CCEEFF"/>
          </w:tcPr>
          <w:p>
            <w:pPr>
              <w:spacing w:after="0"/>
              <w:rPr>
                <w:sz w:val="11"/>
                <w:szCs w:val="11"/>
                <w:color w:val="auto"/>
              </w:rPr>
            </w:pPr>
          </w:p>
        </w:tc>
        <w:tc>
          <w:tcPr>
            <w:tcW w:w="18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6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680" w:type="dxa"/>
            <w:vAlign w:val="bottom"/>
          </w:tcPr>
          <w:p>
            <w:pPr>
              <w:ind w:left="5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5,815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5,815 shares withheld by us from employees to satisfy employee tax obligations upon vesting of restricted stock units granted to our employees under our equity compensation plans.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average price paid per share of stock repurchased under the stock repurchase program includes the commissions paid to the brokers. The average price paid for shares in connection with vesting of restricted stock are averages of the closing stock price at the vesting date which is used to calculate the number of shares to be withheld.</w:t>
      </w:r>
    </w:p>
    <w:p>
      <w:pPr>
        <w:spacing w:after="0" w:line="1" w:lineRule="exact"/>
        <w:rPr>
          <w:rFonts w:ascii="Arial" w:cs="Arial" w:eastAsia="Arial" w:hAnsi="Arial"/>
          <w:sz w:val="18"/>
          <w:szCs w:val="18"/>
          <w:color w:val="auto"/>
        </w:rPr>
      </w:pPr>
    </w:p>
    <w:p>
      <w:pPr>
        <w:ind w:left="660" w:right="40" w:hanging="328"/>
        <w:spacing w:after="0" w:line="29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In the aggregate, our Board of Directors has authorized us to repurchase $5.0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3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4" w:name="page45"/>
    <w:bookmarkEnd w:id="44"/>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7840" w:type="dxa"/>
            <w:vAlign w:val="bottom"/>
            <w:gridSpan w:val="2"/>
          </w:tcPr>
          <w:p>
            <w:pPr>
              <w:ind w:left="1560"/>
              <w:spacing w:after="0"/>
              <w:rPr>
                <w:sz w:val="20"/>
                <w:szCs w:val="20"/>
                <w:color w:val="auto"/>
              </w:rPr>
            </w:pPr>
            <w:r>
              <w:rPr>
                <w:rFonts w:ascii="Arial" w:cs="Arial" w:eastAsia="Arial" w:hAnsi="Arial"/>
                <w:sz w:val="18"/>
                <w:szCs w:val="18"/>
                <w:color w:val="auto"/>
              </w:rPr>
              <w:t>ANALOG DEVICES, INC.</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Date: August 20, 2013</w:t>
            </w:r>
          </w:p>
        </w:tc>
        <w:tc>
          <w:tcPr>
            <w:tcW w:w="2080" w:type="dxa"/>
            <w:vAlign w:val="bottom"/>
          </w:tcPr>
          <w:p>
            <w:pPr>
              <w:ind w:left="156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INCENT</w:t>
            </w:r>
            <w:r>
              <w:rPr>
                <w:rFonts w:ascii="Arial" w:cs="Arial" w:eastAsia="Arial" w:hAnsi="Arial"/>
                <w:sz w:val="18"/>
                <w:szCs w:val="18"/>
                <w:color w:val="auto"/>
              </w:rPr>
              <w:t xml:space="preserve"> T. R</w:t>
            </w:r>
            <w:r>
              <w:rPr>
                <w:rFonts w:ascii="Arial" w:cs="Arial" w:eastAsia="Arial" w:hAnsi="Arial"/>
                <w:sz w:val="14"/>
                <w:szCs w:val="14"/>
                <w:color w:val="auto"/>
              </w:rPr>
              <w:t>OCHE</w:t>
            </w:r>
          </w:p>
        </w:tc>
      </w:tr>
      <w:tr>
        <w:trPr>
          <w:trHeight w:val="27"/>
        </w:trPr>
        <w:tc>
          <w:tcPr>
            <w:tcW w:w="3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Vincent T. Roche</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Date: August 20, 2013</w:t>
            </w:r>
          </w:p>
        </w:tc>
        <w:tc>
          <w:tcPr>
            <w:tcW w:w="2080" w:type="dxa"/>
            <w:vAlign w:val="bottom"/>
          </w:tcPr>
          <w:p>
            <w:pPr>
              <w:ind w:left="156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A. Z</w:t>
            </w:r>
            <w:r>
              <w:rPr>
                <w:rFonts w:ascii="Arial" w:cs="Arial" w:eastAsia="Arial" w:hAnsi="Arial"/>
                <w:sz w:val="14"/>
                <w:szCs w:val="14"/>
                <w:color w:val="auto"/>
              </w:rPr>
              <w:t>INSNER</w:t>
            </w:r>
          </w:p>
        </w:tc>
      </w:tr>
      <w:tr>
        <w:trPr>
          <w:trHeight w:val="27"/>
        </w:trPr>
        <w:tc>
          <w:tcPr>
            <w:tcW w:w="3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David A. Zinsner</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Vice President, Finance</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and Chief Financial Officer</w:t>
            </w:r>
          </w:p>
        </w:tc>
      </w:tr>
      <w:tr>
        <w:trPr>
          <w:trHeight w:val="270"/>
        </w:trPr>
        <w:tc>
          <w:tcPr>
            <w:tcW w:w="3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080"/>
          </w:cols>
          <w:pgMar w:left="240" w:top="580" w:right="579" w:bottom="1440" w:gutter="0" w:footer="0" w:header="0"/>
        </w:sectPr>
      </w:pPr>
    </w:p>
    <w:bookmarkStart w:id="45" w:name="page46"/>
    <w:bookmarkEnd w:id="4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2"/>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92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
        </w:trPr>
        <w:tc>
          <w:tcPr>
            <w:tcW w:w="700" w:type="dxa"/>
            <w:vAlign w:val="bottom"/>
            <w:tcBorders>
              <w:top w:val="single" w:sz="8" w:color="auto"/>
              <w:bottom w:val="single" w:sz="8" w:color="auto"/>
            </w:tcBorders>
            <w:vMerge w:val="restart"/>
          </w:tcPr>
          <w:p>
            <w:pPr>
              <w:jc w:val="center"/>
              <w:ind w:left="311"/>
              <w:spacing w:after="0"/>
              <w:rPr>
                <w:sz w:val="20"/>
                <w:szCs w:val="20"/>
                <w:color w:val="auto"/>
              </w:rPr>
            </w:pPr>
            <w:r>
              <w:rPr>
                <w:rFonts w:ascii="Arial" w:cs="Arial" w:eastAsia="Arial" w:hAnsi="Arial"/>
                <w:sz w:val="18"/>
                <w:szCs w:val="18"/>
                <w:color w:val="auto"/>
                <w:w w:val="87"/>
              </w:rPr>
              <w:t>1.1</w:t>
            </w:r>
          </w:p>
        </w:tc>
        <w:tc>
          <w:tcPr>
            <w:tcW w:w="840" w:type="dxa"/>
            <w:vAlign w:val="bottom"/>
          </w:tcPr>
          <w:p>
            <w:pPr>
              <w:spacing w:after="0" w:line="20" w:lineRule="exact"/>
              <w:rPr>
                <w:sz w:val="1"/>
                <w:szCs w:val="1"/>
                <w:color w:val="auto"/>
              </w:rPr>
            </w:pPr>
          </w:p>
        </w:tc>
        <w:tc>
          <w:tcPr>
            <w:tcW w:w="8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7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6"/>
              </w:rPr>
              <w:t>Underwriting Agreement, dated May 22, 2013, among Analog Devices, Inc. and J.P. Morgan Securities LLC, Credit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3"/>
              </w:rPr>
              <w:t>Suisse Securities (USA) LLC and Merrill Lynch, Pierce, Fenner &amp; Smith Incorporated, as representatives of the several</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5"/>
              </w:rPr>
              <w:t>underwriters named therein, filed as exhibit 1.1 to the Company's Current Report on Form 8-K (File No. 1-7819), filed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with the Commission on May 24, 2013 and incorporated herein by reference.</w:t>
            </w:r>
          </w:p>
        </w:tc>
        <w:tc>
          <w:tcPr>
            <w:tcW w:w="0" w:type="dxa"/>
            <w:vAlign w:val="bottom"/>
          </w:tcPr>
          <w:p>
            <w:pPr>
              <w:spacing w:after="0"/>
              <w:rPr>
                <w:sz w:val="1"/>
                <w:szCs w:val="1"/>
                <w:color w:val="auto"/>
              </w:rPr>
            </w:pPr>
          </w:p>
        </w:tc>
      </w:tr>
      <w:tr>
        <w:trPr>
          <w:trHeight w:val="256"/>
        </w:trPr>
        <w:tc>
          <w:tcPr>
            <w:tcW w:w="700" w:type="dxa"/>
            <w:vAlign w:val="bottom"/>
          </w:tcPr>
          <w:p>
            <w:pPr>
              <w:jc w:val="center"/>
              <w:ind w:left="311"/>
              <w:spacing w:after="0"/>
              <w:rPr>
                <w:sz w:val="20"/>
                <w:szCs w:val="20"/>
                <w:color w:val="auto"/>
              </w:rPr>
            </w:pPr>
            <w:r>
              <w:rPr>
                <w:rFonts w:ascii="Arial" w:cs="Arial" w:eastAsia="Arial" w:hAnsi="Arial"/>
                <w:sz w:val="18"/>
                <w:szCs w:val="18"/>
                <w:color w:val="auto"/>
                <w:w w:val="87"/>
              </w:rPr>
              <w:t>4.1</w:t>
            </w:r>
          </w:p>
        </w:tc>
        <w:tc>
          <w:tcPr>
            <w:tcW w:w="840" w:type="dxa"/>
            <w:vAlign w:val="bottom"/>
          </w:tcPr>
          <w:p>
            <w:pPr>
              <w:spacing w:after="0"/>
              <w:rPr>
                <w:sz w:val="22"/>
                <w:szCs w:val="22"/>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4"/>
              </w:rPr>
              <w:t>Indenture, dated as of June 3, 2013, between Analog Devices, Inc. and The Bank of New York Mellon Trust Company,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8"/>
              </w:rPr>
              <w:t>N.A., as trustee, filed as exhibit 4.1 to the Company's Current Report on Form 8-K (File No. 1-7819), filed with the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Commission on June 3, 2013 and incorporated herein by reference.</w:t>
            </w:r>
          </w:p>
        </w:tc>
        <w:tc>
          <w:tcPr>
            <w:tcW w:w="0" w:type="dxa"/>
            <w:vAlign w:val="bottom"/>
          </w:tcPr>
          <w:p>
            <w:pPr>
              <w:spacing w:after="0"/>
              <w:rPr>
                <w:sz w:val="1"/>
                <w:szCs w:val="1"/>
                <w:color w:val="auto"/>
              </w:rPr>
            </w:pPr>
          </w:p>
        </w:tc>
      </w:tr>
      <w:tr>
        <w:trPr>
          <w:trHeight w:val="256"/>
        </w:trPr>
        <w:tc>
          <w:tcPr>
            <w:tcW w:w="700" w:type="dxa"/>
            <w:vAlign w:val="bottom"/>
          </w:tcPr>
          <w:p>
            <w:pPr>
              <w:jc w:val="center"/>
              <w:ind w:left="311"/>
              <w:spacing w:after="0"/>
              <w:rPr>
                <w:sz w:val="20"/>
                <w:szCs w:val="20"/>
                <w:color w:val="auto"/>
              </w:rPr>
            </w:pPr>
            <w:r>
              <w:rPr>
                <w:rFonts w:ascii="Arial" w:cs="Arial" w:eastAsia="Arial" w:hAnsi="Arial"/>
                <w:sz w:val="18"/>
                <w:szCs w:val="18"/>
                <w:color w:val="auto"/>
                <w:w w:val="87"/>
              </w:rPr>
              <w:t>4.2</w:t>
            </w:r>
          </w:p>
        </w:tc>
        <w:tc>
          <w:tcPr>
            <w:tcW w:w="840" w:type="dxa"/>
            <w:vAlign w:val="bottom"/>
          </w:tcPr>
          <w:p>
            <w:pPr>
              <w:spacing w:after="0"/>
              <w:rPr>
                <w:sz w:val="22"/>
                <w:szCs w:val="22"/>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1"/>
              </w:rPr>
              <w:t>Supplemental Indenture, dated as of June 3, 2013, between Analog Devices, Inc. and The Bank of New York Mellon Trust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2"/>
              </w:rPr>
              <w:t>Company, N.A., as trustee, filed as exhibit 4.2 to the Company's Current Report on Form 8-K (File No. 1-7819), filed with</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the Commission on June 3, 2013 and incorporated herein by reference.</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31.1†</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Rule 13a-14(a) and 15d-14(a) of the Securities Exchange Act, as Adopted Pursuant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 (Chief Executive Officer).</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31.2†</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Rule 13a-14(a) and 15d-14(a) of the Securities Exchange Act, as Adopted Pursuant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 (Chief Financial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32.1†</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(Chief Executive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32.2†</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(Chief Financial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101.INS</w:t>
            </w:r>
          </w:p>
        </w:tc>
        <w:tc>
          <w:tcPr>
            <w:tcW w:w="892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101.SCH</w:t>
            </w:r>
          </w:p>
        </w:tc>
        <w:tc>
          <w:tcPr>
            <w:tcW w:w="8920" w:type="dxa"/>
            <w:vAlign w:val="bottom"/>
          </w:tcPr>
          <w:p>
            <w:pPr>
              <w:ind w:left="40"/>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101.CAL</w:t>
            </w:r>
          </w:p>
        </w:tc>
        <w:tc>
          <w:tcPr>
            <w:tcW w:w="892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101.LAB</w:t>
            </w:r>
          </w:p>
        </w:tc>
        <w:tc>
          <w:tcPr>
            <w:tcW w:w="8920" w:type="dxa"/>
            <w:vAlign w:val="bottom"/>
          </w:tcPr>
          <w:p>
            <w:pPr>
              <w:ind w:left="40"/>
              <w:spacing w:after="0"/>
              <w:rPr>
                <w:sz w:val="20"/>
                <w:szCs w:val="20"/>
                <w:color w:val="auto"/>
              </w:rPr>
            </w:pPr>
            <w:r>
              <w:rPr>
                <w:rFonts w:ascii="Arial" w:cs="Arial" w:eastAsia="Arial" w:hAnsi="Arial"/>
                <w:sz w:val="18"/>
                <w:szCs w:val="18"/>
                <w:color w:val="auto"/>
              </w:rPr>
              <w:t>XBRL Labels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101.PRE</w:t>
            </w:r>
          </w:p>
        </w:tc>
        <w:tc>
          <w:tcPr>
            <w:tcW w:w="892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101.DEF</w:t>
            </w:r>
          </w:p>
        </w:tc>
        <w:tc>
          <w:tcPr>
            <w:tcW w:w="8920" w:type="dxa"/>
            <w:vAlign w:val="bottom"/>
          </w:tcPr>
          <w:p>
            <w:pPr>
              <w:ind w:left="40"/>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20" w:hanging="1076"/>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1620" w:hanging="1121"/>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Attached as Exhibit 101 to this report are the following formatted in XBRL (Extensible Business Reporting Language): (i) Condensed Consolidated Statements of Income for the three and nine months ended August 3, 2013 and August 4, 2012, (ii) Condensed Consolidated Statements of Comprehensive Income for the three and nine months ended August 3, 2013 and August 4, 2012, (iii) Condensed Consolidated Balance Sheets at August 3, 2013 and November 3, 2012, (iv) Condensed Consolidated Statements of Cash Flows for the nine months ended August 3, 2013 and August 4, 2012 and (v) Notes to Condensed Consolidated Financial Statements for the three and nine months ended August 3, 2013.</w:t>
      </w:r>
    </w:p>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769" w:right="4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Vincent T. Roche, certify that:</w:t>
      </w:r>
    </w:p>
    <w:p>
      <w:pPr>
        <w:spacing w:after="0" w:line="6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August 20, 2013</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V</w:t>
      </w:r>
      <w:r>
        <w:rPr>
          <w:rFonts w:ascii="Arial" w:cs="Arial" w:eastAsia="Arial" w:hAnsi="Arial"/>
          <w:sz w:val="13"/>
          <w:szCs w:val="13"/>
          <w:color w:val="auto"/>
        </w:rPr>
        <w:t>INCENT</w:t>
      </w:r>
      <w:r>
        <w:rPr>
          <w:rFonts w:ascii="Arial" w:cs="Arial" w:eastAsia="Arial" w:hAnsi="Arial"/>
          <w:sz w:val="17"/>
          <w:szCs w:val="17"/>
          <w:color w:val="auto"/>
        </w:rPr>
        <w:t xml:space="preserve"> T. R</w:t>
      </w:r>
      <w:r>
        <w:rPr>
          <w:rFonts w:ascii="Arial" w:cs="Arial" w:eastAsia="Arial" w:hAnsi="Arial"/>
          <w:sz w:val="13"/>
          <w:szCs w:val="13"/>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Vincent T. Roche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6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Dated: August 20, 2013</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39370</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Finance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3, 2013 as filed with the Securities and Exchange Commission on the date hereof (the “Report”), the undersigned, Vincent T. Roche, Chief Executive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August 20, 2013</w:t>
      </w:r>
      <w:r>
        <w:rPr>
          <w:sz w:val="20"/>
          <w:szCs w:val="20"/>
          <w:color w:val="auto"/>
        </w:rPr>
        <w:tab/>
      </w:r>
      <w:r>
        <w:rPr>
          <w:rFonts w:ascii="Arial" w:cs="Arial" w:eastAsia="Arial" w:hAnsi="Arial"/>
          <w:sz w:val="17"/>
          <w:szCs w:val="17"/>
          <w:color w:val="auto"/>
        </w:rPr>
        <w:t>/S/ V</w:t>
      </w:r>
      <w:r>
        <w:rPr>
          <w:rFonts w:ascii="Arial" w:cs="Arial" w:eastAsia="Arial" w:hAnsi="Arial"/>
          <w:sz w:val="13"/>
          <w:szCs w:val="13"/>
          <w:color w:val="auto"/>
        </w:rPr>
        <w:t>INCENT</w:t>
      </w:r>
      <w:r>
        <w:rPr>
          <w:rFonts w:ascii="Arial" w:cs="Arial" w:eastAsia="Arial" w:hAnsi="Arial"/>
          <w:sz w:val="17"/>
          <w:szCs w:val="17"/>
          <w:color w:val="auto"/>
        </w:rPr>
        <w:t xml:space="preserve"> T. R</w:t>
      </w:r>
      <w:r>
        <w:rPr>
          <w:rFonts w:ascii="Arial" w:cs="Arial" w:eastAsia="Arial" w:hAnsi="Arial"/>
          <w:sz w:val="13"/>
          <w:szCs w:val="13"/>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Vincent T. Roche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3, 2013 as filed with the Securities and Exchange Commission on the date hereof (the “Report”), the undersigned, David A. Zinsner, Chief Financial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August 20, 2013</w:t>
      </w:r>
      <w:r>
        <w:rPr>
          <w:sz w:val="20"/>
          <w:szCs w:val="20"/>
          <w:color w:val="auto"/>
        </w:rPr>
        <w:tab/>
      </w:r>
      <w:r>
        <w:rPr>
          <w:rFonts w:ascii="Arial" w:cs="Arial" w:eastAsia="Arial" w:hAnsi="Arial"/>
          <w:sz w:val="17"/>
          <w:szCs w:val="17"/>
          <w:color w:val="auto"/>
        </w:rPr>
        <w:t>/S/ D</w:t>
      </w:r>
      <w:r>
        <w:rPr>
          <w:rFonts w:ascii="Arial" w:cs="Arial" w:eastAsia="Arial" w:hAnsi="Arial"/>
          <w:sz w:val="13"/>
          <w:szCs w:val="13"/>
          <w:color w:val="auto"/>
        </w:rPr>
        <w:t>AVID</w:t>
      </w:r>
      <w:r>
        <w:rPr>
          <w:rFonts w:ascii="Arial" w:cs="Arial" w:eastAsia="Arial" w:hAnsi="Arial"/>
          <w:sz w:val="17"/>
          <w:szCs w:val="17"/>
          <w:color w:val="auto"/>
        </w:rPr>
        <w:t xml:space="preserve"> A. Z</w:t>
      </w:r>
      <w:r>
        <w:rPr>
          <w:rFonts w:ascii="Arial" w:cs="Arial" w:eastAsia="Arial" w:hAnsi="Arial"/>
          <w:sz w:val="13"/>
          <w:szCs w:val="13"/>
          <w:color w:val="auto"/>
        </w:rPr>
        <w:t>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lowerRoman"/>
      <w:start w:val="2"/>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2019-12-05T03:50:04Z</dcterms:created>
  <dcterms:modified xsi:type="dcterms:W3CDTF">2019-12-05T03:50:04Z</dcterms:modified>
</cp:coreProperties>
</file>