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182" w:lineRule="exact"/>
        <w:rPr>
          <w:sz w:val="24"/>
          <w:szCs w:val="24"/>
          <w:color w:val="auto"/>
        </w:rPr>
      </w:pPr>
    </w:p>
    <w:p>
      <w:pPr>
        <w:ind w:left="6"/>
        <w:spacing w:after="0"/>
        <w:tabs>
          <w:tab w:leader="none" w:pos="3086"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sz w:val="24"/>
          <w:szCs w:val="24"/>
          <w:color w:val="auto"/>
        </w:rPr>
      </w:pPr>
    </w:p>
    <w:p>
      <w:pPr>
        <w:ind w:left="6" w:right="7379" w:hanging="6"/>
        <w:spacing w:after="0" w:line="248" w:lineRule="auto"/>
        <w:tabs>
          <w:tab w:leader="none" w:pos="1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/X/ $125 per Exchange Act Rules 0-11(c)(1)(ii), 14a-6(i)(1), or 14a-6(j)(2).</w:t>
      </w:r>
    </w:p>
    <w:p>
      <w:pPr>
        <w:spacing w:after="0" w:line="6" w:lineRule="exact"/>
        <w:rPr>
          <w:sz w:val="24"/>
          <w:szCs w:val="24"/>
          <w:color w:val="auto"/>
        </w:rPr>
      </w:pPr>
    </w:p>
    <w:p>
      <w:pPr>
        <w:ind w:left="6" w:right="3619" w:hanging="6"/>
        <w:spacing w:after="0" w:line="248"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rFonts w:ascii="Courier New" w:cs="Courier New" w:eastAsia="Courier New" w:hAnsi="Courier New"/>
          <w:sz w:val="15"/>
          <w:szCs w:val="15"/>
          <w:color w:val="auto"/>
        </w:rPr>
      </w:pPr>
    </w:p>
    <w:p>
      <w:pPr>
        <w:ind w:left="546" w:right="2979" w:hanging="271"/>
        <w:spacing w:after="0" w:line="248" w:lineRule="auto"/>
        <w:tabs>
          <w:tab w:leader="none" w:pos="54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w:t>
      </w:r>
    </w:p>
    <w:p>
      <w:pPr>
        <w:spacing w:after="0" w:line="1"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Rule 0-11:</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sz w:val="24"/>
          <w:szCs w:val="24"/>
          <w:color w:val="auto"/>
        </w:rPr>
      </w:pPr>
    </w:p>
    <w:p>
      <w:pPr>
        <w:ind w:left="266" w:right="3079"/>
        <w:spacing w:after="0" w:line="250" w:lineRule="auto"/>
        <w:rPr>
          <w:sz w:val="20"/>
          <w:szCs w:val="20"/>
          <w:color w:val="auto"/>
        </w:rPr>
      </w:pPr>
      <w:r>
        <w:rPr>
          <w:rFonts w:ascii="Courier New" w:cs="Courier New" w:eastAsia="Courier New" w:hAnsi="Courier New"/>
          <w:sz w:val="15"/>
          <w:szCs w:val="15"/>
          <w:color w:val="auto"/>
        </w:rPr>
        <w:t>Set forth the amount on which the filing fee is calculated and state how it was determined.</w:t>
      </w:r>
    </w:p>
    <w:p>
      <w:pPr>
        <w:spacing w:after="0" w:line="175" w:lineRule="exact"/>
        <w:rPr>
          <w:sz w:val="24"/>
          <w:szCs w:val="24"/>
          <w:color w:val="auto"/>
        </w:rPr>
      </w:pPr>
    </w:p>
    <w:p>
      <w:pPr>
        <w:ind w:left="366" w:right="2979" w:hanging="366"/>
        <w:spacing w:after="0" w:line="249" w:lineRule="auto"/>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546" w:hanging="271"/>
        <w:spacing w:after="0"/>
        <w:tabs>
          <w:tab w:leader="none" w:pos="54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ONE TECHNOLOGY WAY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NOTICE OF 1994 ANNUAL MEETING OF STOCKHOLDERS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TO BE HELD ON MARCH 8, 1994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1994 Annual Meeting of Stockholders of Analog Devices, Inc. (the "Company") will be held at the World Trade Center Boston, Commonwealth Pier, Boston, Massachusetts, on Tuesday, March 8, 1994 at 10:00 a.m. (Boston Time) to consider and act upon the following matters:</w:t>
      </w:r>
    </w:p>
    <w:p>
      <w:pPr>
        <w:spacing w:after="0" w:line="176" w:lineRule="exact"/>
        <w:rPr>
          <w:sz w:val="20"/>
          <w:szCs w:val="20"/>
          <w:color w:val="auto"/>
        </w:rPr>
      </w:pPr>
    </w:p>
    <w:p>
      <w:pPr>
        <w:ind w:left="820" w:right="3179" w:hanging="368"/>
        <w:spacing w:after="0" w:line="250"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of the Board of Directors to serve as Class I Directors for a term of three years.</w:t>
      </w:r>
    </w:p>
    <w:p>
      <w:pPr>
        <w:spacing w:after="0" w:line="174" w:lineRule="exact"/>
        <w:rPr>
          <w:rFonts w:ascii="Courier New" w:cs="Courier New" w:eastAsia="Courier New" w:hAnsi="Courier New"/>
          <w:sz w:val="15"/>
          <w:szCs w:val="15"/>
          <w:color w:val="auto"/>
        </w:rPr>
      </w:pPr>
    </w:p>
    <w:p>
      <w:pPr>
        <w:jc w:val="both"/>
        <w:ind w:left="820" w:right="3079" w:hanging="368"/>
        <w:spacing w:after="0" w:line="249"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as the Company's independent auditors for the fiscal year ending October 29, 1994.</w:t>
      </w:r>
    </w:p>
    <w:p>
      <w:pPr>
        <w:spacing w:after="0" w:line="175" w:lineRule="exact"/>
        <w:rPr>
          <w:rFonts w:ascii="Courier New" w:cs="Courier New" w:eastAsia="Courier New" w:hAnsi="Courier New"/>
          <w:sz w:val="15"/>
          <w:szCs w:val="15"/>
          <w:color w:val="auto"/>
        </w:rPr>
      </w:pPr>
    </w:p>
    <w:p>
      <w:pPr>
        <w:ind w:left="820" w:right="2899" w:hanging="368"/>
        <w:spacing w:after="0" w:line="250" w:lineRule="auto"/>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Stockholders of record at the close of business on January 21, 1994 will be entitled to notice of and to vote at the meeting. The stock transfer books of the Company will remain open for the purchase and sale of the Company's Common Stock.</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PAUL P. BROUNTAS, Clerk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1994</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ONE TECHNOLOGY WAY</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MARCH 8, 1994</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Annual Meeting of Stockholders to be held on March 8, 1994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January 21, 1994, the record date for the determination of stockholders entitled to notice of and to vote at the meeting, there were outstanding and entitled to vote an aggregate of 49,463,742 shares of Common Stock of the Company, $.16 2/3 par value per share ("Common Stock"). Stockholders are entitled to one vote per share.</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Company's Annual Report for the fiscal year ended October 30, 1993 is being mailed to stockholders concurrently with this Notice and Proxy Statement and the accompanying proxy on or about February 7,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affirmative vote of the holders of a plurality of the votes cast at the Meeting is required for the election of directors. The affirmative vote of the holders of a majority of the shares of Common Stock present or represented at the Meeting is required for the approval of the other matter to be voted upon.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Shares of Common Stock represented by executed proxies received by the Company will be counted for purposes of establishing a quorum at the Meeting, regardless of how or whether such shares are voted on any specific proposal. With respect to the required vote on any particular matter, abstentions will be treated as votes cast or shares present and represented, while votes withheld by nominee recordholders who did not receive specific instructions from the beneficial owners of such shares will not be treated as votes cast or as shares present or represented.</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2" w:lineRule="exact"/>
        <w:rPr>
          <w:sz w:val="20"/>
          <w:szCs w:val="20"/>
          <w:color w:val="auto"/>
        </w:rPr>
      </w:pPr>
    </w:p>
    <w:p>
      <w:pPr>
        <w:ind w:left="6" w:right="3179" w:firstLine="458"/>
        <w:spacing w:after="0" w:line="248" w:lineRule="auto"/>
        <w:rPr>
          <w:sz w:val="20"/>
          <w:szCs w:val="20"/>
          <w:color w:val="auto"/>
        </w:rPr>
      </w:pPr>
      <w:r>
        <w:rPr>
          <w:rFonts w:ascii="Courier New" w:cs="Courier New" w:eastAsia="Courier New" w:hAnsi="Courier New"/>
          <w:sz w:val="15"/>
          <w:szCs w:val="15"/>
          <w:color w:val="auto"/>
        </w:rPr>
        <w:t>The following table sets forth information, as of December 31, 1993, regarding the ownership of the Company's Common Stock by (i) the only persons known by the Company to own more than five percent of the outstanding shares,</w:t>
      </w:r>
    </w:p>
    <w:p>
      <w:pPr>
        <w:spacing w:after="0" w:line="2" w:lineRule="exact"/>
        <w:rPr>
          <w:sz w:val="20"/>
          <w:szCs w:val="20"/>
          <w:color w:val="auto"/>
        </w:rPr>
      </w:pPr>
    </w:p>
    <w:p>
      <w:pPr>
        <w:jc w:val="both"/>
        <w:ind w:left="6" w:right="2979" w:hanging="6"/>
        <w:spacing w:after="0" w:line="249" w:lineRule="auto"/>
        <w:tabs>
          <w:tab w:leader="none" w:pos="4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nominee for director, (iii) each executive officer named in the Summary Compensation Table and (iv) all directors and executive officers of the Company as a group:</w:t>
      </w:r>
    </w:p>
    <w:p>
      <w:pPr>
        <w:spacing w:after="0" w:line="35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spacing w:after="0"/>
              <w:rPr>
                <w:sz w:val="14"/>
                <w:szCs w:val="14"/>
                <w:color w:val="auto"/>
              </w:rPr>
            </w:pPr>
          </w:p>
        </w:tc>
      </w:tr>
      <w:tr>
        <w:trPr>
          <w:trHeight w:val="176"/>
        </w:trPr>
        <w:tc>
          <w:tcPr>
            <w:tcW w:w="57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COMMON STOCK</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PERCENTAGE OF</w:t>
            </w:r>
          </w:p>
        </w:tc>
      </w:tr>
      <w:tr>
        <w:trPr>
          <w:trHeight w:val="176"/>
        </w:trPr>
        <w:tc>
          <w:tcPr>
            <w:tcW w:w="5760" w:type="dxa"/>
            <w:vAlign w:val="bottom"/>
          </w:tcPr>
          <w:p>
            <w:pPr>
              <w:ind w:left="2000"/>
              <w:spacing w:after="0"/>
              <w:rPr>
                <w:sz w:val="20"/>
                <w:szCs w:val="20"/>
                <w:color w:val="auto"/>
              </w:rPr>
            </w:pPr>
            <w:r>
              <w:rPr>
                <w:rFonts w:ascii="Courier New" w:cs="Courier New" w:eastAsia="Courier New" w:hAnsi="Courier New"/>
                <w:sz w:val="15"/>
                <w:szCs w:val="15"/>
                <w:color w:val="auto"/>
              </w:rPr>
              <w:t>NAME AND ADDRESS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BENEFICIALLY</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r>
      <w:tr>
        <w:trPr>
          <w:trHeight w:val="176"/>
        </w:trPr>
        <w:tc>
          <w:tcPr>
            <w:tcW w:w="5760" w:type="dxa"/>
            <w:vAlign w:val="bottom"/>
          </w:tcPr>
          <w:p>
            <w:pPr>
              <w:ind w:left="1920"/>
              <w:spacing w:after="0"/>
              <w:rPr>
                <w:sz w:val="20"/>
                <w:szCs w:val="20"/>
                <w:color w:val="auto"/>
              </w:rPr>
            </w:pPr>
            <w:r>
              <w:rPr>
                <w:rFonts w:ascii="Courier New" w:cs="Courier New" w:eastAsia="Courier New" w:hAnsi="Courier New"/>
                <w:sz w:val="15"/>
                <w:szCs w:val="15"/>
                <w:color w:val="auto"/>
              </w:rPr>
              <w:t>OF BENEFICIAL OWNER</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OWNED(1)</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OUTSTANDING(2)</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4,860,400(3)</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10.1%</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The Capital Group, Inc.......................................</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2,830,550(4)</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5.9%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333 South Hope Street</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Los Angeles, CA 90071</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Morris Chang.................................................</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3,333(5)</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John L. Doyle................................................</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4,333(5)</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153,718</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Philip L. Lowe...............................................</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11,974(5)</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Gordon C. McKeague...........................................</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8,333(6)</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Joel Moses...................................................</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4,666(5)</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1,912,034(7)</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3.9%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Lester C. Thurow.............................................</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8,333(5)</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William A. Martin............................................</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5,504(8)</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44,575(9)</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45,022(6)</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All directors and officers as a group (11 persons)...........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2,201,825(10)</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4.5%</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181" w:lineRule="exact"/>
        <w:rPr>
          <w:sz w:val="20"/>
          <w:szCs w:val="20"/>
          <w:color w:val="auto"/>
        </w:rPr>
      </w:pPr>
    </w:p>
    <w:p>
      <w:pPr>
        <w:ind w:left="466" w:right="3259" w:hanging="191"/>
        <w:spacing w:after="0" w:line="250" w:lineRule="auto"/>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is less than 1% of the total number of outstanding shares of Common Stock of the Company.</w:t>
      </w:r>
    </w:p>
    <w:p>
      <w:pPr>
        <w:spacing w:after="0" w:line="175" w:lineRule="exact"/>
        <w:rPr>
          <w:sz w:val="20"/>
          <w:szCs w:val="20"/>
          <w:color w:val="auto"/>
        </w:rPr>
      </w:pPr>
    </w:p>
    <w:p>
      <w:pPr>
        <w:ind w:left="466" w:right="2899" w:hanging="374"/>
        <w:spacing w:after="0" w:line="249" w:lineRule="auto"/>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or entity is determined under rules promulgated by the Securities and Exchange Commission (the "Commission"). Under such rules, beneficial ownership includes any shares as to which the person or entity has sole or shared voting power or investment power, and also includes any shares which the person or entity has the right to acquire within 60 days after December 31, 1993. Unless otherwise indicated, each person or entity referred to above has sole voting and investment power with respect to the shares listed. The inclusion herein of any shares deemed beneficially owned does not constitute an admission of beneficial ownership of such shares.</w:t>
      </w:r>
    </w:p>
    <w:p>
      <w:pPr>
        <w:spacing w:after="0" w:line="175" w:lineRule="exact"/>
        <w:rPr>
          <w:rFonts w:ascii="Courier New" w:cs="Courier New" w:eastAsia="Courier New" w:hAnsi="Courier New"/>
          <w:sz w:val="15"/>
          <w:szCs w:val="15"/>
          <w:color w:val="auto"/>
        </w:rPr>
      </w:pPr>
    </w:p>
    <w:p>
      <w:pPr>
        <w:ind w:left="466" w:right="2979" w:hanging="374"/>
        <w:spacing w:after="0" w:line="249" w:lineRule="auto"/>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49,406,212 shares outstanding as of December 31, 1993, plus any shares subject to options held by the person or entity in question that are currently exercisable or exercisable within 60 days after December 31, 1993.</w:t>
      </w:r>
    </w:p>
    <w:p>
      <w:pPr>
        <w:spacing w:after="0" w:line="175" w:lineRule="exact"/>
        <w:rPr>
          <w:rFonts w:ascii="Courier New" w:cs="Courier New" w:eastAsia="Courier New" w:hAnsi="Courier New"/>
          <w:sz w:val="15"/>
          <w:szCs w:val="15"/>
          <w:color w:val="auto"/>
        </w:rPr>
      </w:pPr>
    </w:p>
    <w:p>
      <w:pPr>
        <w:ind w:left="466" w:right="2979" w:hanging="374"/>
        <w:spacing w:after="0" w:line="249" w:lineRule="auto"/>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beneficially owned by FMR Corp. over which FMR Corp. has sole dispositive power. FMR Corp. also has sole voting power with respect to 40,000 of such shares. FMR Corp. filed a Schedule 13G pursuant to Section 13 of the Securities Exchange Act of 1934, as amended, and the rules promulgated thereunder reporting its beneficial ownership of shares of Common Stock of the Company as of February 28, 1993. The foregoing information is derived from such Schedule 13G.</w:t>
      </w:r>
    </w:p>
    <w:p>
      <w:pPr>
        <w:spacing w:after="0" w:line="35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sectPr>
      </w:pPr>
    </w:p>
    <w:bookmarkStart w:id="4" w:name="page5"/>
    <w:bookmarkEnd w:id="4"/>
    <w:p>
      <w:pPr>
        <w:ind w:left="266"/>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466" w:right="2899" w:hanging="374"/>
        <w:spacing w:after="0" w:line="249"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owned by The Capital Group, Inc. over which The Capital Group, Inc. has sole dispositive power. The Capital Group, Inc. also has sole voting power with respect to 20,550 of such shares. The Capital Group, Inc. disclaims beneficial ownership of all such shares. The Capital Group, Inc. filed a Schedule 13G pursuant to Section 13 of the Securities Exchange Act of 1934, as amended, and the rules promulgated thereunder reporting its ownership of shares of Common Stock of the Company as of December 31, 1992. The foregoing information is derived from such Schedule 13G.</w:t>
      </w:r>
    </w:p>
    <w:p>
      <w:pPr>
        <w:spacing w:after="0" w:line="175" w:lineRule="exact"/>
        <w:rPr>
          <w:rFonts w:ascii="Courier New" w:cs="Courier New" w:eastAsia="Courier New" w:hAnsi="Courier New"/>
          <w:sz w:val="15"/>
          <w:szCs w:val="15"/>
          <w:color w:val="auto"/>
        </w:rPr>
      </w:pPr>
    </w:p>
    <w:p>
      <w:pPr>
        <w:ind w:left="466" w:right="3079" w:hanging="374"/>
        <w:spacing w:after="0" w:line="250"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3,333 shares which are exercisable within 60 days of December 31, 1993.</w:t>
      </w:r>
    </w:p>
    <w:p>
      <w:pPr>
        <w:spacing w:after="0" w:line="174" w:lineRule="exact"/>
        <w:rPr>
          <w:rFonts w:ascii="Courier New" w:cs="Courier New" w:eastAsia="Courier New" w:hAnsi="Courier New"/>
          <w:sz w:val="15"/>
          <w:szCs w:val="15"/>
          <w:color w:val="auto"/>
        </w:rPr>
      </w:pPr>
    </w:p>
    <w:p>
      <w:pPr>
        <w:ind w:left="466" w:right="3079" w:hanging="374"/>
        <w:spacing w:after="0" w:line="250"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1,333 shares which are exercisable within 60 days of December 31, 1993.</w:t>
      </w:r>
    </w:p>
    <w:p>
      <w:pPr>
        <w:spacing w:after="0" w:line="174" w:lineRule="exact"/>
        <w:rPr>
          <w:rFonts w:ascii="Courier New" w:cs="Courier New" w:eastAsia="Courier New" w:hAnsi="Courier New"/>
          <w:sz w:val="15"/>
          <w:szCs w:val="15"/>
          <w:color w:val="auto"/>
        </w:rPr>
      </w:pPr>
    </w:p>
    <w:p>
      <w:pPr>
        <w:ind w:left="466" w:right="2899" w:hanging="374"/>
        <w:spacing w:after="0" w:line="249"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351,566 shares of Common Stock held by Mr. Stata's wife and children and 585,394 shares held in trust for his children, as to which Mr. Stata disclaims beneficial ownership. Includes 12,465 shares of Common Stock subject to outstanding stock options held by Mr. Stata which are exercisable within the 60-day period following December 31, 1993.</w:t>
      </w:r>
    </w:p>
    <w:p>
      <w:pPr>
        <w:spacing w:after="0" w:line="175" w:lineRule="exact"/>
        <w:rPr>
          <w:rFonts w:ascii="Courier New" w:cs="Courier New" w:eastAsia="Courier New" w:hAnsi="Courier New"/>
          <w:sz w:val="15"/>
          <w:szCs w:val="15"/>
          <w:color w:val="auto"/>
        </w:rPr>
      </w:pPr>
    </w:p>
    <w:p>
      <w:pPr>
        <w:ind w:left="466" w:right="3079" w:hanging="374"/>
        <w:spacing w:after="0" w:line="250"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3,700 shares which are exercisable within 60 days of December 31, 1993.</w:t>
      </w:r>
    </w:p>
    <w:p>
      <w:pPr>
        <w:spacing w:after="0" w:line="174" w:lineRule="exact"/>
        <w:rPr>
          <w:rFonts w:ascii="Courier New" w:cs="Courier New" w:eastAsia="Courier New" w:hAnsi="Courier New"/>
          <w:sz w:val="15"/>
          <w:szCs w:val="15"/>
          <w:color w:val="auto"/>
        </w:rPr>
      </w:pPr>
    </w:p>
    <w:p>
      <w:pPr>
        <w:ind w:left="466" w:right="3079" w:hanging="374"/>
        <w:spacing w:after="0" w:line="250"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2,667 shares which are exercisable within 60 days of December 31, 1993.</w:t>
      </w:r>
    </w:p>
    <w:p>
      <w:pPr>
        <w:spacing w:after="0" w:line="174"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38,163 shares subject to outstanding stock options held by five officers and six outside directors which are exercisable within the 60-day period following December 31, 1993.</w:t>
      </w:r>
    </w:p>
    <w:p>
      <w:pPr>
        <w:spacing w:after="0" w:line="17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Company's Board of Directors is divided into three classes, two of which consist of three directors each and one of which consists of two directors. One class ("Class I Directors") will be elected at the Meeting for a three-year term, one class ("Class II Directors") was elected at the 1992 Annual Meeting of Stockholders for a three-year term and one class ("Class III Directors") was elected at the 1993 Annual Meeting of Stockholders for a three-year term. In each case, members of each class will hold office until their successors have been duly elected and qualified.</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nominees for Class I Directors, Messrs. Philip L. Lowe, Joel Moses and Lester C. Thurow, are presently serving as directors of the Company. Mr. Lowe has been a director of the Company since 1973, Mr. Moses has been a director since 1982 and Mr. Thurow has been a director since 1988. The persons named in the enclosed proxy will vote for the election of all nominees for Class 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351"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name, age, length of service as a director of each member of the Board of Directors, including the nominees for Class I Directors, information given by each concerning all positions he holds with the Company, his principal occupation and business experience for the past five years and the names of other publicly-held companies of which he serves as a director. Information with respect to the number of shares of Common Stock beneficially owned by each director, directly or indirectly, as of December 31, 1993, appears under "Security Ownership of Certain Beneficial Owners and Management."</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NOMINEES FOR CLASS I DIRECTORS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(TERMS EXPIRING AT THE 1997 ANNUAL MEETING)</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PHILIP L. LOWE, age 76, has been a director of the Company since 1973. Mr. Lowe is a principal of Philip L. Lowe and Associates, a management consulting firm, and a Trustee of MediTrust.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JOEL MOSES, age 52, has been a director of the Company since 1982. Mr. Moses has been the Dean of the School of Engineering at the Massachusetts Institute of Technology since January 1991.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He is a Director of Coltec Industries, Inc.</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LESTER C. THUROW, age 55, has been a director of the Company since 1988. He is a Professor of Management and Economics at the Massachusetts Institute of Technology and, from 1987 to 1993, was the Dean of the Sloan School of Management at the Massachusetts Institute of Technology.</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CLASS II DIRECTORS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(TERMS EXPIRE AT THE 1995 ANNUAL MEETING)</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MORRIS CHANG, age 62, has been a director of the Company since 1987. Mr. Chang has been the Chairman of Industrial Technology Research Institute, an industrial research and development organization in Taiwan, since 1988. He has been the Chairman of Taiwan Semiconductor Manufacturing Company since 1987 and was the President of Industrial Technology Research Institute from 1985 to 1988. From 1984 to 1985, Mr. Chang was the President of General Instrument Corp. and from 1972 to 1983, he served as a Senior Vice President of Texas Instruments, Inc. Mr. Chang has served as the Chairman of Wyse Technology since 1990.</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JERALD G. FISHMAN, age 48, has been a director of the Company since 1991. Mr. Fishman has been the President and Chief Operating Officer of the Company since November 1991 and served as Executive Vice President of the Company from 1988 to November 1991. He served as the Group Vice President-Components of the Company from 1982 to 1988. Mr. Fishman serves as a Director of Chipcom Corporation and Augat, Inc.</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GORDON C. MCKEAGUE, age 67, has been a director of the Company since 1977. Mr. McKeague is self-employed. He was formerly employed by Amoco Corporation from 1957 to 1990, most recently as Vice President of Corporate Development, Amoco Technology Company.</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CLASS III DIRECTORS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(TERMS EXPIRE AT THE 1996 ANNUAL MEETING)</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JOHN L. DOYLE, age 62,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He is a Director of Hexcel Corporation and Tab Products Company.</w:t>
      </w:r>
    </w:p>
    <w:p>
      <w:pPr>
        <w:spacing w:after="0" w:line="175"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RAY STATA, age 59, has been a director of the Company since 1965. He has served as the Chairman of the Board of Directors and Chief Executive Officer since 1973 and as the President of the Company from 1971 to November 1991.</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a standing Audit Committee which held four meetings during the fiscal year ended October 30, 1993. The members of the Audit Committee are currently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Company has a standing Compensation Committee, composed of Messrs. Chang, McKeague and Thurow, which held four meetings during the fiscal year ended October 30, 1993. The principal functions performed by the Compensation Committee during this past fiscal year were recommendations to the Board of Directors as to compensation arrangements, including the granting of stock options and restricted stock awards to employees of the Company.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the fiscal year ended October 30, 1993, the Board of Directors of the Company held six meetings. All directors attended at least 75% of the total number of meetings of the Board of Directors and of all committees of the Board on which they respectively served. The Company does not have a nominating committee.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Directors who are not employees of the Company earn a director's fee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 per year plus $1,500 for attendance at each meeting of the full Board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committee thereof. For the fiscal year ended October 30, 1993, Mr. Lowe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McKeague each earned $21,750, Mr. Chang, Mr. Doyle and Mr. Moses each earned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$21,000 and Mr. Thurow earned $18,750 in directors' fees.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Directors who are not employees of the Company are entitled to participate in the Company's 1992 Director Stock Option Plan (the "Plan"). The Plan was adopted by the Board of Directors on September 11, 1992 and approved by the stockholders on March 9, 1993. A total of 100,000 shares of Common Stock may be issued under the Plan, subject to adjustments as provided in the Plan. Under the Plan, options to purchase 10,000 shares of the Company's Common Stock, at an exercise price equal to the fair market value of the Company's Common Stock on the date of grant, were granted to all eligible directors on September 11, 1992 subject to approval of the Plan by the stockholders, which occurred on March 9, 1993. The Plan further provides that an option to purchase 10,000 shares of Common Stock shall be granted automatically to persons who subsequently become eligible directors on the close of business on the date of his or her initial election or appointment to the Board of Directors. Options may not be exercised prior to the third anniversary of the date of grant of such option. Each option may be exercised on a cumulative basis as to one-third of the shares subject to the option on the third, fourth and fifth anniversaries of the date of grant of such option.</w:t>
      </w:r>
    </w:p>
    <w:p>
      <w:pPr>
        <w:spacing w:after="0" w:line="18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Other than the options granted on September 11, 1992, no additional options have been granted to directors under the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September 1991, the Company retained John L. Doyle, a director, as a consultant at such time and for such services as determined by the Chairman of the Company. Mr. Doyle receives $3,250 for each day of consulting services under this arrangement. During the fiscal year ended October 30, 1993, Mr. Doyle received $66,625 for his consulting services to the Company.</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TRANSACTIONS WITH DIRECTORS</w:t>
      </w:r>
    </w:p>
    <w:p>
      <w:pPr>
        <w:spacing w:after="0" w:line="18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The Company purchases certain products manufactured by Taiwan Semiconductor Manufacturing Company ("TSMC"). Mr. Morris Chang, a director of the Company, is Chairman of the Board of Directors of TSMC. During the fiscal year ended October 30, 1993, the Company purchased an aggregate of approximately $38.0 million of products from TSMC. Substantially all of the products were purchased pursuant to open purchase orders containing the Company's standard terms and conditions of purchase. The Board of Directors has reviewed the business arrangements between the Company and TSMC and has determined that such arrangements are no less favorable to the Company than those that would be obtained from an unaffiliated third party.</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Summary Compensation</w:t>
      </w:r>
    </w:p>
    <w:p>
      <w:pPr>
        <w:spacing w:after="0" w:line="18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of the Company's Chairman and Chief Executive Officer and the Company's four other most highly compensated executive officers who were serving as executive officers on October 30, 1993. The table also sets forth certain information concerning the compensation for a former executive officer whose employment with the Company terminated prior to October 30, 1993 and who would have otherwise been one of the four most highly compensated executive officers (collectively, the "Named Executive Officers"):</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29"/>
        </w:trPr>
        <w:tc>
          <w:tcPr>
            <w:tcW w:w="2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4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LONG-TERM</w:t>
            </w:r>
          </w:p>
        </w:tc>
        <w:tc>
          <w:tcPr>
            <w:tcW w:w="1360" w:type="dxa"/>
            <w:vAlign w:val="bottom"/>
          </w:tcPr>
          <w:p>
            <w:pPr>
              <w:spacing w:after="0"/>
              <w:rPr>
                <w:sz w:val="24"/>
                <w:szCs w:val="24"/>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4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COMPENSATION</w:t>
            </w: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8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ANNUAL COMPENSATION</w:t>
            </w:r>
          </w:p>
        </w:tc>
        <w:tc>
          <w:tcPr>
            <w:tcW w:w="28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1"/>
              </w:rPr>
              <w:t>----------------------------------</w:t>
            </w: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SECURITIES</w:t>
            </w: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RESTRICTED</w:t>
            </w:r>
          </w:p>
        </w:tc>
        <w:tc>
          <w:tcPr>
            <w:tcW w:w="12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UNDERLYING</w:t>
            </w:r>
          </w:p>
        </w:tc>
        <w:tc>
          <w:tcPr>
            <w:tcW w:w="1360" w:type="dxa"/>
            <w:vAlign w:val="bottom"/>
          </w:tcPr>
          <w:p>
            <w:pPr>
              <w:spacing w:after="0"/>
              <w:rPr>
                <w:sz w:val="15"/>
                <w:szCs w:val="15"/>
                <w:color w:val="auto"/>
              </w:rPr>
            </w:pPr>
          </w:p>
        </w:tc>
      </w:tr>
      <w:tr>
        <w:trPr>
          <w:trHeight w:val="176"/>
        </w:trPr>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NAME AND</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ANNUAL</w:t>
            </w:r>
          </w:p>
        </w:tc>
        <w:tc>
          <w:tcPr>
            <w:tcW w:w="156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OPTIONS/</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PRINCIPAL</w:t>
            </w:r>
          </w:p>
        </w:tc>
        <w:tc>
          <w:tcPr>
            <w:tcW w:w="138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SALARY</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BONUS</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COMPENSATION</w:t>
            </w:r>
          </w:p>
        </w:tc>
        <w:tc>
          <w:tcPr>
            <w:tcW w:w="1560" w:type="dxa"/>
            <w:vAlign w:val="bottom"/>
          </w:tcPr>
          <w:p>
            <w:pPr>
              <w:ind w:left="360"/>
              <w:spacing w:after="0"/>
              <w:rPr>
                <w:sz w:val="20"/>
                <w:szCs w:val="20"/>
                <w:color w:val="auto"/>
              </w:rPr>
            </w:pPr>
            <w:r>
              <w:rPr>
                <w:rFonts w:ascii="Courier New" w:cs="Courier New" w:eastAsia="Courier New" w:hAnsi="Courier New"/>
                <w:sz w:val="15"/>
                <w:szCs w:val="15"/>
                <w:color w:val="auto"/>
              </w:rPr>
              <w:t>AWARDS</w:t>
            </w:r>
          </w:p>
        </w:tc>
        <w:tc>
          <w:tcPr>
            <w:tcW w:w="12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SARS</w:t>
            </w:r>
          </w:p>
        </w:tc>
        <w:tc>
          <w:tcPr>
            <w:tcW w:w="1360" w:type="dxa"/>
            <w:vAlign w:val="bottom"/>
          </w:tcPr>
          <w:p>
            <w:pPr>
              <w:jc w:val="right"/>
              <w:ind w:right="84"/>
              <w:spacing w:after="0"/>
              <w:rPr>
                <w:sz w:val="20"/>
                <w:szCs w:val="20"/>
                <w:color w:val="auto"/>
              </w:rPr>
            </w:pPr>
            <w:r>
              <w:rPr>
                <w:rFonts w:ascii="Courier New" w:cs="Courier New" w:eastAsia="Courier New" w:hAnsi="Courier New"/>
                <w:sz w:val="15"/>
                <w:szCs w:val="15"/>
                <w:color w:val="auto"/>
              </w:rPr>
              <w:t>COMPENSATION</w:t>
            </w:r>
          </w:p>
        </w:tc>
      </w:tr>
      <w:tr>
        <w:trPr>
          <w:trHeight w:val="176"/>
        </w:trPr>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POSITION</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156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79"/>
              </w:rPr>
              <w:t>- --------------------------------</w:t>
            </w:r>
          </w:p>
        </w:tc>
        <w:tc>
          <w:tcPr>
            <w:tcW w:w="13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Ray Stata.......................</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537,026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242,994</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16,509</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482,699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47,040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16,020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and Chief Executive</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455,539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132,500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15,556</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Jerald G. Fishman...............</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524,036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236,888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16,509</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475,893</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40,625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200,000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16,020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446,068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165,625</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15,556</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Brian P. McAloon(6).............</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245,123</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81,769</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20,263</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Joseph E. McDonough.............</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214,667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71,449</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17,735</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199,477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98,800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14,502</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Finance, and Chief</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170,585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75,000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11,941</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William A. Martin(7)............</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98,824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18,934</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7,608</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Treasurer</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w w:val="84"/>
              </w:rPr>
              <w:t>Tom Urwin(8)....................</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233,950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29,523</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32,200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411,566(9)</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Former Vice President,</w:t>
            </w:r>
          </w:p>
        </w:tc>
        <w:tc>
          <w:tcPr>
            <w:tcW w:w="1380" w:type="dxa"/>
            <w:vAlign w:val="bottom"/>
          </w:tcPr>
          <w:p>
            <w:pPr>
              <w:ind w:left="740"/>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236,289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14,125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98,800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27,701</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Manufacturing</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181" w:lineRule="exact"/>
        <w:rPr>
          <w:sz w:val="20"/>
          <w:szCs w:val="20"/>
          <w:color w:val="auto"/>
        </w:rPr>
      </w:pPr>
    </w:p>
    <w:p>
      <w:pPr>
        <w:ind w:left="366" w:right="4380" w:hanging="366"/>
        <w:spacing w:after="0" w:line="249" w:lineRule="auto"/>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represent cash compensation earned by the Named Executive Officers in the fiscal years presented, including amounts deferred at the election of these officers to the Company's defined contribution plan (the "Investment Partnership").</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6"/>
          </w:cols>
          <w:pgMar w:left="234" w:top="294" w:right="139"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366" w:right="297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certain of the Named Executive Officers received perquisites or other personal benefits (including tax and planning advice by third parties) in the years shown, in accordance with SEC regulations, the value of these benefits are not reflected above since they did not exceed in the aggregate the lesser of $50,000 or 10% of the individual's salary and bonus in any fiscal year.</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October 30, 1993, the number and value of aggregate restricted stock holdings were as follows: 100,000 shares ($2,225,000) by Mr. Stata; 95,000 shares ($2,113,750) by Mr. Fishman; 30,000 shares ($667,500) by Mr. McAloon and 30,000 shares ($667,500) by Mr. McDonough. No dividends were paid in 1993 on the restricted stock reported in this column. In addition, on December 14, 1993, Messrs. McAloon and McDonough each received restricted stock grants in the amount of 10,000 shares, valued at $211,250 on the date of grant, which vest in their entirety on the fifth anniversary of the date of grant.</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may not be exercised prior to the third anniversary of the date of grant of such option. Each option may be exercised on a cumulative basis as to one-third of the shares subject to the option on the third, fourth and fifth anniversaries of the date of grant of such option. The option exercise price is equal to the fair market value on the date of grant.</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Investment Partnership, except as set forth in note (8) below.</w:t>
      </w:r>
    </w:p>
    <w:p>
      <w:pPr>
        <w:spacing w:after="0" w:line="175" w:lineRule="exact"/>
        <w:rPr>
          <w:rFonts w:ascii="Courier New" w:cs="Courier New" w:eastAsia="Courier New" w:hAnsi="Courier New"/>
          <w:sz w:val="15"/>
          <w:szCs w:val="15"/>
          <w:color w:val="auto"/>
        </w:rPr>
      </w:pPr>
    </w:p>
    <w:p>
      <w:pPr>
        <w:ind w:left="366" w:right="307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McAloon was elected an executive officer of the Company effective December 9, 1992. Salary reflected in the table includes compensation paid to Mr. McAloon in all capacities during fiscal year 1993.</w:t>
      </w:r>
    </w:p>
    <w:p>
      <w:pPr>
        <w:spacing w:after="0" w:line="175" w:lineRule="exact"/>
        <w:rPr>
          <w:rFonts w:ascii="Courier New" w:cs="Courier New" w:eastAsia="Courier New" w:hAnsi="Courier New"/>
          <w:sz w:val="15"/>
          <w:szCs w:val="15"/>
          <w:color w:val="auto"/>
        </w:rPr>
      </w:pPr>
    </w:p>
    <w:p>
      <w:pPr>
        <w:ind w:left="366" w:right="307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Martin was elected an executive officer of the Company effective March 9, 1993. Salary reflected in the table includes compensation paid to Mr. Martin in all capacities during fiscal year 1993.</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Urwin was elected an executive officer of the Company effective November 4, 1991. Salary reflected in the table includes compensation paid to Mr. Urwin in all capacities during fiscal years 1992 and 1993. Mr. Urwin's employment with the Company terminated on July 31, 1993.</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$11,566 contributed by the Company for Mr. Urwin under the Company's United Kingdom pension plan. Also includes $242,500 paid to Mr. Urwin in connection with the termination of his employment with the Company. Also in connection with the termination of his employment with the Company, on August 2, 1993, the vesting of 7,500 shares of Restricted Common Stock was accelerated, representing the unvested portions of restricted stock awards having a market value of $157,500 on that date.</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Option Grants</w:t>
      </w:r>
    </w:p>
    <w:p>
      <w:pPr>
        <w:spacing w:after="0" w:line="182" w:lineRule="exact"/>
        <w:rPr>
          <w:sz w:val="20"/>
          <w:szCs w:val="20"/>
          <w:color w:val="auto"/>
        </w:rPr>
      </w:pPr>
    </w:p>
    <w:p>
      <w:pPr>
        <w:ind w:left="6" w:right="2899" w:firstLine="458"/>
        <w:spacing w:after="0" w:line="250" w:lineRule="auto"/>
        <w:rPr>
          <w:sz w:val="20"/>
          <w:szCs w:val="20"/>
          <w:color w:val="auto"/>
        </w:rPr>
      </w:pPr>
      <w:r>
        <w:rPr>
          <w:rFonts w:ascii="Courier New" w:cs="Courier New" w:eastAsia="Courier New" w:hAnsi="Courier New"/>
          <w:sz w:val="15"/>
          <w:szCs w:val="15"/>
          <w:color w:val="auto"/>
        </w:rPr>
        <w:t>No stock options were granted to any of the Named Executive Officers during the fiscal year ended October 30, 1993.</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December 14, 1993, Mr. Stata, Mr. Fishman, Mr. McAloon, Mr. McDonough and Mr. Martin were each granted an option to purchase 80,000, 80,000, 15,000, 10,000 and 5,000 shares of Common Stock of the Company, respectively, at an exercise price equal to the fair market value per share on the date of grant. Options granted to Messrs. Stata and Fishman may not be exercised prior to the fifth anniversary of the date of grant and become exercisable in full on the fifth anniversary of the date of grant. Options granted to Messrs. McAloon, McDonough and Martin may not be exercised prior to the third anniversary of the date of grant of such option. Each option may be exercised on a cumulative basis as to one-third of the shares subject to the option on the third, fourth and fifth anniversaries of the date of grant of such option.</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94" w:right="1440"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concerning each exercise of stock options during the fiscal year ended October 30, 1993 by each of the Named Executive Officers and the number and value of unexercised options held by each of the Named Executive Officers on October 30, 1993:</w:t>
      </w:r>
    </w:p>
    <w:p>
      <w:pPr>
        <w:spacing w:after="0" w:line="35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AND FY-END OPTION/SAR VALUES</w:t>
      </w:r>
    </w:p>
    <w:p>
      <w:pPr>
        <w:spacing w:after="0" w:line="35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NUMBER OF</w:t>
            </w:r>
          </w:p>
        </w:tc>
        <w:tc>
          <w:tcPr>
            <w:tcW w:w="2100" w:type="dxa"/>
            <w:vAlign w:val="bottom"/>
          </w:tcPr>
          <w:p>
            <w:pPr>
              <w:spacing w:after="0"/>
              <w:rPr>
                <w:sz w:val="14"/>
                <w:szCs w:val="14"/>
                <w:color w:val="auto"/>
              </w:rPr>
            </w:pPr>
          </w:p>
        </w:tc>
      </w:t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SECURITIES</w:t>
            </w: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UNDERLYING</w:t>
            </w:r>
          </w:p>
        </w:tc>
        <w:tc>
          <w:tcPr>
            <w:tcW w:w="2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VALUE OF</w:t>
            </w:r>
          </w:p>
        </w:tc>
      </w:t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UNEXERCISED</w:t>
            </w:r>
          </w:p>
        </w:tc>
        <w:tc>
          <w:tcPr>
            <w:tcW w:w="2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UNEXERCISED</w:t>
            </w:r>
          </w:p>
        </w:tc>
      </w:t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OPTIONS/SARS</w:t>
            </w:r>
          </w:p>
        </w:tc>
        <w:tc>
          <w:tcPr>
            <w:tcW w:w="2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IN-THE-MONEY OPTIONS</w:t>
            </w:r>
          </w:p>
        </w:tc>
      </w:tr>
      <w:tr>
        <w:trPr>
          <w:trHeight w:val="176"/>
        </w:trPr>
        <w:tc>
          <w:tcPr>
            <w:tcW w:w="2460" w:type="dxa"/>
            <w:vAlign w:val="bottom"/>
          </w:tcPr>
          <w:p>
            <w:pPr>
              <w:spacing w:after="0"/>
              <w:rPr>
                <w:sz w:val="15"/>
                <w:szCs w:val="15"/>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spacing w:after="0"/>
              <w:rPr>
                <w:sz w:val="15"/>
                <w:szCs w:val="15"/>
                <w:color w:val="auto"/>
              </w:rPr>
            </w:pPr>
          </w:p>
        </w:tc>
        <w:tc>
          <w:tcPr>
            <w:tcW w:w="21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AT FY-END (#)</w:t>
            </w:r>
          </w:p>
        </w:tc>
        <w:tc>
          <w:tcPr>
            <w:tcW w:w="2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AT FY-END ($)(2)</w:t>
            </w:r>
          </w:p>
        </w:tc>
      </w:tr>
      <w:tr>
        <w:trPr>
          <w:trHeight w:val="176"/>
        </w:trPr>
        <w:tc>
          <w:tcPr>
            <w:tcW w:w="2460" w:type="dxa"/>
            <w:vAlign w:val="bottom"/>
          </w:tcPr>
          <w:p>
            <w:pPr>
              <w:spacing w:after="0"/>
              <w:rPr>
                <w:sz w:val="15"/>
                <w:szCs w:val="15"/>
                <w:color w:val="auto"/>
              </w:rPr>
            </w:pP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ACQUIRED</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VALUE</w:t>
            </w:r>
          </w:p>
        </w:tc>
        <w:tc>
          <w:tcPr>
            <w:tcW w:w="21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15"/>
                <w:szCs w:val="15"/>
                <w:color w:val="auto"/>
              </w:rPr>
            </w:pP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ON EXERCISE</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REALIZED</w:t>
            </w:r>
          </w:p>
        </w:tc>
        <w:tc>
          <w:tcPr>
            <w:tcW w:w="21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EXERCISABLE/</w:t>
            </w:r>
          </w:p>
        </w:tc>
        <w:tc>
          <w:tcPr>
            <w:tcW w:w="2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2460" w:type="dxa"/>
            <w:vAlign w:val="bottom"/>
          </w:tcPr>
          <w:p>
            <w:pPr>
              <w:ind w:left="920"/>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UNEXERCISABLE</w:t>
            </w:r>
          </w:p>
        </w:tc>
        <w:tc>
          <w:tcPr>
            <w:tcW w:w="2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12,465/100,000</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152,696/1,237,000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and Chief Executive</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21,680</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306,513</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0/200,000</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0/2,699,000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2,667/13,333</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39,539/178,261</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4,221</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63,315</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1,333/17,667</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21,821/241,109</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Finance, and Chief</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William A. Martin</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3,167</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38,047</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3,033/12,000</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39,246/170,294</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Treasurer</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Tom Urwin</w:t>
            </w:r>
          </w:p>
        </w:tc>
        <w:tc>
          <w:tcPr>
            <w:tcW w:w="13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30,000</w:t>
            </w:r>
          </w:p>
        </w:tc>
        <w:tc>
          <w:tcPr>
            <w:tcW w:w="21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0/0</w:t>
            </w:r>
          </w:p>
        </w:tc>
        <w:tc>
          <w:tcPr>
            <w:tcW w:w="21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Former Vice President,</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Manufacturing</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366" w:right="3359" w:hanging="366"/>
        <w:spacing w:after="0" w:line="249"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175"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October 29, 1993 ($22.25 per share) and the exercise price of the option, multiplied by the number of shares subject to the option.</w:t>
      </w:r>
    </w:p>
    <w:p>
      <w:pPr>
        <w:spacing w:after="0" w:line="35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Delinquent Filing of Forms 4</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Based solely on its review of copies of reports filed by reporting persons of the Company pursuant to Section 16(a) of the Securities Exchange Act of 1934, as amended (the "Exchange Act"), or written representations from certain reporting persons that no Form 5 filing was required for such person, the Company believes that, except as follows, all filings required to be made by reporting persons of the Company were timely made in accordance with the requirements of the Exchange Act. Mr. Thurow filed late a Form 4 for the month of June 1993. Mr. McDonough filed late a Form 4 for the month of August 1993.</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AND OTHER AGREEMENTS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has Employee Retention Agreements (the "Agreements") with four of its five current executive officers and with 24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Agreement provides that, in the event of a Potential Change in Control (as defined in the Agreements), the employee shall not voluntarily resign as an employee, subject to certain conditions, for at least six months after the occurrence of such Potential Change in Control.</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Agreements provide for the following severance benefits: (i) a lump-sum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equal to 200% of the sum of the employee's annual base salary plus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cash bonuses paid or awarded to him in respect of the four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quarters preceding his termination (299% in the case of seven of the 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who are parties to such agreements, including Messrs. Stata, Fishman,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McAloon and McDonough), (ii) the continuation of life, disability, dental,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accident and group health insurance benefits for a period of 24 months and (iii)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of legal fees and expenses incurred by the employee in seeking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 his rights under his Agreement. In addition, to the extent that payments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employee pursuant to his Agreement (together with any other payments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such as the accelerated vesting of stock options or restricted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received by the employee in connection with a Change in Control) would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in the triggering of the provisions of Sections 280G and 4999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Revenue Code of 1986, as amended (the "Code"), the Agreement provides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payment of an additional amount (the "Tax Gross-Up Amount") such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employee receives, net of excise taxes, the amount he would have been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receive in the absence of the excise tax provided in Section 4999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Code. Based on compensation levels as of December 31, 1993, each of Messrs.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Stata, Fishman, McDonough and McAloon and all current executive officers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(including Messrs. Stata, Fishman, McDonough and McAloon), would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receive a lump-sum payment of $2,281,352, $2,214,490, $857,954,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$986,488 and $6,340,284, respectively, under the Agreements. These amounts do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include the Tax Gross-Up Amounts, which would substantially increase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payable under the Agreements, or the insurance or reimbursement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90 days of service) to a maximum of 104 weeks of base salary plus an amount equal to the aggregate cash bonuses paid or awarded to the employee in respect of the four fiscal quarters preceding termination (for a senior management employee with 21 years of service). Pursuant to the Senior Management Change in Control Policy, Mr. Martin would be entitled to a lump-sum severance benefit of $121,434 based on his fiscal 1993 compensation.</w:t>
      </w:r>
    </w:p>
    <w:p>
      <w:pPr>
        <w:spacing w:after="0" w:line="184"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Mr. Urwin's employment with the Company terminated on July 31, 1993. In connection with his termination of employment, Mr. Urwin received a lump sum payment of $242,500. Also in connection with the termination of his employment, on August 2, 1993, the vesting of 7,500 shares of Restricted Common Stock was accelerated, representing the unvested portions of restricted stock awards having a market value of $157,500 on that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1993 as they affected Mr. Stata, in his capacity as Chairman of the Board and Chief Executive Officer of the Company, and other executive officers of the Company.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 Program</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Annual compensation for the Company's executives consists of three principal elements -- base salary, cash bonus and stock options and restricted stock awards.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CASH COMPENSATION</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75"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 For example, in fiscal 1991 the Company did not achieve its performance targets and no bonuses were paid.</w:t>
      </w:r>
    </w:p>
    <w:p>
      <w:pPr>
        <w:spacing w:after="0" w:line="352"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All of the Company's employees, including its executive officers, participated in the Company's bonus plan (the "Bonus Plan") in fiscal 1993, except those employees on commission plans or in some non-U.S. locations. The purpose of the Bonus Plan is to recognize and reward the contribution of all employees in achieving the Company's goals and objectives. The fiscal 1993 Bonus Plan provided for the payment of a semi-annual cash bonus based on the Company's attainment of specified Operating Profit Before Taxes ("OPBT") levels. No bonus was to be paid if the Company's performance fell below a predetermined OPBT threshold (5% in 1993). To the extent OPBT exceeded this threshold, the bonus payments increased. Each employee, including executives, is assigned a Bonus Target, calculated as a percentage of such employee's base earnings, based on competitive data and position. Depending on OPBT levels achieved, the cash bonus is paid as a multiple ("Payment Factor") of the Bonus Target, ranging from zero to a maximum of two.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EQUITY OWNERSHIP</w:t>
      </w:r>
    </w:p>
    <w:p>
      <w:pPr>
        <w:spacing w:after="0" w:line="182"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w:t>
      </w:r>
    </w:p>
    <w:p>
      <w:pPr>
        <w:spacing w:after="0" w:line="2" w:lineRule="exact"/>
        <w:rPr>
          <w:sz w:val="20"/>
          <w:szCs w:val="20"/>
          <w:color w:val="auto"/>
        </w:rPr>
      </w:pPr>
    </w:p>
    <w:p>
      <w:pPr>
        <w:ind w:left="460" w:right="2899" w:hanging="8"/>
        <w:spacing w:after="0" w:line="249" w:lineRule="auto"/>
        <w:tabs>
          <w:tab w:leader="none" w:pos="91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in the attraction and retention of critically important key executives, managers and individual contributors, mostly engineers, who are essential to the Company's success.</w:t>
      </w:r>
    </w:p>
    <w:p>
      <w:pPr>
        <w:spacing w:after="0" w:line="17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175"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The size of stock option awards is generally intended to reflect the significance of the executive's current and anticipated contributions to the Company. The exercise price of options granted by the Company has been 100% of the fair market value per share on the date of grant. Prior to determining the December 1993 option grants to the Company's executives (as described below), the Compensation Committee reviewed survey information of the stock option programs of competitors and other companies in the semiconductor, computer and electronics industries. The value realizable from exercisable options is dependent upon the extent to which the Company's performance is reflected in the price of the Company's Common Stock at any particular point in time. However, the decision as to whether such value will be realized through the exercise of an option in any particular year is primarily determined by each individual within the limits of the vesting schedule, and not by the Compensation Committee.</w:t>
      </w:r>
    </w:p>
    <w:p>
      <w:pPr>
        <w:spacing w:after="0" w:line="185"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The Company's 1991 Restricted Stock Plan provides for the award of restricted stock for a nominal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Chairman and Chief Executive Officer Fiscal 1993 Compensation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Mr. Stata, in his capacity as Chairman and Chief Executive Officer, is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fiscal 1993, Mr. Stata's annual base salary was increased $49,600 from $470,400 to $520,000. His bonus award of $242,994 for fiscal 1993 represented approximately 96% of his Bonus Target, which is based on 50% of his base salary received during fiscal 1993, and reflected the Company's attainment of 9.4% of OPBT for the entire fiscal year.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162(m) of the Code, enacted in 1993, generally disallows a tax deduction to public companies for compensation over $1 million paid to its chief executive officer and its four other most highly compensated executive officers. Qualifying performance-based compensation will not be subject to the deduction limit if certain requirements are met. The Company currently intends to structure its stock options granted to executive officers in a manner that complies with the performance-based requirements of the new statute.</w:t>
      </w:r>
    </w:p>
    <w:p>
      <w:pPr>
        <w:spacing w:after="0" w:line="175"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Compensation Committee,</w:t>
      </w:r>
    </w:p>
    <w:p>
      <w:pPr>
        <w:spacing w:after="0" w:line="18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Gordon C. McKeague, Chairman</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Morris Chang</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Lester C. Thurow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members of the Compensation Committee are Messrs. Gordon C. McKeague, Morris Chang and Lester C. Thurow. Mr. John L. Doyle, a director of the Company, was a member of the Compensation Committee until December 7, 1993, when he was replaced by Mr. Thurow.</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PERFORMANCE GRAPH</w:t>
      </w:r>
    </w:p>
    <w:p>
      <w:pPr>
        <w:spacing w:after="0" w:line="182"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1988 with the cumulative total return for the Standard &amp; Poor's 500 Index and the Standard &amp; Poor's High Technology Composite Index. This graph assumes the investment of $100 on October 31, 1988 in the Company's Common Stock, the Standard &amp; Poor's 500 Index and the Standard</w:t>
      </w:r>
    </w:p>
    <w:p>
      <w:pPr>
        <w:spacing w:after="0" w:line="3" w:lineRule="exact"/>
        <w:rPr>
          <w:sz w:val="20"/>
          <w:szCs w:val="20"/>
          <w:color w:val="auto"/>
        </w:rPr>
      </w:pPr>
    </w:p>
    <w:p>
      <w:pPr>
        <w:ind w:left="6" w:right="3079" w:hanging="6"/>
        <w:spacing w:after="0" w:line="250" w:lineRule="auto"/>
        <w:tabs>
          <w:tab w:leader="none" w:pos="1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Poor's High Technology Composite Index and assumes dividends are reinvested. Measurement points are at October 31 for each respective year.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6" w:lineRule="exact"/>
        <w:rPr>
          <w:sz w:val="20"/>
          <w:szCs w:val="20"/>
          <w:color w:val="auto"/>
        </w:rPr>
      </w:pPr>
    </w:p>
    <w:p>
      <w:pPr>
        <w:jc w:val="center"/>
        <w:ind w:right="3173"/>
        <w:spacing w:after="0"/>
        <w:rPr>
          <w:sz w:val="20"/>
          <w:szCs w:val="20"/>
          <w:color w:val="auto"/>
        </w:rPr>
      </w:pPr>
      <w:r>
        <w:rPr>
          <w:rFonts w:ascii="Courier New" w:cs="Courier New" w:eastAsia="Courier New" w:hAnsi="Courier New"/>
          <w:sz w:val="15"/>
          <w:szCs w:val="15"/>
          <w:color w:val="auto"/>
        </w:rPr>
        <w:t>AMONG ANALOG DEVICES, THE S &amp; P 500 INDEX</w:t>
      </w:r>
    </w:p>
    <w:p>
      <w:pPr>
        <w:spacing w:after="0" w:line="6" w:lineRule="exact"/>
        <w:rPr>
          <w:sz w:val="20"/>
          <w:szCs w:val="20"/>
          <w:color w:val="auto"/>
        </w:rPr>
      </w:pPr>
    </w:p>
    <w:p>
      <w:pPr>
        <w:jc w:val="center"/>
        <w:ind w:right="3173"/>
        <w:spacing w:after="0"/>
        <w:rPr>
          <w:sz w:val="20"/>
          <w:szCs w:val="20"/>
          <w:color w:val="auto"/>
        </w:rPr>
      </w:pPr>
      <w:r>
        <w:rPr>
          <w:rFonts w:ascii="Courier New" w:cs="Courier New" w:eastAsia="Courier New" w:hAnsi="Courier New"/>
          <w:sz w:val="15"/>
          <w:szCs w:val="15"/>
          <w:color w:val="auto"/>
        </w:rPr>
        <w:t>AND THE S &amp; P HIGH TECH COMPOSITE INDEX</w:t>
      </w:r>
    </w:p>
    <w:p>
      <w:pPr>
        <w:spacing w:after="0" w:line="359"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ANALOG DEVICES</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529"/>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 &amp; P 500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529"/>
        </w:trPr>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&amp; P HIGH TECH COMPOSITE</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6"/>
        </w:trPr>
        <w:tc>
          <w:tcPr>
            <w:tcW w:w="24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pacing w:after="0" w:line="357"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INVESTED ON 10/31/88 IN STOCK OR INDEX -</w:t>
      </w:r>
    </w:p>
    <w:p>
      <w:pPr>
        <w:spacing w:after="0" w:line="6" w:lineRule="exact"/>
        <w:rPr>
          <w:rFonts w:ascii="Courier New" w:cs="Courier New" w:eastAsia="Courier New" w:hAnsi="Courier New"/>
          <w:sz w:val="15"/>
          <w:szCs w:val="15"/>
          <w:color w:val="auto"/>
        </w:rPr>
      </w:pPr>
    </w:p>
    <w:p>
      <w:pPr>
        <w:ind w:left="186" w:right="67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REINVESTMENT OF DIVIDENDS. FISCAL YEAR ENDING OCTOBER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RATIFICATION OF SELECTION OF</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INDEPENDENT AUDITORS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independent auditors, as auditors of the Company for the fiscal year ending October 29, 1994. Although stockholder approval of the Board of Directors' selection of Ernst &amp; Young is not required by law, the Board of Directors believes that it is advisable to give stockholders an opportunity to ratify this selection. If this proposal is not approved at the Annual Meeting, the Board of Directors will reconsider its selection of Ernst &amp; Young.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Representatives of Ernst &amp; Young are expected to be present at the Annual Meeting. They will have the opportunity to make a statement if they desire to do so and will also be available to respond to appropriate questions from stockholders.</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costs of solicitation of proxies will be borne by the Company. In addition to solicitations by mail,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1995 ANNUAL MEETING</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Proposals of stockholders intended to be presented at the 1995 Annual Meeting of Stockholders must be received by the Company at its principal office in Norwood, Massachusetts not later than October 10, 1994 for inclusion in the proxy statement for that meeting.</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PAUL P. BROUNTAS, Clerk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1994</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w:t>
      </w:r>
    </w:p>
    <w:p>
      <w:pPr>
        <w:spacing w:after="0" w:line="6"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ANNUAL MEETING OF STOCKHOLDERS - MARCH 8, 1994</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w:t>
      </w:r>
    </w:p>
    <w:p>
      <w:pPr>
        <w:spacing w:after="0" w:line="182" w:lineRule="exact"/>
        <w:rPr>
          <w:sz w:val="20"/>
          <w:szCs w:val="20"/>
          <w:color w:val="auto"/>
        </w:rPr>
      </w:pPr>
    </w:p>
    <w:p>
      <w:pPr>
        <w:ind w:left="266" w:right="2979" w:hanging="266"/>
        <w:spacing w:after="0" w:line="248" w:lineRule="auto"/>
        <w:tabs>
          <w:tab w:leader="none" w:pos="72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revoking all prior proxies, hereby appoints Ray Stata, Paul P. Brountas and Mark G. Borden, and each of them, with full power of</w:t>
      </w:r>
    </w:p>
    <w:p>
      <w:pPr>
        <w:spacing w:after="0" w:line="1" w:lineRule="exact"/>
        <w:rPr>
          <w:sz w:val="20"/>
          <w:szCs w:val="20"/>
          <w:color w:val="auto"/>
        </w:rPr>
      </w:pPr>
    </w:p>
    <w:p>
      <w:pPr>
        <w:ind w:left="266" w:right="3359" w:hanging="266"/>
        <w:spacing w:after="0" w:line="248" w:lineRule="auto"/>
        <w:tabs>
          <w:tab w:leader="none" w:pos="2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as proxies to represent and vote as designated hereon, all shares of stock of Analog Devices, Inc. which the undersigned would be</w:t>
      </w:r>
    </w:p>
    <w:p>
      <w:pPr>
        <w:spacing w:after="0" w:line="1" w:lineRule="exact"/>
        <w:rPr>
          <w:sz w:val="20"/>
          <w:szCs w:val="20"/>
          <w:color w:val="auto"/>
        </w:rPr>
      </w:pPr>
    </w:p>
    <w:p>
      <w:pPr>
        <w:ind w:left="266" w:right="2979" w:hanging="266"/>
        <w:spacing w:after="0" w:line="249" w:lineRule="auto"/>
        <w:tabs>
          <w:tab w:leader="none" w:pos="2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vote if personally present at the Annual Meeting of Stockholders of the Company to be held at the World Trade Center Boston, Commonwealth Pier, Boston, Massachusetts, on Tuesday, March 8, 1994, at 10:00 a.m. (Boston Time) and at any adjournment thereof.</w:t>
      </w:r>
    </w:p>
    <w:p>
      <w:pPr>
        <w:spacing w:after="0" w:line="176" w:lineRule="exact"/>
        <w:rPr>
          <w:sz w:val="20"/>
          <w:szCs w:val="20"/>
          <w:color w:val="auto"/>
        </w:rPr>
      </w:pPr>
    </w:p>
    <w:p>
      <w:pPr>
        <w:ind w:left="266" w:right="3259" w:firstLine="458"/>
        <w:spacing w:after="0" w:line="249"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OR ANY ADJOURNMENT THEREOF.</w:t>
      </w:r>
    </w:p>
    <w:p>
      <w:pPr>
        <w:spacing w:after="0" w:line="17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2"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82" w:lineRule="exact"/>
        <w:rPr>
          <w:sz w:val="20"/>
          <w:szCs w:val="20"/>
          <w:color w:val="auto"/>
        </w:rPr>
      </w:pPr>
    </w:p>
    <w:p>
      <w:pPr>
        <w:ind w:left="266" w:right="3359"/>
        <w:spacing w:after="0" w:line="250" w:lineRule="auto"/>
        <w:rPr>
          <w:sz w:val="20"/>
          <w:szCs w:val="20"/>
          <w:color w:val="auto"/>
        </w:rPr>
      </w:pPr>
      <w:r>
        <w:rPr>
          <w:rFonts w:ascii="Courier New" w:cs="Courier New" w:eastAsia="Courier New" w:hAnsi="Courier New"/>
          <w:sz w:val="15"/>
          <w:szCs w:val="15"/>
          <w:color w:val="auto"/>
        </w:rPr>
        <w:t>PLEASE FILL IN, DATE, SIGN AND MAIL THIS PROXY IN THE ENCLOSED POST-PAID RETURN ENVELOPE.</w:t>
      </w:r>
    </w:p>
    <w:p>
      <w:pPr>
        <w:spacing w:after="0" w:line="175" w:lineRule="exact"/>
        <w:rPr>
          <w:sz w:val="20"/>
          <w:szCs w:val="20"/>
          <w:color w:val="auto"/>
        </w:rPr>
      </w:pPr>
    </w:p>
    <w:p>
      <w:pPr>
        <w:ind w:left="61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146"/>
        <w:spacing w:after="0"/>
        <w:rPr>
          <w:sz w:val="20"/>
          <w:szCs w:val="20"/>
          <w:color w:val="auto"/>
        </w:rPr>
      </w:pPr>
      <w:r>
        <w:rPr>
          <w:rFonts w:ascii="Courier New" w:cs="Courier New" w:eastAsia="Courier New" w:hAnsi="Courier New"/>
          <w:sz w:val="15"/>
          <w:szCs w:val="15"/>
          <w:color w:val="auto"/>
        </w:rPr>
        <w:t>SEE REVERSE</w:t>
      </w:r>
    </w:p>
    <w:p>
      <w:pPr>
        <w:spacing w:after="0" w:line="6" w:lineRule="exact"/>
        <w:rPr>
          <w:sz w:val="20"/>
          <w:szCs w:val="20"/>
          <w:color w:val="auto"/>
        </w:rPr>
      </w:pPr>
    </w:p>
    <w:p>
      <w:pPr>
        <w:ind w:left="6506"/>
        <w:spacing w:after="0"/>
        <w:rPr>
          <w:sz w:val="20"/>
          <w:szCs w:val="20"/>
          <w:color w:val="auto"/>
        </w:rPr>
      </w:pPr>
      <w:r>
        <w:rPr>
          <w:rFonts w:ascii="Courier New" w:cs="Courier New" w:eastAsia="Courier New" w:hAnsi="Courier New"/>
          <w:sz w:val="15"/>
          <w:szCs w:val="15"/>
          <w:color w:val="auto"/>
        </w:rPr>
        <w:t>SIDE</w:t>
      </w:r>
    </w:p>
    <w:p>
      <w:pPr>
        <w:spacing w:after="0" w:line="6" w:lineRule="exact"/>
        <w:rPr>
          <w:sz w:val="20"/>
          <w:szCs w:val="20"/>
          <w:color w:val="auto"/>
        </w:rPr>
      </w:pPr>
    </w:p>
    <w:p>
      <w:pPr>
        <w:ind w:left="614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86" w:right="8659" w:hanging="86"/>
        <w:spacing w:after="0" w:line="248" w:lineRule="auto"/>
        <w:tabs>
          <w:tab w:leader="none" w:pos="17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PLEASE MARK X VOTES AS IN</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THIS EXAMPLE.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UNLESS OTHERWISE INSTRUCTED, THIS PROXY WILL BE VOTED IN FAVOR OF THE PROPOSALS SET FORTH BELOW.</w:t>
      </w:r>
    </w:p>
    <w:p>
      <w:pPr>
        <w:spacing w:after="0" w:line="175" w:lineRule="exact"/>
        <w:rPr>
          <w:sz w:val="20"/>
          <w:szCs w:val="20"/>
          <w:color w:val="auto"/>
        </w:rPr>
      </w:pPr>
    </w:p>
    <w:p>
      <w:pPr>
        <w:ind w:left="6" w:right="3359" w:hanging="6"/>
        <w:spacing w:after="0" w:line="250" w:lineRule="auto"/>
        <w:tabs>
          <w:tab w:leader="none" w:pos="2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Class I Directors (for all nominees except as marked below.) NOMINEES: Philip L. Lowe, Joel Moses, Lester C. Thurow</w:t>
      </w:r>
    </w:p>
    <w:p>
      <w:pPr>
        <w:spacing w:after="0" w:line="175" w:lineRule="exact"/>
        <w:rPr>
          <w:sz w:val="20"/>
          <w:szCs w:val="20"/>
          <w:color w:val="auto"/>
        </w:rPr>
      </w:pPr>
    </w:p>
    <w:tbl>
      <w:tblPr>
        <w:tblLayout w:type="fixed"/>
        <w:tblInd w:w="1186" w:type="dxa"/>
        <w:tblCellMar>
          <w:top w:w="0" w:type="dxa"/>
          <w:left w:w="0" w:type="dxa"/>
          <w:bottom w:w="0" w:type="dxa"/>
          <w:right w:w="0" w:type="dxa"/>
        </w:tblCellMar>
      </w:tblPr>
      <w:tr>
        <w:trPr>
          <w:trHeight w:val="171"/>
        </w:trPr>
        <w:tc>
          <w:tcPr>
            <w:tcW w:w="1280" w:type="dxa"/>
            <w:vAlign w:val="bottom"/>
          </w:tcPr>
          <w:p>
            <w:pPr>
              <w:jc w:val="center"/>
              <w:ind w:right="724"/>
              <w:spacing w:after="0"/>
              <w:rPr>
                <w:sz w:val="20"/>
                <w:szCs w:val="20"/>
                <w:color w:val="auto"/>
              </w:rPr>
            </w:pPr>
            <w:r>
              <w:rPr>
                <w:rFonts w:ascii="Courier New" w:cs="Courier New" w:eastAsia="Courier New" w:hAnsi="Courier New"/>
                <w:sz w:val="15"/>
                <w:szCs w:val="15"/>
                <w:color w:val="auto"/>
              </w:rPr>
              <w:t>FOR</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352"/>
        </w:trPr>
        <w:tc>
          <w:tcPr>
            <w:tcW w:w="128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128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 all nominees except as noted above</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To ratify the selection of Ernst &amp; Young as independent auditors.</w:t>
      </w:r>
    </w:p>
    <w:p>
      <w:pPr>
        <w:spacing w:after="0" w:line="182" w:lineRule="exact"/>
        <w:rPr>
          <w:sz w:val="20"/>
          <w:szCs w:val="20"/>
          <w:color w:val="auto"/>
        </w:rPr>
      </w:pPr>
    </w:p>
    <w:tbl>
      <w:tblPr>
        <w:tblLayout w:type="fixed"/>
        <w:tblInd w:w="1186" w:type="dxa"/>
        <w:tblCellMar>
          <w:top w:w="0" w:type="dxa"/>
          <w:left w:w="0" w:type="dxa"/>
          <w:bottom w:w="0" w:type="dxa"/>
          <w:right w:w="0" w:type="dxa"/>
        </w:tblCellMar>
      </w:tblPr>
      <w:tr>
        <w:trPr>
          <w:trHeight w:val="171"/>
        </w:trPr>
        <w:tc>
          <w:tcPr>
            <w:tcW w:w="88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FOR</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AGAINST</w:t>
            </w:r>
          </w:p>
        </w:tc>
        <w:tc>
          <w:tcPr>
            <w:tcW w:w="110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ABSTAIN</w:t>
            </w:r>
          </w:p>
        </w:tc>
      </w:tr>
      <w:tr>
        <w:trPr>
          <w:trHeight w:val="352"/>
        </w:trPr>
        <w:tc>
          <w:tcPr>
            <w:tcW w:w="8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w:t>
            </w:r>
          </w:p>
        </w:tc>
      </w:tr>
      <w:tr>
        <w:trPr>
          <w:trHeight w:val="352"/>
        </w:trPr>
        <w:tc>
          <w:tcPr>
            <w:tcW w:w="88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266" w:right="3179" w:hanging="266"/>
        <w:spacing w:after="0" w:line="250" w:lineRule="auto"/>
        <w:tabs>
          <w:tab w:leader="none" w:pos="2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of the meeting.</w:t>
      </w:r>
    </w:p>
    <w:p>
      <w:pPr>
        <w:sectPr>
          <w:pgSz w:w="11900" w:h="16838" w:orient="portrait"/>
          <w:cols w:equalWidth="0" w:num="1">
            <w:col w:w="10225"/>
          </w:cols>
          <w:pgMar w:left="234" w:top="294" w:right="1440" w:bottom="1010" w:gutter="0" w:footer="0" w:header="0"/>
        </w:sectPr>
      </w:pPr>
    </w:p>
    <w:p>
      <w:pPr>
        <w:spacing w:after="0" w:line="175" w:lineRule="exact"/>
        <w:rPr>
          <w:sz w:val="20"/>
          <w:szCs w:val="20"/>
          <w:color w:val="auto"/>
        </w:rPr>
      </w:pPr>
    </w:p>
    <w:p>
      <w:pPr>
        <w:ind w:left="1186"/>
        <w:spacing w:after="0"/>
        <w:tabs>
          <w:tab w:leader="none" w:pos="2266" w:val="left"/>
        </w:tabs>
        <w:rPr>
          <w:sz w:val="20"/>
          <w:szCs w:val="20"/>
          <w:color w:val="auto"/>
        </w:rPr>
      </w:pPr>
      <w:r>
        <w:rPr>
          <w:rFonts w:ascii="Courier New" w:cs="Courier New" w:eastAsia="Courier New" w:hAnsi="Courier New"/>
          <w:sz w:val="15"/>
          <w:szCs w:val="15"/>
          <w:color w:val="auto"/>
        </w:rPr>
        <w:t>MARK HERE</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FOR ADDRESS</w:t>
      </w:r>
    </w:p>
    <w:p>
      <w:pPr>
        <w:spacing w:after="0" w:line="6"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CHANGE AND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 AT LEFT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tabs>
          <w:tab w:leader="none" w:pos="1080" w:val="left"/>
        </w:tabs>
        <w:rPr>
          <w:sz w:val="20"/>
          <w:szCs w:val="20"/>
          <w:color w:val="auto"/>
        </w:rPr>
      </w:pPr>
      <w:r>
        <w:rPr>
          <w:rFonts w:ascii="Courier New" w:cs="Courier New" w:eastAsia="Courier New" w:hAnsi="Courier New"/>
          <w:sz w:val="15"/>
          <w:szCs w:val="15"/>
          <w:color w:val="auto"/>
        </w:rPr>
        <w:t>MARK HERE</w:t>
        <w:tab/>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ATTEND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MEETING -----</w:t>
      </w:r>
    </w:p>
    <w:p>
      <w:pPr>
        <w:spacing w:after="0" w:line="200" w:lineRule="exact"/>
        <w:rPr>
          <w:sz w:val="20"/>
          <w:szCs w:val="20"/>
          <w:color w:val="auto"/>
        </w:rPr>
      </w:pPr>
    </w:p>
    <w:p>
      <w:pPr>
        <w:sectPr>
          <w:pgSz w:w="11900" w:h="16838" w:orient="portrait"/>
          <w:cols w:equalWidth="0" w:num="2">
            <w:col w:w="3226" w:space="720"/>
            <w:col w:w="6279"/>
          </w:cols>
          <w:pgMar w:left="234" w:top="294" w:right="1440" w:bottom="1010" w:gutter="0" w:footer="0" w:header="0"/>
          <w:type w:val="continuous"/>
        </w:sectPr>
      </w:pPr>
    </w:p>
    <w:p>
      <w:pPr>
        <w:spacing w:after="0" w:line="1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Please sign exactly as name appears hereon. If the stock is registered in the names of two or more persons, each should sign. Executors, administrators, trustees, guardians, attorneys and corporate officers should add their titles.</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_________________________________ Date: __________</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_________________________________ Date: __________</w:t>
      </w:r>
    </w:p>
    <w:p>
      <w:pPr>
        <w:sectPr>
          <w:pgSz w:w="11900" w:h="16838" w:orient="portrait"/>
          <w:cols w:equalWidth="0" w:num="1">
            <w:col w:w="10225"/>
          </w:cols>
          <w:pgMar w:left="234" w:top="294" w:right="1440" w:bottom="101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INVESTMENT PARTNERSHIP</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AND</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CHOICE PAY PLAN</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OF ANALOG DEVICES, INC.</w:t>
      </w:r>
    </w:p>
    <w:p>
      <w:pPr>
        <w:spacing w:after="0" w:line="200" w:lineRule="exact"/>
        <w:rPr>
          <w:sz w:val="20"/>
          <w:szCs w:val="20"/>
          <w:color w:val="auto"/>
        </w:rPr>
      </w:pPr>
    </w:p>
    <w:p>
      <w:pPr>
        <w:spacing w:after="0" w:line="33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NOTICE TO BENEFICIARIES OF</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INVESTMENT PARTNERSHIP AND THE CHOICE PAY PLAN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OF ANALOG DEVICES, INC.</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OF THE 1994 ANNUAL MEETING OF ANALOG DEVICES, INC. STOCKHOLDERS</w:t>
      </w:r>
    </w:p>
    <w:p>
      <w:pPr>
        <w:spacing w:after="0" w:line="359" w:lineRule="exact"/>
        <w:rPr>
          <w:sz w:val="20"/>
          <w:szCs w:val="20"/>
          <w:color w:val="auto"/>
        </w:rPr>
      </w:pPr>
    </w:p>
    <w:p>
      <w:pPr>
        <w:ind w:right="2979" w:firstLine="733"/>
        <w:spacing w:after="0" w:line="249" w:lineRule="auto"/>
        <w:rPr>
          <w:sz w:val="20"/>
          <w:szCs w:val="20"/>
          <w:color w:val="auto"/>
        </w:rPr>
      </w:pPr>
      <w:r>
        <w:rPr>
          <w:rFonts w:ascii="Courier New" w:cs="Courier New" w:eastAsia="Courier New" w:hAnsi="Courier New"/>
          <w:sz w:val="15"/>
          <w:szCs w:val="15"/>
          <w:color w:val="auto"/>
        </w:rPr>
        <w:t>The Investment Partnership (TIP) and the Choice Pay Plan (CPP) (the "Plans") of Analog Devices, Inc. (the "Company") provide, in part, that Fidelity Management Trust Company, the Trustee under the Plans (the "Trustee"), shall obey the directions, if any, of the beneficiaries of the Plans with respect to any voting rights pertaining to their respective interests in shares of the Company's Common Stock held in Fund D of each Plan.</w:t>
      </w:r>
    </w:p>
    <w:p>
      <w:pPr>
        <w:spacing w:after="0" w:line="200" w:lineRule="exact"/>
        <w:rPr>
          <w:sz w:val="20"/>
          <w:szCs w:val="20"/>
          <w:color w:val="auto"/>
        </w:rPr>
      </w:pPr>
    </w:p>
    <w:p>
      <w:pPr>
        <w:spacing w:after="0" w:line="328" w:lineRule="exact"/>
        <w:rPr>
          <w:sz w:val="20"/>
          <w:szCs w:val="20"/>
          <w:color w:val="auto"/>
        </w:rPr>
      </w:pPr>
    </w:p>
    <w:p>
      <w:pPr>
        <w:jc w:val="both"/>
        <w:ind w:right="3259" w:firstLine="733"/>
        <w:spacing w:after="0" w:line="249" w:lineRule="auto"/>
        <w:rPr>
          <w:sz w:val="20"/>
          <w:szCs w:val="20"/>
          <w:color w:val="auto"/>
        </w:rPr>
      </w:pPr>
      <w:r>
        <w:rPr>
          <w:rFonts w:ascii="Courier New" w:cs="Courier New" w:eastAsia="Courier New" w:hAnsi="Courier New"/>
          <w:sz w:val="15"/>
          <w:szCs w:val="15"/>
          <w:color w:val="auto"/>
        </w:rPr>
        <w:t>The Annual Meeting of Stockholders will be held on Tuesday, March 8, 1994 at 10:00 a.m. (Eastern Standard Time) at the World Trade Center Boston, Commonwealth Pier, Boston, Massachusetts, for the following purposes:</w:t>
      </w:r>
    </w:p>
    <w:p>
      <w:pPr>
        <w:spacing w:after="0" w:line="352" w:lineRule="exact"/>
        <w:rPr>
          <w:sz w:val="20"/>
          <w:szCs w:val="20"/>
          <w:color w:val="auto"/>
        </w:rPr>
      </w:pPr>
    </w:p>
    <w:p>
      <w:pPr>
        <w:ind w:left="1460" w:right="3259" w:hanging="733"/>
        <w:spacing w:after="0" w:line="250" w:lineRule="auto"/>
        <w:tabs>
          <w:tab w:leader="none" w:pos="1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of the Board of Directors to serve as Class I Directors for a term of three years;</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1460" w:right="3539" w:hanging="733"/>
        <w:spacing w:after="0" w:line="250" w:lineRule="auto"/>
        <w:tabs>
          <w:tab w:leader="none" w:pos="1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Ernst &amp; Young as the Company's independent auditors; and</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1460" w:right="2979" w:hanging="733"/>
        <w:spacing w:after="0" w:line="250" w:lineRule="auto"/>
        <w:tabs>
          <w:tab w:leader="none" w:pos="1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of the meeting.</w:t>
      </w:r>
    </w:p>
    <w:p>
      <w:pPr>
        <w:spacing w:after="0" w:line="200" w:lineRule="exact"/>
        <w:rPr>
          <w:sz w:val="20"/>
          <w:szCs w:val="20"/>
          <w:color w:val="auto"/>
        </w:rPr>
      </w:pPr>
    </w:p>
    <w:p>
      <w:pPr>
        <w:spacing w:after="0" w:line="32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enclosed Proxy Statement describes the matters to be acted upon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meeting and contains information required to be disclosed in connection</w:t>
      </w:r>
    </w:p>
    <w:p>
      <w:pPr>
        <w:spacing w:after="0" w:line="6"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5"/>
          <w:szCs w:val="15"/>
          <w:color w:val="auto"/>
        </w:rPr>
        <w:t>with the solicitation of proxies for the meeting.</w:t>
        <w:tab/>
        <w:t>The enclosed proxy card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identifies, in addition to any shares you may own of record in your own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number of shares of the Company's Common Stock in Fund D that you may</w:t>
      </w:r>
    </w:p>
    <w:p>
      <w:pPr>
        <w:spacing w:after="0" w:line="6"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5"/>
          <w:szCs w:val="15"/>
          <w:color w:val="auto"/>
        </w:rPr>
        <w:t>direct the Trustee to vote on your behalf.</w:t>
        <w:tab/>
        <w:t>The proxy card should be signed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returned in the enclosed envelope to The First National Bank of Boston (the</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"Bank").</w:t>
        <w:tab/>
        <w:t>The Bank will notify the Trustee of the manner in which you have</w:t>
      </w:r>
    </w:p>
    <w:p>
      <w:pPr>
        <w:spacing w:after="0" w:line="6"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5"/>
          <w:szCs w:val="15"/>
          <w:color w:val="auto"/>
        </w:rPr>
        <w:t>voted your shares on the proxy card.</w:t>
        <w:tab/>
        <w:t>The Trustee will vote the shares held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D in your account within the Plans in the manner directed on the proxy</w:t>
      </w:r>
    </w:p>
    <w:p>
      <w:pPr>
        <w:spacing w:after="0" w:line="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card.</w:t>
        <w:tab/>
        <w:t>If the Bank does not receive a signed proxy card from you by 5:00 p.m.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Standard Time on March 2, 1994, there is no assurance that the Trustee</w:t>
      </w:r>
    </w:p>
    <w:p>
      <w:pPr>
        <w:spacing w:after="0" w:line="6"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will be able to follow your instructions.</w:t>
        <w:tab/>
        <w:t>If you fail to timely submit your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card to the Bank, the Trustee will vote your shares of Common Stock held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Fund D of the Plans in the same manner, proportionally, as it votes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shares of Common Stock for which proper and timely voting instructions of</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other Plans participants have been received by the Trustee.</w:t>
        <w:tab/>
        <w:t>With respect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other business which may be properly brought before the meeting that was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in the Proxy Statement, the Trustee or its proxy may vote on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as it deems advisable in its discretion.</w:t>
      </w:r>
    </w:p>
    <w:p>
      <w:pPr>
        <w:spacing w:after="0" w:line="35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 order for the Trustee to compute and tabulate participants'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 prior to the meeting and thus to insure that your shares of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will be voted pursuant to your instructions you must complete, sign,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and return the accompanying proxy card, using the enclosed envelope, to the</w:t>
      </w:r>
    </w:p>
    <w:p>
      <w:pPr>
        <w:spacing w:after="0" w:line="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Bank no later than March 2, 1994.</w:t>
        <w:tab/>
        <w:t>While the Trustee will attempt to honor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 on proxy cards received by the Bank after March 2, 1994, and prior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date of the Annual Meeting, there can be no assurance that such shares</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will be voted according to your instructions.</w:t>
        <w:tab/>
        <w:t>Accordingly, if you do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your proxy card at all or if your proxy card is received too late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necessary procedures to be followed, your shares of Common Stock held in</w:t>
      </w:r>
    </w:p>
    <w:p>
      <w:pPr>
        <w:spacing w:after="0" w:line="6" w:lineRule="exact"/>
        <w:rPr>
          <w:sz w:val="20"/>
          <w:szCs w:val="20"/>
          <w:color w:val="auto"/>
        </w:rPr>
      </w:pPr>
    </w:p>
    <w:p>
      <w:pPr>
        <w:spacing w:after="0"/>
        <w:tabs>
          <w:tab w:leader="none" w:pos="6760" w:val="left"/>
        </w:tabs>
        <w:rPr>
          <w:sz w:val="20"/>
          <w:szCs w:val="20"/>
          <w:color w:val="auto"/>
        </w:rPr>
      </w:pPr>
      <w:r>
        <w:rPr>
          <w:rFonts w:ascii="Courier New" w:cs="Courier New" w:eastAsia="Courier New" w:hAnsi="Courier New"/>
          <w:sz w:val="15"/>
          <w:szCs w:val="15"/>
          <w:color w:val="auto"/>
        </w:rPr>
        <w:t>Fund D of the Plans will be voted for you in the manner described above.</w:t>
      </w:r>
      <w:r>
        <w:rPr>
          <w:sz w:val="20"/>
          <w:szCs w:val="20"/>
          <w:color w:val="auto"/>
        </w:rPr>
        <w:tab/>
      </w:r>
      <w:r>
        <w:rPr>
          <w:rFonts w:ascii="Courier New" w:cs="Courier New" w:eastAsia="Courier New" w:hAnsi="Courier New"/>
          <w:sz w:val="14"/>
          <w:szCs w:val="14"/>
          <w:color w:val="auto"/>
        </w:rPr>
        <w:t>You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cannot vote your shares of Common Stock beneficially owned in the Plans in</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person at the Annual Meeting of Stockholders.</w:t>
        <w:tab/>
        <w:t>You may, however, vote in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shares of Common Stock you own of record in your name.</w:t>
      </w:r>
    </w:p>
    <w:p>
      <w:pPr>
        <w:spacing w:after="0" w:line="359" w:lineRule="exact"/>
        <w:rPr>
          <w:sz w:val="20"/>
          <w:szCs w:val="20"/>
          <w:color w:val="auto"/>
        </w:rPr>
      </w:pPr>
    </w:p>
    <w:p>
      <w:pPr>
        <w:ind w:right="2979" w:firstLine="733"/>
        <w:spacing w:after="0" w:line="249" w:lineRule="auto"/>
        <w:rPr>
          <w:sz w:val="20"/>
          <w:szCs w:val="20"/>
          <w:color w:val="auto"/>
        </w:rPr>
      </w:pPr>
      <w:r>
        <w:rPr>
          <w:rFonts w:ascii="Courier New" w:cs="Courier New" w:eastAsia="Courier New" w:hAnsi="Courier New"/>
          <w:sz w:val="15"/>
          <w:szCs w:val="15"/>
          <w:color w:val="auto"/>
        </w:rPr>
        <w:t>The Board of Directors of the Company believes it is important that employee-stockholders and Beneficiaries of the Plans feel free to express their opinions on matters to be acted upon by the stockholders independently from any connection with their employment status. The Board of Directors and the Trustee will not attempt to discover the manner in which any individual employee-stockholder has voted or in which any individual beneficiary of the Plans has instructed the Trustee to vote. Individual proxy cards received by the Bank and the Trustee will be held in complete confidence and will be used only for the purposes of determining how your shares of Common Stock will be voted.</w:t>
      </w:r>
    </w:p>
    <w:p>
      <w:pPr>
        <w:sectPr>
          <w:pgSz w:w="11900" w:h="16838" w:orient="portrait"/>
          <w:cols w:equalWidth="0" w:num="1">
            <w:col w:w="10219"/>
          </w:cols>
          <w:pgMar w:left="240" w:top="294" w:right="1440" w:bottom="122" w:gutter="0" w:footer="0" w:header="0"/>
        </w:sectPr>
      </w:pPr>
    </w:p>
    <w:bookmarkStart w:id="18" w:name="page19"/>
    <w:bookmarkEnd w:id="18"/>
    <w:p>
      <w:pPr>
        <w:ind w:right="3179" w:firstLine="733"/>
        <w:spacing w:after="0" w:line="249" w:lineRule="auto"/>
        <w:rPr>
          <w:sz w:val="20"/>
          <w:szCs w:val="20"/>
          <w:color w:val="auto"/>
        </w:rPr>
      </w:pPr>
      <w:r>
        <w:rPr>
          <w:rFonts w:ascii="Courier New" w:cs="Courier New" w:eastAsia="Courier New" w:hAnsi="Courier New"/>
          <w:sz w:val="15"/>
          <w:szCs w:val="15"/>
          <w:color w:val="auto"/>
        </w:rPr>
        <w:t>The Trustee has been advised by the Company that all Beneficiaries of the Plans should have received a copy of the Company's Annual Report prior to the receipt of this notice. If, for any reason, you have not received an Annual Report or if you wish to have an additional copy, please write, call (617-329-4700) or visit Analog Devices, Inc.'s office at One Technology Way, P.O. Box 9106, Norwood, Massachusetts 02062-9106, and a copy will be provided to you free of charge.</w:t>
      </w:r>
    </w:p>
    <w:p>
      <w:pPr>
        <w:spacing w:after="0" w:line="352" w:lineRule="exact"/>
        <w:rPr>
          <w:sz w:val="20"/>
          <w:szCs w:val="20"/>
          <w:color w:val="auto"/>
        </w:rPr>
      </w:pPr>
    </w:p>
    <w:p>
      <w:pPr>
        <w:ind w:right="3179" w:firstLine="733"/>
        <w:spacing w:after="0" w:line="249" w:lineRule="auto"/>
        <w:rPr>
          <w:sz w:val="20"/>
          <w:szCs w:val="20"/>
          <w:color w:val="auto"/>
        </w:rPr>
      </w:pPr>
      <w:r>
        <w:rPr>
          <w:rFonts w:ascii="Courier New" w:cs="Courier New" w:eastAsia="Courier New" w:hAnsi="Courier New"/>
          <w:sz w:val="15"/>
          <w:szCs w:val="15"/>
          <w:color w:val="auto"/>
        </w:rPr>
        <w:t>The number of shares indicated on the enclosed proxy card (if you own shares in your own name, the Plan shares will be identified separately) is that represented by your interest in Fund D of the Plans as of January 14, 1994. If you have any questions about the manner in which this number was computed or about any other matter in this notice, please contact Kathleen Pittman, Benefits Manager of Analog Devices, Inc. Please be advised that the Trustee cannot undertake to advise you concerning your decision. If you have any procedural questions or need a new proxy card, please contact Kathleen Pittman, Benefits Manager of Analogy Devices, Inc.</w:t>
      </w:r>
    </w:p>
    <w:p>
      <w:pPr>
        <w:spacing w:after="0" w:line="351" w:lineRule="exact"/>
        <w:rPr>
          <w:sz w:val="20"/>
          <w:szCs w:val="20"/>
          <w:color w:val="auto"/>
        </w:rPr>
      </w:pPr>
    </w:p>
    <w:p>
      <w:pPr>
        <w:ind w:right="3359" w:firstLine="733"/>
        <w:spacing w:after="0" w:line="250" w:lineRule="auto"/>
        <w:rPr>
          <w:sz w:val="20"/>
          <w:szCs w:val="20"/>
          <w:color w:val="auto"/>
        </w:rPr>
      </w:pPr>
      <w:r>
        <w:rPr>
          <w:rFonts w:ascii="Courier New" w:cs="Courier New" w:eastAsia="Courier New" w:hAnsi="Courier New"/>
          <w:sz w:val="15"/>
          <w:szCs w:val="15"/>
          <w:color w:val="auto"/>
        </w:rPr>
        <w:t>All Beneficiaries of the Plans are extended a cordial invitation to attend this meeting.</w:t>
      </w:r>
    </w:p>
    <w:p>
      <w:pPr>
        <w:spacing w:after="0" w:line="351" w:lineRule="exact"/>
        <w:rPr>
          <w:sz w:val="20"/>
          <w:szCs w:val="20"/>
          <w:color w:val="auto"/>
        </w:rPr>
      </w:pPr>
    </w:p>
    <w:p>
      <w:pPr>
        <w:ind w:left="3100"/>
        <w:spacing w:after="0"/>
        <w:tabs>
          <w:tab w:leader="none" w:pos="3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Fidelity Management Trust Company,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Trustee for The Analog Devices,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Investment Partnership and Choice</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Pay Plan</w:t>
      </w:r>
    </w:p>
    <w:p>
      <w:pPr>
        <w:spacing w:after="0" w:line="200" w:lineRule="exact"/>
        <w:rPr>
          <w:sz w:val="20"/>
          <w:szCs w:val="20"/>
          <w:color w:val="auto"/>
        </w:rPr>
      </w:pPr>
    </w:p>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- 2 -</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amp;"/>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X"/>
      <w:numFmt w:val="bullet"/>
      <w:start w:val="1"/>
    </w:lvl>
  </w:abstractNum>
  <w:abstractNum w:abstractNumId="16">
    <w:nsid w:val="7C83E458"/>
    <w:multiLevelType w:val="hybridMultilevel"/>
    <w:lvl w:ilvl="0">
      <w:lvlJc w:val="left"/>
      <w:lvlText w:val="Y"/>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2019-12-20T04:58:56Z</dcterms:created>
  <dcterms:modified xsi:type="dcterms:W3CDTF">2019-12-20T04:58:56Z</dcterms:modified>
</cp:coreProperties>
</file>