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August 1, 2009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_______________ to ________________</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1-7819</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380"/>
          </w:cols>
          <w:pgMar w:left="240" w:top="122" w:right="279" w:bottom="1440" w:gutter="0" w:footer="0" w:header="0"/>
        </w:sectPr>
      </w:pP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auto"/>
        </w:rPr>
        <w:t>04-2348234</w:t>
      </w:r>
    </w:p>
    <w:p>
      <w:pPr>
        <w:spacing w:after="0" w:line="27"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0"/>
          <w:szCs w:val="20"/>
          <w:color w:val="auto"/>
        </w:rPr>
      </w:pPr>
    </w:p>
    <w:p>
      <w:pPr>
        <w:jc w:val="center"/>
        <w:ind w:right="200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0"/>
          <w:szCs w:val="20"/>
          <w:color w:val="auto"/>
        </w:rPr>
      </w:pPr>
    </w:p>
    <w:p>
      <w:pPr>
        <w:sectPr>
          <w:pgSz w:w="11900" w:h="16838" w:orient="portrait"/>
          <w:cols w:equalWidth="0" w:num="2">
            <w:col w:w="7320" w:space="720"/>
            <w:col w:w="3340"/>
          </w:cols>
          <w:pgMar w:left="240" w:top="122" w:right="279" w:bottom="1440" w:gutter="0" w:footer="0" w:header="0"/>
          <w:type w:val="continuous"/>
        </w:sectPr>
      </w:pPr>
    </w:p>
    <w:p>
      <w:pPr>
        <w:spacing w:after="0" w:line="18"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One Technology Way, Norwood, MA</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02062-9106</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(Zip Code)</w:t>
      </w:r>
    </w:p>
    <w:p>
      <w:pPr>
        <w:spacing w:after="0" w:line="200" w:lineRule="exact"/>
        <w:rPr>
          <w:sz w:val="20"/>
          <w:szCs w:val="20"/>
          <w:color w:val="auto"/>
        </w:rPr>
      </w:pPr>
    </w:p>
    <w:p>
      <w:pPr>
        <w:sectPr>
          <w:pgSz w:w="11900" w:h="16838" w:orient="portrait"/>
          <w:cols w:equalWidth="0" w:num="2">
            <w:col w:w="7560" w:space="720"/>
            <w:col w:w="3100"/>
          </w:cols>
          <w:pgMar w:left="240" w:top="122" w:right="279" w:bottom="1440" w:gutter="0" w:footer="0" w:header="0"/>
          <w:type w:val="continuous"/>
        </w:sectPr>
      </w:pP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329-4700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200660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right="1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firstLine="225"/>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type w:val="continuous"/>
        </w:sectPr>
      </w:pPr>
    </w:p>
    <w:p>
      <w:pPr>
        <w:spacing w:after="0" w:line="1" w:lineRule="exact"/>
        <w:rPr>
          <w:sz w:val="20"/>
          <w:szCs w:val="20"/>
          <w:color w:val="auto"/>
        </w:rPr>
      </w:pPr>
    </w:p>
    <w:p>
      <w:pPr>
        <w:ind w:left="1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80" w:space="720"/>
            <w:col w:w="1440" w:space="720"/>
            <w:col w:w="3400" w:space="720"/>
            <w:col w:w="2300"/>
          </w:cols>
          <w:pgMar w:left="240" w:top="122" w:right="279" w:bottom="1440" w:gutter="0" w:footer="0" w:header="0"/>
          <w:type w:val="continuous"/>
        </w:sectPr>
      </w:pPr>
    </w:p>
    <w:p>
      <w:pPr>
        <w:ind w:left="220" w:right="1980" w:firstLine="1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2009 there were 291,549,108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3">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51">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51">
        <w:r>
          <w:rPr>
            <w:rFonts w:ascii="Arial" w:cs="Arial" w:eastAsia="Arial" w:hAnsi="Arial"/>
            <w:sz w:val="22"/>
            <w:szCs w:val="22"/>
            <w:u w:val="single" w:color="auto"/>
            <w:color w:val="0000EE"/>
          </w:rPr>
          <w:t>ITEM 6. Exhibits</w:t>
        </w:r>
      </w:hyperlink>
    </w:p>
    <w:p>
      <w:pPr>
        <w:spacing w:after="0" w:line="232"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19"/>
          <w:szCs w:val="19"/>
          <w:u w:val="single" w:color="auto"/>
          <w:color w:val="0000EE"/>
        </w:rPr>
        <w:t>EX-4.1 Indenture, by and among the Company and The Bank of New York Mellon Trust Company</w:t>
      </w:r>
    </w:p>
    <w:p>
      <w:pPr>
        <w:spacing w:after="0" w:line="15"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EX-10.1 Second Amendment to 2006 Stock Incentive Plan of Analog Devices, Inc.</w:t>
      </w:r>
    </w:p>
    <w:p>
      <w:pPr>
        <w:spacing w:after="0" w:line="230" w:lineRule="auto"/>
        <w:rPr>
          <w:sz w:val="20"/>
          <w:szCs w:val="20"/>
          <w:color w:val="auto"/>
        </w:rPr>
      </w:pPr>
      <w:r>
        <w:rPr>
          <w:rFonts w:ascii="Arial" w:cs="Arial" w:eastAsia="Arial" w:hAnsi="Arial"/>
          <w:sz w:val="22"/>
          <w:szCs w:val="22"/>
          <w:u w:val="single" w:color="auto"/>
          <w:color w:val="0000EE"/>
        </w:rPr>
        <w:t>EX-31.1 CEO Certification Pursuant to Section 302</w:t>
      </w:r>
    </w:p>
    <w:p>
      <w:pPr>
        <w:spacing w:after="0" w:line="231" w:lineRule="auto"/>
        <w:rPr>
          <w:sz w:val="20"/>
          <w:szCs w:val="20"/>
          <w:color w:val="auto"/>
        </w:rPr>
      </w:pPr>
      <w:r>
        <w:rPr>
          <w:rFonts w:ascii="Arial" w:cs="Arial" w:eastAsia="Arial" w:hAnsi="Arial"/>
          <w:sz w:val="22"/>
          <w:szCs w:val="22"/>
          <w:u w:val="single" w:color="auto"/>
          <w:color w:val="0000EE"/>
        </w:rPr>
        <w:t>EX-31.2 CFO Certification Pursuant to Section 302</w:t>
      </w:r>
    </w:p>
    <w:p>
      <w:pPr>
        <w:spacing w:after="0" w:line="230" w:lineRule="auto"/>
        <w:rPr>
          <w:sz w:val="20"/>
          <w:szCs w:val="20"/>
          <w:color w:val="auto"/>
        </w:rPr>
      </w:pPr>
      <w:r>
        <w:rPr>
          <w:rFonts w:ascii="Arial" w:cs="Arial" w:eastAsia="Arial" w:hAnsi="Arial"/>
          <w:sz w:val="22"/>
          <w:szCs w:val="22"/>
          <w:u w:val="single" w:color="auto"/>
          <w:color w:val="0000EE"/>
        </w:rPr>
        <w:t>EX-32.1 CEO Certification Pursuant to Section 906</w:t>
      </w:r>
    </w:p>
    <w:p>
      <w:pPr>
        <w:spacing w:after="0" w:line="231" w:lineRule="auto"/>
        <w:rPr>
          <w:sz w:val="20"/>
          <w:szCs w:val="20"/>
          <w:color w:val="auto"/>
        </w:rPr>
      </w:pPr>
      <w:r>
        <w:rPr>
          <w:rFonts w:ascii="Arial" w:cs="Arial" w:eastAsia="Arial" w:hAnsi="Arial"/>
          <w:sz w:val="22"/>
          <w:szCs w:val="22"/>
          <w:u w:val="single" w:color="auto"/>
          <w:color w:val="0000EE"/>
        </w:rPr>
        <w:t>EX-32.2 CFO Certification Pursuant to Section 906</w:t>
      </w:r>
    </w:p>
    <w:p>
      <w:pPr>
        <w:spacing w:after="0" w:line="231" w:lineRule="auto"/>
        <w:rPr>
          <w:sz w:val="20"/>
          <w:szCs w:val="20"/>
          <w:color w:val="auto"/>
        </w:rPr>
      </w:pPr>
      <w:r>
        <w:rPr>
          <w:rFonts w:ascii="Arial" w:cs="Arial" w:eastAsia="Arial" w:hAnsi="Arial"/>
          <w:sz w:val="22"/>
          <w:szCs w:val="22"/>
          <w:u w:val="single" w:color="auto"/>
          <w:color w:val="0000EE"/>
        </w:rPr>
        <w:t>EX-101 INSTANCE DOCUMENT</w:t>
      </w:r>
    </w:p>
    <w:p>
      <w:pPr>
        <w:spacing w:after="0" w:line="230" w:lineRule="auto"/>
        <w:rPr>
          <w:sz w:val="20"/>
          <w:szCs w:val="20"/>
          <w:color w:val="auto"/>
        </w:rPr>
      </w:pPr>
      <w:r>
        <w:rPr>
          <w:rFonts w:ascii="Arial" w:cs="Arial" w:eastAsia="Arial" w:hAnsi="Arial"/>
          <w:sz w:val="22"/>
          <w:szCs w:val="22"/>
          <w:u w:val="single" w:color="auto"/>
          <w:color w:val="0000EE"/>
        </w:rPr>
        <w:t>EX-101 SCHEMA DOCUMENT</w:t>
      </w:r>
    </w:p>
    <w:p>
      <w:pPr>
        <w:spacing w:after="0" w:line="231"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230" w:lineRule="auto"/>
        <w:rPr>
          <w:sz w:val="20"/>
          <w:szCs w:val="20"/>
          <w:color w:val="auto"/>
        </w:rPr>
      </w:pPr>
      <w:r>
        <w:rPr>
          <w:rFonts w:ascii="Arial" w:cs="Arial" w:eastAsia="Arial" w:hAnsi="Arial"/>
          <w:sz w:val="22"/>
          <w:szCs w:val="22"/>
          <w:u w:val="single" w:color="auto"/>
          <w:color w:val="0000EE"/>
        </w:rPr>
        <w:t>EX-101 PRESENTATION LINKBASE DOCUMENT</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color w:val="auto"/>
                <w:w w:val="93"/>
              </w:rPr>
              <w:t>Three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3"/>
              </w:rPr>
              <w:t>August 1, 2009</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491,991</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658,986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225,762</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266,229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401,794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135,837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79,706</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187,284</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240,604</w:t>
            </w:r>
          </w:p>
        </w:tc>
        <w:tc>
          <w:tcPr>
            <w:tcW w:w="0" w:type="dxa"/>
            <w:vAlign w:val="bottom"/>
          </w:tcPr>
          <w:p>
            <w:pPr>
              <w:spacing w:after="0"/>
              <w:rPr>
                <w:sz w:val="1"/>
                <w:szCs w:val="1"/>
                <w:color w:val="auto"/>
              </w:rPr>
            </w:pPr>
          </w:p>
        </w:tc>
      </w:tr>
      <w:tr>
        <w:trPr>
          <w:trHeight w:val="432"/>
        </w:trPr>
        <w:tc>
          <w:tcPr>
            <w:tcW w:w="65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78,945</w:t>
            </w: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1,368</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(2,558)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439"/>
        </w:trPr>
        <w:tc>
          <w:tcPr>
            <w:tcW w:w="658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80,027</w:t>
            </w:r>
          </w:p>
        </w:tc>
        <w:tc>
          <w:tcPr>
            <w:tcW w:w="6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168,731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580" w:type="dxa"/>
            <w:vAlign w:val="bottom"/>
            <w:gridSpan w:val="3"/>
          </w:tcPr>
          <w:p>
            <w:pPr>
              <w:spacing w:after="0"/>
              <w:rPr>
                <w:sz w:val="20"/>
                <w:szCs w:val="20"/>
                <w:color w:val="auto"/>
              </w:rPr>
            </w:pPr>
            <w:r>
              <w:rPr>
                <w:rFonts w:ascii="Arial" w:cs="Arial" w:eastAsia="Arial" w:hAnsi="Arial"/>
                <w:sz w:val="18"/>
                <w:szCs w:val="18"/>
                <w:color w:val="auto"/>
              </w:rPr>
              <w:t>Income from continuing operations, net of tax</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65,460</w:t>
            </w: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129,195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 net of tax:</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Income from discontinued operations</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24"/>
        </w:trPr>
        <w:tc>
          <w:tcPr>
            <w:tcW w:w="6580" w:type="dxa"/>
            <w:vAlign w:val="bottom"/>
            <w:gridSpan w:val="3"/>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65,460</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291,387</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290,376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293,084</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3"/>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8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65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1,942</w:t>
            </w:r>
          </w:p>
        </w:tc>
        <w:tc>
          <w:tcPr>
            <w:tcW w:w="6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5,508</w:t>
            </w:r>
          </w:p>
        </w:tc>
        <w:tc>
          <w:tcPr>
            <w:tcW w:w="6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Selling, marketing, general and administrative</w:t>
            </w:r>
          </w:p>
        </w:tc>
        <w:tc>
          <w:tcPr>
            <w:tcW w:w="248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4,565</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5,452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1,443,308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1,922,235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646,525</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1,173,618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336,854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249,828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53,656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640,338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(13,881)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494,737</w:t>
            </w:r>
          </w:p>
        </w:tc>
        <w:tc>
          <w:tcPr>
            <w:tcW w:w="0" w:type="dxa"/>
            <w:vAlign w:val="bottom"/>
          </w:tcPr>
          <w:p>
            <w:pPr>
              <w:spacing w:after="0"/>
              <w:rPr>
                <w:sz w:val="1"/>
                <w:szCs w:val="1"/>
                <w:color w:val="auto"/>
              </w:rPr>
            </w:pPr>
          </w:p>
        </w:tc>
      </w:tr>
      <w:tr>
        <w:trPr>
          <w:trHeight w:val="432"/>
        </w:trPr>
        <w:tc>
          <w:tcPr>
            <w:tcW w:w="65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28,419</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113,802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380,935</w:t>
            </w:r>
          </w:p>
        </w:tc>
        <w:tc>
          <w:tcPr>
            <w:tcW w:w="0" w:type="dxa"/>
            <w:vAlign w:val="bottom"/>
          </w:tcPr>
          <w:p>
            <w:pPr>
              <w:spacing w:after="0"/>
              <w:rPr>
                <w:sz w:val="1"/>
                <w:szCs w:val="1"/>
                <w:color w:val="auto"/>
              </w:rPr>
            </w:pPr>
          </w:p>
        </w:tc>
      </w:tr>
      <w:tr>
        <w:trPr>
          <w:trHeight w:val="439"/>
        </w:trPr>
        <w:tc>
          <w:tcPr>
            <w:tcW w:w="6580" w:type="dxa"/>
            <w:vAlign w:val="bottom"/>
            <w:gridSpan w:val="3"/>
          </w:tcPr>
          <w:p>
            <w:pPr>
              <w:spacing w:after="0"/>
              <w:rPr>
                <w:sz w:val="20"/>
                <w:szCs w:val="20"/>
                <w:color w:val="auto"/>
              </w:rPr>
            </w:pPr>
            <w:r>
              <w:rPr>
                <w:rFonts w:ascii="Arial" w:cs="Arial" w:eastAsia="Arial" w:hAnsi="Arial"/>
                <w:sz w:val="18"/>
                <w:szCs w:val="18"/>
                <w:color w:val="auto"/>
              </w:rPr>
              <w:t>Discontinued operations, net of tax:</w:t>
            </w:r>
          </w:p>
        </w:tc>
        <w:tc>
          <w:tcPr>
            <w:tcW w:w="2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discontinued operations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2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5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142,163</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642,413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291,267</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3"/>
            <w:vMerge w:val="continue"/>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292,259</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24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3"/>
            <w:vMerge w:val="continue"/>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24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3"/>
            <w:vMerge w:val="continue"/>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2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8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658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5,334</w:t>
            </w:r>
          </w:p>
        </w:tc>
        <w:tc>
          <w:tcPr>
            <w:tcW w:w="6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16"/>
        </w:trPr>
        <w:tc>
          <w:tcPr>
            <w:tcW w:w="658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16,880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17,810</w:t>
            </w:r>
          </w:p>
        </w:tc>
        <w:tc>
          <w:tcPr>
            <w:tcW w:w="0" w:type="dxa"/>
            <w:vAlign w:val="bottom"/>
          </w:tcPr>
          <w:p>
            <w:pPr>
              <w:spacing w:after="0"/>
              <w:rPr>
                <w:sz w:val="1"/>
                <w:szCs w:val="1"/>
                <w:color w:val="auto"/>
              </w:rPr>
            </w:pPr>
          </w:p>
        </w:tc>
      </w:t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Selling, marketing, general and administrative</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13,778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August 1, 2009</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632,715</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1,091,729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244,025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14,251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192,292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2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276,072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76,683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37,127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2,359,633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394,200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378,187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1,501,942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58,924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2,021,518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1,529,954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2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491,564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investments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1,677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247,347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8,816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71,249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30,750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2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428,954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3,280,151</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$2,503 and $2,632 related to stock-based compensation at August 1, 2009 and November 1, 2008,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rPr>
              <w:t>August 1, 2009</w:t>
            </w:r>
          </w:p>
        </w:tc>
        <w:tc>
          <w:tcPr>
            <w:tcW w:w="1460" w:type="dxa"/>
            <w:vAlign w:val="bottom"/>
            <w:gridSpan w:val="4"/>
          </w:tcPr>
          <w:p>
            <w:pPr>
              <w:ind w:left="280"/>
              <w:spacing w:after="0"/>
              <w:rPr>
                <w:sz w:val="20"/>
                <w:szCs w:val="20"/>
                <w:color w:val="auto"/>
              </w:rPr>
            </w:pPr>
            <w:r>
              <w:rPr>
                <w:rFonts w:ascii="Arial" w:cs="Arial" w:eastAsia="Arial" w:hAnsi="Arial"/>
                <w:sz w:val="14"/>
                <w:szCs w:val="14"/>
                <w:color w:val="auto"/>
              </w:rPr>
              <w:t>November 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94,787</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13,951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118,830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20,827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65,031</w:t>
            </w:r>
          </w:p>
        </w:tc>
        <w:tc>
          <w:tcPr>
            <w:tcW w:w="3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467,860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101,671</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291,549,108 shares issued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(291,193,451 on November 1, 2008)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48,592</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2,426,580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(16,807)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2,458,365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3,280,151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color w:val="auto"/>
              </w:rPr>
              <w:t>Nine Months Ended</w:t>
            </w: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28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93"/>
              </w:rPr>
              <w:t>August 1, 2009</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142,163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642,413</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102,495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108,061</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35,992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36,895</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(250,785)</w:t>
            </w: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Income tax payments related to gain on sale of businesses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(67,283)</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(7,660)</w:t>
            </w: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(12,967)</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Other non-cash activity</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69,654</w:t>
            </w: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527,110</w:t>
            </w: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(1,914,428)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(1,551,019)</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1,535,941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1,348,947</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(expenditures) proceeds from sales of businesses (See Note 15)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403,181</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(39,706)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(110,031)</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for acquisitions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(3,146)</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(Increase) decrease in other assets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provided by investing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89,464</w:t>
            </w: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(174,662)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(164,425)</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(552,380)</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Increase in liability from common stock repurchases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83,005</w:t>
            </w: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12,967</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facility fees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cash provided (used) for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200,671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(621,294)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w:t>
            </w:r>
          </w:p>
        </w:tc>
      </w:tr>
      <w:tr>
        <w:trPr>
          <w:trHeight w:val="20"/>
        </w:trPr>
        <w:tc>
          <w:tcPr>
            <w:tcW w:w="88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39,116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(6,516)</w:t>
            </w: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424,972</w:t>
            </w: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418,456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AUGUST 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1, 2008 and related notes. The results of operations for the interim period shown in this report are not necessarily indicative of the results that may be expected for the fiscal year ending October 31, 2009 or any future period.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August 1, 2009 and November 1, 2008.</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2009 and fiscal 2008 are 52-week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reported in previous years have been reclassified to conform to the fiscal 2009 presentation. Such reclassified amounts were immaterial.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 from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Distributors are granted price 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8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August 1, 2009 and November 1, 2008, the Company had gross deferred revenue of $204.1 million and $279.3 million, respectively, and gross deferred cost of sales of $80.2 million and $103.9 million, respectively. Deferred income on shipments to distributors as of August 1, 2009 was lower than the amount as of November 1, 2008 by $51.5 million, as a result of the distributors’ sales to their customers in the first nine months of fiscal 2009 exceeding the Company’s shipments to its distributors during this same time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generally offers a 12-month warranty for its products. The Company’s warranty policy provides for replacement of the defective product.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 accruals are recorded for known product warranty issues. Product warranty expenses during both of the three- and nine-month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August 1, 2009 and August 2, 2008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option pricing model to calculate the grant-date fair value of an award.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the Company’s stock option awards and the related estimated weighted-average assumptions to calculate the fair value of stock options granted during the three- and nine-month periods ended August 1, 2009 and August 2, 2008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4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continue"/>
          </w:tcPr>
          <w:p>
            <w:pPr>
              <w:spacing w:after="0"/>
              <w:rPr>
                <w:sz w:val="12"/>
                <w:szCs w:val="12"/>
                <w:color w:val="auto"/>
              </w:rPr>
            </w:pPr>
          </w:p>
        </w:tc>
        <w:tc>
          <w:tcPr>
            <w:tcW w:w="14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August 1, 2009</w:t>
            </w:r>
          </w:p>
        </w:tc>
        <w:tc>
          <w:tcPr>
            <w:tcW w:w="14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August 2, 2008</w:t>
            </w:r>
          </w:p>
        </w:tc>
        <w:tc>
          <w:tcPr>
            <w:tcW w:w="460" w:type="dxa"/>
            <w:vAlign w:val="bottom"/>
          </w:tcPr>
          <w:p>
            <w:pPr>
              <w:spacing w:after="0"/>
              <w:rPr>
                <w:sz w:val="12"/>
                <w:szCs w:val="12"/>
                <w:color w:val="auto"/>
              </w:rPr>
            </w:pPr>
          </w:p>
        </w:tc>
        <w:tc>
          <w:tcPr>
            <w:tcW w:w="142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August 1, 2009</w:t>
            </w:r>
          </w:p>
        </w:tc>
        <w:tc>
          <w:tcPr>
            <w:tcW w:w="14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35</w:t>
            </w: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67</w:t>
            </w: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4"/>
              </w:rPr>
              <w:t>5,650</w:t>
            </w: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22.96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31.96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19.60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84"/>
              </w:rPr>
              <w:t>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Assumptions: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39.2%</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58.9%</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40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5.3</w:t>
            </w:r>
          </w:p>
        </w:tc>
        <w:tc>
          <w:tcPr>
            <w:tcW w:w="62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amount of stock-based compensation expense recognized during a period is based on the value of the portion of the awards that are ultimately expected to vest.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August 1, 2009.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shares that vest.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the activity under the Company’s stock option plans as of August 1, 2009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August 1, 2009</w:t>
            </w:r>
          </w:p>
        </w:tc>
        <w:tc>
          <w:tcPr>
            <w:tcW w:w="2020" w:type="dxa"/>
            <w:vAlign w:val="bottom"/>
            <w:gridSpan w:val="4"/>
          </w:tcPr>
          <w:p>
            <w:pPr>
              <w:jc w:val="center"/>
              <w:ind w:left="37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8"/>
        </w:trPr>
        <w:tc>
          <w:tcPr>
            <w:tcW w:w="5040" w:type="dxa"/>
            <w:vAlign w:val="bottom"/>
            <w:gridSpan w:val="2"/>
            <w:vMerge w:val="continue"/>
          </w:tcPr>
          <w:p>
            <w:pPr>
              <w:spacing w:after="0"/>
              <w:rPr>
                <w:sz w:val="15"/>
                <w:szCs w:val="15"/>
                <w:color w:val="auto"/>
              </w:rPr>
            </w:pPr>
          </w:p>
        </w:tc>
        <w:tc>
          <w:tcPr>
            <w:tcW w:w="202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1"/>
              </w:rPr>
              <w:t>(in thousands)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00" w:type="dxa"/>
            <w:vAlign w:val="bottom"/>
          </w:tcPr>
          <w:p>
            <w:pPr>
              <w:ind w:left="5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May 2, 2009</w:t>
            </w:r>
          </w:p>
        </w:tc>
        <w:tc>
          <w:tcPr>
            <w:tcW w:w="15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72,832</w:t>
            </w:r>
          </w:p>
        </w:tc>
        <w:tc>
          <w:tcPr>
            <w:tcW w:w="5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rPr>
              <w:t>$35.29</w:t>
            </w:r>
          </w:p>
        </w:tc>
        <w:tc>
          <w:tcPr>
            <w:tcW w:w="14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$22.96</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(305)</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$19.07</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20" w:type="dxa"/>
            <w:vAlign w:val="bottom"/>
            <w:gridSpan w:val="4"/>
          </w:tcPr>
          <w:p>
            <w:pPr>
              <w:jc w:val="right"/>
              <w:ind w:right="460"/>
              <w:spacing w:after="0"/>
              <w:rPr>
                <w:sz w:val="20"/>
                <w:szCs w:val="20"/>
                <w:color w:val="auto"/>
              </w:rPr>
            </w:pPr>
            <w:r>
              <w:rPr>
                <w:rFonts w:ascii="Arial" w:cs="Arial" w:eastAsia="Arial" w:hAnsi="Arial"/>
                <w:sz w:val="18"/>
                <w:szCs w:val="18"/>
                <w:color w:val="auto"/>
              </w:rPr>
              <w:t>(166)</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$31.05</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(488)</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$39.52</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1, 2009</w:t>
            </w:r>
          </w:p>
        </w:tc>
        <w:tc>
          <w:tcPr>
            <w:tcW w:w="10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71,908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$35.34</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0" w:type="dxa"/>
            <w:vAlign w:val="bottom"/>
          </w:tcPr>
          <w:p>
            <w:pPr>
              <w:ind w:left="340"/>
              <w:spacing w:after="0"/>
              <w:rPr>
                <w:sz w:val="20"/>
                <w:szCs w:val="20"/>
                <w:color w:val="auto"/>
              </w:rPr>
            </w:pPr>
            <w:r>
              <w:rPr>
                <w:rFonts w:ascii="Arial" w:cs="Arial" w:eastAsia="Arial" w:hAnsi="Arial"/>
                <w:sz w:val="18"/>
                <w:szCs w:val="18"/>
                <w:color w:val="auto"/>
              </w:rPr>
              <w:t>$88,898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August 1, 2009</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53,249</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$37.30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$45,067</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August 1, 2009 (1)</w:t>
            </w:r>
          </w:p>
        </w:tc>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vMerge w:val="restart"/>
          </w:tcPr>
          <w:p>
            <w:pPr>
              <w:jc w:val="right"/>
              <w:ind w:right="515"/>
              <w:spacing w:after="0"/>
              <w:rPr>
                <w:sz w:val="20"/>
                <w:szCs w:val="20"/>
                <w:color w:val="auto"/>
              </w:rPr>
            </w:pPr>
            <w:r>
              <w:rPr>
                <w:rFonts w:ascii="Arial" w:cs="Arial" w:eastAsia="Arial" w:hAnsi="Arial"/>
                <w:sz w:val="18"/>
                <w:szCs w:val="18"/>
                <w:color w:val="auto"/>
              </w:rPr>
              <w:t>$35.49</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7"/>
              </w:rPr>
              <w:t>4.5</w:t>
            </w:r>
          </w:p>
        </w:tc>
        <w:tc>
          <w:tcPr>
            <w:tcW w:w="1200" w:type="dxa"/>
            <w:vAlign w:val="bottom"/>
            <w:vMerge w:val="restart"/>
          </w:tcPr>
          <w:p>
            <w:pPr>
              <w:ind w:left="340"/>
              <w:spacing w:after="0"/>
              <w:rPr>
                <w:sz w:val="20"/>
                <w:szCs w:val="20"/>
                <w:color w:val="auto"/>
              </w:rPr>
            </w:pPr>
            <w:r>
              <w:rPr>
                <w:rFonts w:ascii="Arial" w:cs="Arial" w:eastAsia="Arial" w:hAnsi="Arial"/>
                <w:sz w:val="18"/>
                <w:szCs w:val="18"/>
                <w:color w:val="auto"/>
              </w:rPr>
              <w:t>$84,555</w:t>
            </w: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70,666</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jc w:val="center"/>
              <w:ind w:left="156"/>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August 1, 2009</w:t>
            </w:r>
          </w:p>
        </w:tc>
        <w:tc>
          <w:tcPr>
            <w:tcW w:w="40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Options Outstanding</w:t>
            </w:r>
          </w:p>
        </w:tc>
        <w:tc>
          <w:tcPr>
            <w:tcW w:w="1620" w:type="dxa"/>
            <w:vAlign w:val="bottom"/>
          </w:tcPr>
          <w:p>
            <w:pPr>
              <w:jc w:val="center"/>
              <w:ind w:left="156"/>
              <w:spacing w:after="0" w:line="149" w:lineRule="exact"/>
              <w:rPr>
                <w:sz w:val="20"/>
                <w:szCs w:val="20"/>
                <w:color w:val="auto"/>
              </w:rPr>
            </w:pPr>
            <w:r>
              <w:rPr>
                <w:rFonts w:ascii="Arial" w:cs="Arial" w:eastAsia="Arial" w:hAnsi="Arial"/>
                <w:sz w:val="14"/>
                <w:szCs w:val="14"/>
                <w:b w:val="1"/>
                <w:bCs w:val="1"/>
                <w:color w:val="auto"/>
                <w:w w:val="93"/>
              </w:rPr>
              <w:t>Exercise Price Per</w:t>
            </w:r>
          </w:p>
        </w:tc>
        <w:tc>
          <w:tcPr>
            <w:tcW w:w="0" w:type="dxa"/>
            <w:vAlign w:val="bottom"/>
          </w:tcPr>
          <w:p>
            <w:pPr>
              <w:spacing w:after="0"/>
              <w:rPr>
                <w:sz w:val="1"/>
                <w:szCs w:val="1"/>
                <w:color w:val="auto"/>
              </w:rPr>
            </w:pPr>
          </w:p>
        </w:tc>
      </w:tr>
      <w:tr>
        <w:trPr>
          <w:trHeight w:val="178"/>
        </w:trPr>
        <w:tc>
          <w:tcPr>
            <w:tcW w:w="5760" w:type="dxa"/>
            <w:vAlign w:val="bottom"/>
            <w:gridSpan w:val="2"/>
            <w:vMerge w:val="continue"/>
          </w:tcPr>
          <w:p>
            <w:pPr>
              <w:spacing w:after="0"/>
              <w:rPr>
                <w:sz w:val="15"/>
                <w:szCs w:val="15"/>
                <w:color w:val="auto"/>
              </w:rPr>
            </w:pPr>
          </w:p>
        </w:tc>
        <w:tc>
          <w:tcPr>
            <w:tcW w:w="4040" w:type="dxa"/>
            <w:vAlign w:val="bottom"/>
            <w:gridSpan w:val="4"/>
            <w:vMerge w:val="continue"/>
          </w:tcPr>
          <w:p>
            <w:pPr>
              <w:spacing w:after="0"/>
              <w:rPr>
                <w:sz w:val="15"/>
                <w:szCs w:val="15"/>
                <w:color w:val="auto"/>
              </w:rPr>
            </w:pPr>
          </w:p>
        </w:tc>
        <w:tc>
          <w:tcPr>
            <w:tcW w:w="1620" w:type="dxa"/>
            <w:vAlign w:val="bottom"/>
          </w:tcPr>
          <w:p>
            <w:pPr>
              <w:jc w:val="center"/>
              <w:ind w:left="156"/>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1, 2008</w:t>
            </w:r>
          </w:p>
        </w:tc>
        <w:tc>
          <w:tcPr>
            <w:tcW w:w="32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70,340</w:t>
            </w:r>
          </w:p>
        </w:tc>
        <w:tc>
          <w:tcPr>
            <w:tcW w:w="7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280" w:type="dxa"/>
            <w:vAlign w:val="bottom"/>
            <w:gridSpan w:val="3"/>
          </w:tcPr>
          <w:p>
            <w:pPr>
              <w:jc w:val="right"/>
              <w:ind w:right="20"/>
              <w:spacing w:after="0"/>
              <w:rPr>
                <w:sz w:val="20"/>
                <w:szCs w:val="20"/>
                <w:color w:val="auto"/>
              </w:rPr>
            </w:pPr>
            <w:r>
              <w:rPr>
                <w:rFonts w:ascii="Arial" w:cs="Arial" w:eastAsia="Arial" w:hAnsi="Arial"/>
                <w:sz w:val="18"/>
                <w:szCs w:val="18"/>
                <w:color w:val="auto"/>
              </w:rPr>
              <w:t>5,650</w:t>
            </w:r>
          </w:p>
        </w:tc>
        <w:tc>
          <w:tcPr>
            <w:tcW w:w="760" w:type="dxa"/>
            <w:vAlign w:val="bottom"/>
          </w:tcPr>
          <w:p>
            <w:pPr>
              <w:spacing w:after="0"/>
              <w:rPr>
                <w:sz w:val="18"/>
                <w:szCs w:val="18"/>
                <w:color w:val="auto"/>
              </w:rPr>
            </w:pP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04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(488)</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040" w:type="dxa"/>
            <w:vAlign w:val="bottom"/>
            <w:gridSpan w:val="4"/>
          </w:tcPr>
          <w:p>
            <w:pPr>
              <w:jc w:val="right"/>
              <w:ind w:right="720"/>
              <w:spacing w:after="0"/>
              <w:rPr>
                <w:sz w:val="20"/>
                <w:szCs w:val="20"/>
                <w:color w:val="auto"/>
              </w:rPr>
            </w:pPr>
            <w:r>
              <w:rPr>
                <w:rFonts w:ascii="Arial" w:cs="Arial" w:eastAsia="Arial" w:hAnsi="Arial"/>
                <w:sz w:val="18"/>
                <w:szCs w:val="18"/>
                <w:color w:val="auto"/>
              </w:rPr>
              <w:t>(832)</w:t>
            </w: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04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(2,762)</w:t>
            </w:r>
          </w:p>
        </w:tc>
        <w:tc>
          <w:tcPr>
            <w:tcW w:w="16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August 1, 2009</w:t>
            </w:r>
          </w:p>
        </w:tc>
        <w:tc>
          <w:tcPr>
            <w:tcW w:w="27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71,908</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tcPr>
          <w:p>
            <w:pPr>
              <w:jc w:val="right"/>
              <w:ind w:right="396"/>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three and nine months ended August 1, 2009, the total intrinsic value of options exercised (i.e., the difference between the market price at exercise and the price paid by the employee to exercise the options) was $1.8 million and $2.5 million, respectively, and the total amount of proceeds received from exercise of these options was $5.8 million and $8.8 million, respectively. Proceeds from stock option exercises pursuant to employee stock plans in the Company’s statement of cash flows during the nine months ended August 1, 2009 of $8.7 million, is net of the value of shares surrendered by employees to satisfy employee tax obligations upon vesting of restricted stock or restricted stock units and in connection with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exercise of stock options granted to the Company’s employees under the Company’s equity compensation plans. The withholding amount is based on the Company’s minimum statutory withholding requirement pursuant to SFAS 123R. The total grant-date fair value of stock options that vested during the three and nine months ended August 1, 2009 was approximately $0.7 million and $72.8 million, respectively.</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three and nine months ended August 2, 2008, the total intrinsic value of options exercised (i.e., the difference between the market price at exercise and the price paid by the employee to exercise the options) was $18.0 million and $94.5 million, respectively, and the total amount of cash received from exercise of these options was $20.9 million and $89.4 million, respectively. Proceeds from stock option exercises pursuant to employee stock plans in the Company’s statement of cash flows during the nine months ended August 2, 2008 of $83.0 million, is net of the value of shares surrendered by employees to satisfy employee tax obligations upon vesting of restricted stock or restricted stock units and in connection with the exercise of stock options granted to the Company’s employees under the Company’s equity compensation plans. The total grant-date fair value of stock options that vested during the three and nine months ended August 2, 2008 was approximately $0.9 million and $76.6 million, respectively.</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August 1, 2009 and changes during the three- and nine-month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860" w:type="dxa"/>
            <w:vAlign w:val="bottom"/>
          </w:tcPr>
          <w:p>
            <w:pPr>
              <w:jc w:val="center"/>
              <w:ind w:left="2228"/>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60" w:type="dxa"/>
            <w:vAlign w:val="bottom"/>
          </w:tcPr>
          <w:p>
            <w:pPr>
              <w:jc w:val="center"/>
              <w:ind w:left="2248"/>
              <w:spacing w:after="0" w:line="149" w:lineRule="exact"/>
              <w:rPr>
                <w:sz w:val="20"/>
                <w:szCs w:val="20"/>
                <w:color w:val="auto"/>
              </w:rPr>
            </w:pPr>
            <w:r>
              <w:rPr>
                <w:rFonts w:ascii="Arial" w:cs="Arial" w:eastAsia="Arial" w:hAnsi="Arial"/>
                <w:sz w:val="14"/>
                <w:szCs w:val="14"/>
                <w:b w:val="1"/>
                <w:bCs w:val="1"/>
                <w:color w:val="auto"/>
                <w:w w:val="92"/>
              </w:rPr>
              <w:t>Shares and/ or</w:t>
            </w:r>
          </w:p>
        </w:tc>
        <w:tc>
          <w:tcPr>
            <w:tcW w:w="14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120" w:type="dxa"/>
            <w:vAlign w:val="bottom"/>
            <w:vMerge w:val="restart"/>
          </w:tcPr>
          <w:p>
            <w:pPr>
              <w:spacing w:after="0"/>
              <w:rPr>
                <w:sz w:val="20"/>
                <w:szCs w:val="20"/>
                <w:color w:val="auto"/>
              </w:rPr>
            </w:pPr>
            <w:r>
              <w:rPr>
                <w:rFonts w:ascii="Arial" w:cs="Arial" w:eastAsia="Arial" w:hAnsi="Arial"/>
                <w:sz w:val="14"/>
                <w:szCs w:val="14"/>
                <w:b w:val="1"/>
                <w:bCs w:val="1"/>
                <w:color w:val="auto"/>
              </w:rPr>
              <w:t>Activity during the Three Months Ended August 1, 2009</w:t>
            </w:r>
          </w:p>
        </w:tc>
        <w:tc>
          <w:tcPr>
            <w:tcW w:w="3860" w:type="dxa"/>
            <w:vAlign w:val="bottom"/>
          </w:tcPr>
          <w:p>
            <w:pPr>
              <w:jc w:val="center"/>
              <w:ind w:left="2228"/>
              <w:spacing w:after="0" w:line="149" w:lineRule="exact"/>
              <w:rPr>
                <w:sz w:val="20"/>
                <w:szCs w:val="20"/>
                <w:color w:val="auto"/>
              </w:rPr>
            </w:pPr>
            <w:r>
              <w:rPr>
                <w:rFonts w:ascii="Arial" w:cs="Arial" w:eastAsia="Arial" w:hAnsi="Arial"/>
                <w:sz w:val="14"/>
                <w:szCs w:val="14"/>
                <w:b w:val="1"/>
                <w:bCs w:val="1"/>
                <w:color w:val="auto"/>
                <w:w w:val="91"/>
              </w:rPr>
              <w:t>Units</w:t>
            </w:r>
          </w:p>
        </w:tc>
        <w:tc>
          <w:tcPr>
            <w:tcW w:w="14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auto"/>
            </w:tcBorders>
            <w:vMerge w:val="continue"/>
          </w:tcPr>
          <w:p>
            <w:pPr>
              <w:spacing w:after="0"/>
              <w:rPr>
                <w:sz w:val="14"/>
                <w:szCs w:val="14"/>
                <w:color w:val="auto"/>
              </w:rPr>
            </w:pPr>
          </w:p>
        </w:tc>
        <w:tc>
          <w:tcPr>
            <w:tcW w:w="3860" w:type="dxa"/>
            <w:vAlign w:val="bottom"/>
            <w:tcBorders>
              <w:bottom w:val="single" w:sz="8" w:color="auto"/>
            </w:tcBorders>
          </w:tcPr>
          <w:p>
            <w:pPr>
              <w:jc w:val="center"/>
              <w:ind w:left="2228"/>
              <w:spacing w:after="0"/>
              <w:rPr>
                <w:sz w:val="20"/>
                <w:szCs w:val="20"/>
                <w:color w:val="auto"/>
              </w:rPr>
            </w:pPr>
            <w:r>
              <w:rPr>
                <w:rFonts w:ascii="Arial" w:cs="Arial" w:eastAsia="Arial" w:hAnsi="Arial"/>
                <w:sz w:val="14"/>
                <w:szCs w:val="14"/>
                <w:b w:val="1"/>
                <w:bCs w:val="1"/>
                <w:color w:val="auto"/>
                <w:w w:val="92"/>
              </w:rPr>
              <w:t>Outstanding</w:t>
            </w:r>
          </w:p>
        </w:tc>
        <w:tc>
          <w:tcPr>
            <w:tcW w:w="14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2, 2009</w:t>
            </w:r>
          </w:p>
        </w:tc>
        <w:tc>
          <w:tcPr>
            <w:tcW w:w="3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146</w:t>
            </w: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Restrictions lapsed</w:t>
            </w:r>
          </w:p>
        </w:tc>
        <w:tc>
          <w:tcPr>
            <w:tcW w:w="2720" w:type="dxa"/>
            <w:vAlign w:val="bottom"/>
            <w:gridSpan w:val="2"/>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40" w:type="dxa"/>
            <w:vAlign w:val="bottom"/>
          </w:tcPr>
          <w:p>
            <w:pPr>
              <w:ind w:left="54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August 1, 2009</w:t>
            </w:r>
          </w:p>
        </w:tc>
        <w:tc>
          <w:tcPr>
            <w:tcW w:w="36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143</w:t>
            </w: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620" w:type="dxa"/>
            <w:vAlign w:val="bottom"/>
            <w:gridSpan w:val="4"/>
          </w:tcPr>
          <w:p>
            <w:pPr>
              <w:jc w:val="center"/>
              <w:ind w:left="1939"/>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vMerge w:val="restart"/>
          </w:tcPr>
          <w:p>
            <w:pPr>
              <w:jc w:val="center"/>
              <w:ind w:left="13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20" w:type="dxa"/>
            <w:vAlign w:val="bottom"/>
            <w:gridSpan w:val="4"/>
          </w:tcPr>
          <w:p>
            <w:pPr>
              <w:jc w:val="center"/>
              <w:ind w:left="1939"/>
              <w:spacing w:after="0" w:line="149" w:lineRule="exact"/>
              <w:rPr>
                <w:sz w:val="20"/>
                <w:szCs w:val="20"/>
                <w:color w:val="auto"/>
              </w:rPr>
            </w:pPr>
            <w:r>
              <w:rPr>
                <w:rFonts w:ascii="Arial" w:cs="Arial" w:eastAsia="Arial" w:hAnsi="Arial"/>
                <w:sz w:val="14"/>
                <w:szCs w:val="14"/>
                <w:b w:val="1"/>
                <w:bCs w:val="1"/>
                <w:color w:val="auto"/>
                <w:w w:val="90"/>
              </w:rPr>
              <w:t>Shares and/ or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20" w:type="dxa"/>
            <w:vAlign w:val="bottom"/>
            <w:gridSpan w:val="4"/>
          </w:tcPr>
          <w:p>
            <w:pPr>
              <w:jc w:val="center"/>
              <w:ind w:left="1939"/>
              <w:spacing w:after="0" w:line="149" w:lineRule="exact"/>
              <w:rPr>
                <w:sz w:val="20"/>
                <w:szCs w:val="20"/>
                <w:color w:val="auto"/>
              </w:rPr>
            </w:pPr>
            <w:r>
              <w:rPr>
                <w:rFonts w:ascii="Arial" w:cs="Arial" w:eastAsia="Arial" w:hAnsi="Arial"/>
                <w:sz w:val="14"/>
                <w:szCs w:val="14"/>
                <w:b w:val="1"/>
                <w:bCs w:val="1"/>
                <w:color w:val="auto"/>
                <w:w w:val="91"/>
              </w:rPr>
              <w:t>Units</w:t>
            </w:r>
          </w:p>
        </w:tc>
        <w:tc>
          <w:tcPr>
            <w:tcW w:w="1440" w:type="dxa"/>
            <w:vAlign w:val="bottom"/>
          </w:tcPr>
          <w:p>
            <w:pPr>
              <w:jc w:val="center"/>
              <w:ind w:left="136"/>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Nine Months Ended August 1, 2009</w:t>
            </w:r>
          </w:p>
        </w:tc>
        <w:tc>
          <w:tcPr>
            <w:tcW w:w="3620" w:type="dxa"/>
            <w:vAlign w:val="bottom"/>
            <w:gridSpan w:val="4"/>
          </w:tcPr>
          <w:p>
            <w:pPr>
              <w:jc w:val="center"/>
              <w:ind w:left="1939"/>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40" w:type="dxa"/>
            <w:vAlign w:val="bottom"/>
          </w:tcPr>
          <w:p>
            <w:pPr>
              <w:jc w:val="center"/>
              <w:ind w:left="136"/>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3620" w:type="dxa"/>
            <w:vAlign w:val="bottom"/>
            <w:gridSpan w:val="4"/>
          </w:tcPr>
          <w:p>
            <w:pPr>
              <w:jc w:val="center"/>
              <w:ind w:left="1939"/>
              <w:spacing w:after="0"/>
              <w:rPr>
                <w:sz w:val="20"/>
                <w:szCs w:val="20"/>
                <w:color w:val="auto"/>
              </w:rPr>
            </w:pPr>
            <w:r>
              <w:rPr>
                <w:rFonts w:ascii="Arial" w:cs="Arial" w:eastAsia="Arial" w:hAnsi="Arial"/>
                <w:sz w:val="14"/>
                <w:szCs w:val="14"/>
                <w:b w:val="1"/>
                <w:bCs w:val="1"/>
                <w:color w:val="auto"/>
                <w:w w:val="91"/>
              </w:rPr>
              <w:t>(in thousands)</w:t>
            </w:r>
          </w:p>
        </w:tc>
        <w:tc>
          <w:tcPr>
            <w:tcW w:w="1440" w:type="dxa"/>
            <w:vAlign w:val="bottom"/>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1, 2008</w:t>
            </w:r>
          </w:p>
        </w:tc>
        <w:tc>
          <w:tcPr>
            <w:tcW w:w="29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80" w:type="dxa"/>
            <w:vAlign w:val="bottom"/>
          </w:tcPr>
          <w:p>
            <w:pPr>
              <w:spacing w:after="0"/>
              <w:rPr>
                <w:sz w:val="19"/>
                <w:szCs w:val="19"/>
                <w:color w:val="auto"/>
              </w:rPr>
            </w:pPr>
          </w:p>
        </w:tc>
        <w:tc>
          <w:tcPr>
            <w:tcW w:w="94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1440" w:type="dxa"/>
            <w:vAlign w:val="bottom"/>
          </w:tcPr>
          <w:p>
            <w:pPr>
              <w:ind w:left="54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August 1, 2009</w:t>
            </w:r>
          </w:p>
        </w:tc>
        <w:tc>
          <w:tcPr>
            <w:tcW w:w="268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143</w:t>
            </w:r>
          </w:p>
        </w:tc>
        <w:tc>
          <w:tcPr>
            <w:tcW w:w="640" w:type="dxa"/>
            <w:vAlign w:val="bottom"/>
            <w:shd w:val="clear" w:color="auto" w:fill="CCEEFF"/>
          </w:tcPr>
          <w:p>
            <w:pPr>
              <w:spacing w:after="0"/>
              <w:rPr>
                <w:sz w:val="18"/>
                <w:szCs w:val="18"/>
                <w:color w:val="auto"/>
              </w:rPr>
            </w:pPr>
          </w:p>
        </w:tc>
        <w:tc>
          <w:tcPr>
            <w:tcW w:w="1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of August 1, 2009, there was $116.9 million (before tax consideration) of total unrecognized compensation cost related to unvested share-based awards, including stock options, restricted stock and restricted stock units. That cost is expected to be recognized over a weighted-average period of 1.7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gridSpan w:val="2"/>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65,460</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129,195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5,629</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losses (net of taxes of $2 and $76, respectively) on securities classified as short-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(losses) (net of taxes of $211 and $640, respectively) on securities classified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as other investments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Change in unrealized gains (losses) (net of taxes of $1,336 and $298, respectively) on derivative instruments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(obligation) asset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Net actuarial (loss) gain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(643)</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78,819</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9,413</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78,819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left="311"/>
              <w:spacing w:after="0"/>
              <w:rPr>
                <w:sz w:val="20"/>
                <w:szCs w:val="20"/>
                <w:color w:val="auto"/>
              </w:rPr>
            </w:pPr>
            <w:r>
              <w:rPr>
                <w:rFonts w:ascii="Arial" w:cs="Arial" w:eastAsia="Arial" w:hAnsi="Arial"/>
                <w:sz w:val="14"/>
                <w:szCs w:val="14"/>
                <w:color w:val="auto"/>
                <w:w w:val="92"/>
              </w:rPr>
              <w:t>Nine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gridSpan w:val="2"/>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380,935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9,803</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gains (net of taxes of $352 and $124, respectively) on securities classified</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short-term investments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(2,493)</w:t>
            </w: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(net of taxes of $265 and $336, respectively) on securities classified as other</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Change in unrealized gains (losses) (net of taxes of $3,837 and $695, respectively) on derivative instruments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25,140</w:t>
            </w: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(1,544)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173,170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369,019</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261,478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630,497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at August 1, 2009 and November 1, 2008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w w:val="93"/>
              </w:rPr>
              <w:t>August 1, 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November 1, 2008</w:t>
            </w:r>
          </w:p>
        </w:tc>
      </w:tr>
      <w:tr>
        <w:trPr>
          <w:trHeight w:val="20"/>
        </w:trPr>
        <w:tc>
          <w:tcPr>
            <w:tcW w:w="6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(12,513)</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981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2,984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securities(1)</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Unrealized gains (losses) on derivative instruments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4,877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(20,263)</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Transition obligation</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Net actuarial loss</w:t>
            </w: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(9,569)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(8,025)</w:t>
            </w:r>
          </w:p>
        </w:tc>
      </w:tr>
      <w:tr>
        <w:trPr>
          <w:trHeight w:val="27"/>
        </w:trPr>
        <w:tc>
          <w:tcPr>
            <w:tcW w:w="6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accumulated other comprehensive loss</w:t>
            </w: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(16,807)</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(48,178)</w:t>
            </w:r>
          </w:p>
        </w:tc>
      </w:tr>
      <w:tr>
        <w:trPr>
          <w:trHeight w:val="20"/>
        </w:trPr>
        <w:tc>
          <w:tcPr>
            <w:tcW w:w="6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investments with unrealized losses as of August 1, 2009 and November 1, 2008 was $1,225 million and $0.1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the assumed proceeds under the treasury stock method include the average unrecognized compensation expense of stock options that are in-the-money. This results in the “assumed” buyback of additional shares, thereby reducing the dilutive impact of stock options. Potential future issuances of common stock related to certain of the Company’s outstanding stock options were excluded because they were anti-dilutive. Those potential future issuances of common stock, determined based on the weighted-average exercise prices during the respective periods, could be dilutive in the future.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65,460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129,195</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65,460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138,608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291,387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290,376</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291,387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290,376</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295,001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60,279</w:t>
            </w:r>
          </w:p>
        </w:tc>
        <w:tc>
          <w:tcPr>
            <w:tcW w:w="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51,271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5620" w:right="4820" w:hanging="5612"/>
        <w:spacing w:after="0" w:line="523" w:lineRule="auto"/>
        <w:tabs>
          <w:tab w:leader="none" w:pos="44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sum of the individual per share amounts may not equal the total due to rounding.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4"/>
              </w:rPr>
              <w:t>Nine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380,935</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261,478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142,163</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642,413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293,302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293,302</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292,259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298,207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income from discontinued operations, net of tax</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(1)</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63,967</w:t>
            </w:r>
          </w:p>
        </w:tc>
        <w:tc>
          <w:tcPr>
            <w:tcW w:w="2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4820" w:hanging="5612"/>
        <w:spacing w:after="0" w:line="523" w:lineRule="auto"/>
        <w:tabs>
          <w:tab w:leader="none" w:pos="45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sum of the individual per share amounts may not equal the total due to rounding.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Reorganization</w:t>
            </w: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Consolidation</w:t>
            </w:r>
          </w:p>
        </w:tc>
        <w:tc>
          <w:tcPr>
            <w:tcW w:w="220" w:type="dxa"/>
            <w:vAlign w:val="bottom"/>
          </w:tcPr>
          <w:p>
            <w:pPr>
              <w:spacing w:after="0"/>
              <w:rPr>
                <w:sz w:val="14"/>
                <w:szCs w:val="14"/>
                <w:color w:val="auto"/>
              </w:rPr>
            </w:pPr>
          </w:p>
        </w:tc>
        <w:tc>
          <w:tcPr>
            <w:tcW w:w="13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3"/>
              </w:rPr>
              <w:t>Reduction of</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Reduction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Closure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of Product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a Wafer</w:t>
            </w: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Wafer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Development</w:t>
            </w:r>
          </w:p>
        </w:tc>
        <w:tc>
          <w:tcPr>
            <w:tcW w:w="20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Overhead</w:t>
            </w:r>
          </w:p>
        </w:tc>
        <w:tc>
          <w:tcPr>
            <w:tcW w:w="12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Facility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Infrastructure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 Sunnyvale</w:t>
            </w: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Support Programs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Limerick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1300" w:type="dxa"/>
            <w:vAlign w:val="bottom"/>
            <w:gridSpan w:val="4"/>
          </w:tcPr>
          <w:p>
            <w:pPr>
              <w:ind w:left="220"/>
              <w:spacing w:after="0"/>
              <w:rPr>
                <w:sz w:val="20"/>
                <w:szCs w:val="20"/>
                <w:color w:val="auto"/>
              </w:rPr>
            </w:pPr>
            <w:r>
              <w:rPr>
                <w:rFonts w:ascii="Arial" w:cs="Arial" w:eastAsia="Arial" w:hAnsi="Arial"/>
                <w:sz w:val="14"/>
                <w:szCs w:val="14"/>
                <w:b w:val="1"/>
                <w:bCs w:val="1"/>
                <w:color w:val="auto"/>
              </w:rPr>
              <w:t>in Cambridge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Workforce reductions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20,315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Total Fiscal 2005 Charges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5"/>
              </w:rPr>
              <w:t>Abandonment of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Change in estimate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6"/>
              </w:rPr>
              <w:t>Total Fiscal 2006 Charges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Other items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6"/>
              </w:rPr>
              <w:t>Total Fiscal 2007 Charges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Workforce reductions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6"/>
              </w:rPr>
              <w:t>Total Fiscal 2008 Charges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Workforce reductions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26,583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1"/>
              </w:rPr>
              <w:t>Non-cash impairment charge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12,929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w w:val="96"/>
              </w:rPr>
              <w:t>Total Fiscal 2009 Charges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30,333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492"/>
              <w:spacing w:after="0"/>
              <w:rPr>
                <w:sz w:val="20"/>
                <w:szCs w:val="20"/>
                <w:color w:val="auto"/>
              </w:rPr>
            </w:pPr>
            <w:r>
              <w:rPr>
                <w:rFonts w:ascii="Arial" w:cs="Arial" w:eastAsia="Arial" w:hAnsi="Arial"/>
                <w:sz w:val="18"/>
                <w:szCs w:val="18"/>
                <w:color w:val="auto"/>
                <w:w w:val="79"/>
              </w:rPr>
              <w:t>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Reorganization</w:t>
            </w:r>
          </w:p>
        </w:tc>
        <w:tc>
          <w:tcPr>
            <w:tcW w:w="14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Consolidation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Closure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Reduction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Wafer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9"/>
              </w:rPr>
              <w:t>Closure of Wafer</w:t>
            </w: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of Product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of a Wafer</w:t>
            </w:r>
          </w:p>
        </w:tc>
        <w:tc>
          <w:tcPr>
            <w:tcW w:w="1140" w:type="dxa"/>
            <w:vAlign w:val="bottom"/>
            <w:gridSpan w:val="3"/>
            <w:vMerge w:val="continue"/>
          </w:tcPr>
          <w:p>
            <w:pPr>
              <w:spacing w:after="0"/>
              <w:rPr>
                <w:sz w:val="12"/>
                <w:szCs w:val="12"/>
                <w:color w:val="auto"/>
              </w:rPr>
            </w:pPr>
          </w:p>
        </w:tc>
        <w:tc>
          <w:tcPr>
            <w:tcW w:w="14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Reduction of</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Fabrication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Development and</w:t>
            </w:r>
          </w:p>
        </w:tc>
        <w:tc>
          <w:tcPr>
            <w:tcW w:w="180" w:type="dxa"/>
            <w:vAlign w:val="bottom"/>
          </w:tcPr>
          <w:p>
            <w:pPr>
              <w:spacing w:after="0"/>
              <w:rPr>
                <w:sz w:val="12"/>
                <w:szCs w:val="12"/>
                <w:color w:val="auto"/>
              </w:rPr>
            </w:pP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Overhead</w:t>
            </w:r>
          </w:p>
        </w:tc>
        <w:tc>
          <w:tcPr>
            <w:tcW w:w="14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Facility</w:t>
            </w:r>
          </w:p>
        </w:tc>
        <w:tc>
          <w:tcPr>
            <w:tcW w:w="10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32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Fabrication Facility</w:t>
            </w:r>
          </w:p>
        </w:tc>
        <w:tc>
          <w:tcPr>
            <w:tcW w:w="1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Support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Infrastructure</w:t>
            </w:r>
          </w:p>
        </w:tc>
        <w:tc>
          <w:tcPr>
            <w:tcW w:w="20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w:t>
            </w: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in Sunnyvale</w:t>
            </w:r>
          </w:p>
        </w:tc>
        <w:tc>
          <w:tcPr>
            <w:tcW w:w="1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Limerick</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Costs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Costs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Cambridge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at November 1,</w:t>
            </w:r>
          </w:p>
        </w:tc>
        <w:tc>
          <w:tcPr>
            <w:tcW w:w="3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18,181</w:t>
            </w: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rPr>
                <w:sz w:val="20"/>
                <w:szCs w:val="20"/>
                <w:color w:val="auto"/>
              </w:rPr>
            </w:pPr>
            <w:r>
              <w:rPr>
                <w:rFonts w:ascii="Arial" w:cs="Arial" w:eastAsia="Arial" w:hAnsi="Arial"/>
                <w:sz w:val="18"/>
                <w:szCs w:val="18"/>
                <w:color w:val="auto"/>
                <w:w w:val="94"/>
              </w:rPr>
              <w:t>Fiscal 2009 special charges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9"/>
              </w:rPr>
              <w:t>Non-cash impairment charge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(12,929)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w w:val="92"/>
              </w:rPr>
              <w:t>Effect of foreign currency 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accrual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January 31,</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27,823</w:t>
            </w: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rPr>
                <w:sz w:val="20"/>
                <w:szCs w:val="20"/>
                <w:color w:val="auto"/>
              </w:rPr>
            </w:pPr>
            <w:r>
              <w:rPr>
                <w:rFonts w:ascii="Arial" w:cs="Arial" w:eastAsia="Arial" w:hAnsi="Arial"/>
                <w:sz w:val="18"/>
                <w:szCs w:val="18"/>
                <w:color w:val="auto"/>
                <w:w w:val="94"/>
              </w:rPr>
              <w:t>Fiscal 2009 special charges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11,278</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89"/>
              </w:rPr>
              <w:t>Non-cash impairment charge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Other items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Effect of foreign currency on</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Balance at May 2, 2009</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17,171</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Facility closure costs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w w:val="92"/>
              </w:rPr>
              <w:t>Effect of foreign currency 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accrual</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Balance at August 1, 2009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ceased production at its California wafer fabrication facility in November 2006. The Company is paying the lease obligation costs on a monthly basis over the remaining lease term, which expires in 2010. The Company completed the clean-up activity during fiscal 2007, and does not expect to incur any additional charges related to this action.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recorded special charges in fiscal years 2005, 2006 and 2007 as a result of its decision to reorganize its product development and support programs with the goal of providing greater focus on its analog and digital signal processing product programs. The Company terminated the employment of all employees associated with these programs and is paying amounts owed to employees for severance as income continuance. The Company does not expect to incur any further charges related to this reorganization action.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During the fourth quarter of fiscal 2007, the Company recorded a special charge of $13.7 million as a result of its decision to only use eight-inch technology at its wafer fabrication facility in Limerick. Certain manufacturing processes and products produced on the Limerick facility’s six-inch production line have transitioned to the Company’s existing eight-inch production line in Limerick while others have transitioned to external foundries. The charge was for severance and fringe benefit costs recorded pursuant to SFAS 88, </w:t>
      </w:r>
      <w:r>
        <w:rPr>
          <w:rFonts w:ascii="Arial" w:cs="Arial" w:eastAsia="Arial" w:hAnsi="Arial"/>
          <w:sz w:val="17"/>
          <w:szCs w:val="17"/>
          <w:i w:val="1"/>
          <w:iCs w:val="1"/>
          <w:color w:val="auto"/>
        </w:rPr>
        <w:t>Employers’ Accounting for Settlements and Curtailments of Defined Benefit Pension Plans</w:t>
      </w:r>
      <w:r>
        <w:rPr>
          <w:rFonts w:ascii="Arial" w:cs="Arial" w:eastAsia="Arial" w:hAnsi="Arial"/>
          <w:sz w:val="17"/>
          <w:szCs w:val="17"/>
          <w:color w:val="auto"/>
        </w:rPr>
        <w:t xml:space="preserve"> </w:t>
      </w:r>
      <w:r>
        <w:rPr>
          <w:rFonts w:ascii="Arial" w:cs="Arial" w:eastAsia="Arial" w:hAnsi="Arial"/>
          <w:sz w:val="17"/>
          <w:szCs w:val="17"/>
          <w:i w:val="1"/>
          <w:iCs w:val="1"/>
          <w:color w:val="auto"/>
        </w:rPr>
        <w:t>and for Termination Benefits</w:t>
      </w:r>
      <w:r>
        <w:rPr>
          <w:rFonts w:ascii="Arial" w:cs="Arial" w:eastAsia="Arial" w:hAnsi="Arial"/>
          <w:sz w:val="17"/>
          <w:szCs w:val="17"/>
          <w:color w:val="auto"/>
        </w:rPr>
        <w:t>, or SFAS 88, under the Company’s ongoing benefit plan for 150 manufacturing employees associated with this action. As of</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 2009, the Company still employed 4 of the 150 employees included in this action. Most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production in the six-inch wafer fabrication facility has ceased and the remaining production is expected to cease during the fourth quarter of fiscal 2009, at which time the employment of the remaining affected employees will be terminated. These employees must continue to be employed by the Company until their employment is involuntarily terminated in order to receive the severance benefit. During the fourth quarter of 2008, the Company recorded an additional charge of $1.5 million related to this action, of which $1.2 million was an adjustment to the original estimate of the severance costs and $0.3 million was for clean-up and closure costs that were expensed as incurred. During the first quarter of fiscal 2009, the Company recorded an additional charge of $0.6 million for clean-up and closure costs that were expensed as incurred. During the second quarter of fiscal 2009, the Company recorded an additional charge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$0.6 million for clean-up and closure costs that were expensed as incurred. The Company does not expect to incur any further charges related to this action.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fourth quarter of fiscal 2007, the Company recorded a special charge as a result of its decision to either deemphasize or exit certain businesses or products and focus investments in products and end markets where it has better opportunities for profitable growth. In September 2007, the Company entered into a definitive agreement to sell its Baseband Chipset Business. As a result, the Company decided to reduce the support infrastructure in manufacturing, engineering and SMG&amp;A to more appropriately reflect its required overhead structure. The Company terminated the employment of all employees associated with these programs and is paying amounts owed to employees for severance as income continuance. The Company does not expect to incur any further charges related to this action.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recorded pursuant to SFAS 88 under its ongoing benefit plan or statutory requirements at foreign locations, for 19 engineering and SMG&amp;A employees. The Company terminated the employment of all employees associated with this charge and is paying amounts owed to employees for severance as income continuance.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2009, the Company recorded an additional charge of $19.1 million related to this cost reduction action. Approximately</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$2.1 million of this charge was for lease obligation costs for facilities that the Company ceased using during the first quarter of fiscal 2009; approximately $0.8 million was for the write-off of property, plant and equipment; and approximately $0.6 million was for contract termination costs and for clean-up and closure costs that were expensed as incurred. The remaining $15.6 million related to the severance and fringe benefit costs recorded pursuant to SFAS 88 under the Company’s ongoing benefit plan or statutory requirements at foreign locations, for 221 manufacturing employees and 149 engineering and selling, marketing, general and administrative employees. As of August 1, 2009, the Company still employed 3 of the 370 employees included in this cost reduction action. These employees must continue to be employed by the Company until their employment is involuntarily terminated in order to receive the severance benefit.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2009, the Company recorded an additional charge of $11.3 million related to this cost reduction action. Approximately</w:t>
      </w:r>
    </w:p>
    <w:p>
      <w:pPr>
        <w:spacing w:after="0" w:line="4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$0.1 million was for the write-off of property, plant and equipment; and approximately $0.3 million was for clean-up and closure costs that were expensed as incurred. The remaining $10.9 million related to the severance and fringe benefit costs recorded pursuant to SFAS 88 under the Company’s ongoing benefit plan or statutory requirements at foreign locations, for 24 manufacturing employees and 153 engineering and selling, marketing, general and administrative employees. As of August 1, 2009, the Company still employed 26 of the 177 employees included in this cost reduction action. These employees must continue to be employed by the Company until their employment is involuntarily terminated in order to receive the severance benefit.</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the Company’s ongoing benefit plan for 175 manufacturing employees and 9 selling, marketing, general and administrative employees associated with this action. As of August 1, 2009, the Company still employed all of the employees included in this action. The Company expects production to cease in the Cambridge fabrication facility during the fourth quarter of fiscal 2009, at which time the employment of the affected employees will be terminated. These employees must continue to be employed by the Company until their employment is involuntarily terminated in order to receive the severance benefit.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August 1, 2009</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Y/Y%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vMerge w:val="restart"/>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800" w:type="dxa"/>
            <w:vAlign w:val="bottom"/>
            <w:gridSpan w:val="2"/>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$ 252,135</w:t>
            </w:r>
          </w:p>
        </w:tc>
        <w:tc>
          <w:tcPr>
            <w:tcW w:w="1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(29)%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$ 356,280</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Communications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125,500</w:t>
            </w:r>
          </w:p>
        </w:tc>
        <w:tc>
          <w:tcPr>
            <w:tcW w:w="180" w:type="dxa"/>
            <w:vAlign w:val="bottom"/>
          </w:tcPr>
          <w:p>
            <w:pPr>
              <w:spacing w:after="0"/>
              <w:rPr>
                <w:sz w:val="18"/>
                <w:szCs w:val="18"/>
                <w:color w:val="auto"/>
              </w:rPr>
            </w:pPr>
          </w:p>
        </w:tc>
        <w:tc>
          <w:tcPr>
            <w:tcW w:w="1860" w:type="dxa"/>
            <w:vAlign w:val="bottom"/>
            <w:gridSpan w:val="3"/>
          </w:tcPr>
          <w:p>
            <w:pPr>
              <w:jc w:val="right"/>
              <w:ind w:right="5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(15)%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147,894</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102,323</w:t>
            </w:r>
          </w:p>
        </w:tc>
        <w:tc>
          <w:tcPr>
            <w:tcW w:w="1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(21)%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129,784</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Computer</w:t>
            </w:r>
          </w:p>
        </w:tc>
        <w:tc>
          <w:tcPr>
            <w:tcW w:w="19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12,033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w w:val="95"/>
              </w:rPr>
              <w:t>(52)%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25,028</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$ 491,991</w:t>
            </w:r>
          </w:p>
        </w:tc>
        <w:tc>
          <w:tcPr>
            <w:tcW w:w="1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95"/>
              </w:rPr>
              <w:t>(25)%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$ 658,986</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August 1, 2009</w:t>
            </w: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2, 2008</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4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Revenue</w:t>
            </w:r>
          </w:p>
        </w:tc>
        <w:tc>
          <w:tcPr>
            <w:tcW w:w="18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3"/>
          </w:tcPr>
          <w:p>
            <w:pPr>
              <w:jc w:val="center"/>
              <w:ind w:right="880"/>
              <w:spacing w:after="0" w:line="119" w:lineRule="exact"/>
              <w:rPr>
                <w:sz w:val="20"/>
                <w:szCs w:val="20"/>
                <w:color w:val="auto"/>
              </w:rPr>
            </w:pPr>
            <w:r>
              <w:rPr>
                <w:rFonts w:ascii="Arial" w:cs="Arial" w:eastAsia="Arial" w:hAnsi="Arial"/>
                <w:sz w:val="13"/>
                <w:szCs w:val="13"/>
                <w:b w:val="1"/>
                <w:bCs w:val="1"/>
                <w:color w:val="auto"/>
              </w:rPr>
              <w:t>% of</w:t>
            </w: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Y/Y%</w:t>
            </w:r>
          </w:p>
        </w:tc>
        <w:tc>
          <w:tcPr>
            <w:tcW w:w="8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vMerge w:val="restart"/>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753,271</w:t>
            </w:r>
          </w:p>
        </w:tc>
        <w:tc>
          <w:tcPr>
            <w:tcW w:w="1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$ 1,043,899</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Communications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391,399</w:t>
            </w:r>
          </w:p>
        </w:tc>
        <w:tc>
          <w:tcPr>
            <w:tcW w:w="180" w:type="dxa"/>
            <w:vAlign w:val="bottom"/>
          </w:tcPr>
          <w:p>
            <w:pPr>
              <w:spacing w:after="0"/>
              <w:rPr>
                <w:sz w:val="18"/>
                <w:szCs w:val="18"/>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8"/>
                <w:szCs w:val="18"/>
                <w:color w:val="auto"/>
              </w:rPr>
              <w:t>427,143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258,350</w:t>
            </w:r>
          </w:p>
        </w:tc>
        <w:tc>
          <w:tcPr>
            <w:tcW w:w="180" w:type="dxa"/>
            <w:vAlign w:val="bottom"/>
            <w:tcBorders>
              <w:lef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980" w:type="dxa"/>
            <w:vAlign w:val="bottom"/>
            <w:tcBorders>
              <w:right w:val="single" w:sz="8" w:color="CCEEFF"/>
            </w:tcBorders>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380,291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Computer</w:t>
            </w:r>
          </w:p>
        </w:tc>
        <w:tc>
          <w:tcPr>
            <w:tcW w:w="17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40,288</w:t>
            </w:r>
          </w:p>
        </w:tc>
        <w:tc>
          <w:tcPr>
            <w:tcW w:w="180" w:type="dxa"/>
            <w:vAlign w:val="bottom"/>
          </w:tcPr>
          <w:p>
            <w:pPr>
              <w:spacing w:after="0"/>
              <w:rPr>
                <w:sz w:val="18"/>
                <w:szCs w:val="18"/>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8"/>
                <w:szCs w:val="18"/>
                <w:color w:val="auto"/>
              </w:rPr>
              <w:t>70,902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left w:val="single" w:sz="8" w:color="auto"/>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$ 1,443,308</w:t>
            </w:r>
          </w:p>
        </w:tc>
        <w:tc>
          <w:tcPr>
            <w:tcW w:w="18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$ 1,922,235</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$ 239,100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$ 302,812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119,897</w:t>
            </w:r>
          </w:p>
        </w:tc>
        <w:tc>
          <w:tcPr>
            <w:tcW w:w="1880" w:type="dxa"/>
            <w:vAlign w:val="bottom"/>
            <w:gridSpan w:val="4"/>
          </w:tcPr>
          <w:p>
            <w:pPr>
              <w:jc w:val="right"/>
              <w:ind w:right="5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170,526</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424,208</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553,690</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(23%)</w:t>
            </w: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$ 452,194</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$ 590,364</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60,521</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8,101</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39,797</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68,622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(25%)</w:t>
            </w: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$ 491,991</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$ 658,986</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6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76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2"/>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694,856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881,354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496,992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170,304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243,012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color w:val="auto"/>
              </w:rPr>
              <w:t>(24%)</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1,238,806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1,621,358</w:t>
            </w:r>
          </w:p>
        </w:tc>
        <w:tc>
          <w:tcPr>
            <w:tcW w:w="6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82,316</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104,789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(23%)</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$ 1,321,122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$ 1,726,147</w:t>
            </w:r>
          </w:p>
        </w:tc>
        <w:tc>
          <w:tcPr>
            <w:tcW w:w="6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117,249</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173,921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22,167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122,186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2"/>
              </w:rPr>
              <w:t>196,088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(25%)</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$ 1,443,308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6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August 1, 2009 and August 2, 2008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2, 2008</w:t>
            </w:r>
          </w:p>
        </w:tc>
        <w:tc>
          <w:tcPr>
            <w:tcW w:w="62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2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298,713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23,961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25,433</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63,714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120,899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177,881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91,480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128,457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103,632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Asia</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92,415</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201,259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491,991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658,986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1,443,308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1,922,235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three- and nine-month periods ended August 1, 2009 the predominant countries comprising “Rest of North and South America” are Canada and Mexico; the predominant countries comprising “Europe” are Germany and Sweden; and the predominant countries comprising “Rest of Asia” are Taiwan and Korea.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the three- and nine-month periods ended August 2, 2008 the predominant countries comprising “Rest of North and South America” are Canada and Mexico; the predominant countries comprising “Europe” are Germany, France, the United Kingdom and Italy; and the predominant countries comprising “Rest of Asia” are Taiwan and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The Company adopted Statement of Financial Accounting Standard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at the beginning of fiscal year 2009. SFAS 157 defines fair value, establishes a framework for measuring fair value in accordance with generally accepted accounting principles, and expands disclosures about fair value measurements. SFAS 157 is effective for non-financial assets and liabilities in financial statements issued for fiscal years beginning after November 15, 2008, which is the Company’s fiscal year 2010. The adoption of SFAS 157 did not impact the Company’s consolidated financial position or results of operations. SFAS 157 defines fair value as the price that would be received to sell an asset or paid to transfer a liability in an orderly transaction between market participants at the measurement date. SFAS 157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under SFAS 157 are described below:</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6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 If</w:t>
      </w:r>
      <w:r>
        <w:rPr>
          <w:rFonts w:ascii="Arial" w:cs="Arial" w:eastAsia="Arial" w:hAnsi="Arial"/>
          <w:sz w:val="16"/>
          <w:szCs w:val="16"/>
          <w:i w:val="1"/>
          <w:iCs w:val="1"/>
          <w:color w:val="auto"/>
        </w:rPr>
        <w:t xml:space="preserve"> </w:t>
      </w:r>
      <w:r>
        <w:rPr>
          <w:rFonts w:ascii="Arial" w:cs="Arial" w:eastAsia="Arial" w:hAnsi="Arial"/>
          <w:sz w:val="16"/>
          <w:szCs w:val="16"/>
          <w:color w:val="auto"/>
        </w:rPr>
        <w:t>the asset or liability has a specified (contractual) term, a Level 2 input must be observable for substantially the full term of the asset or liability.</w:t>
      </w:r>
    </w:p>
    <w:p>
      <w:pPr>
        <w:spacing w:after="0" w:line="1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August 1, 2009, the Company held no Level 3 assets or liabilities.</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table below sets forth by level the Company’s financial assets and liabilities that were accounted for at fair value as of August 1, 2009. The table does not include cash on hand and also does not include assets and liabilities that are measured at historical cost or any basis other than fair value.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220"/>
              <w:spacing w:after="0"/>
              <w:rPr>
                <w:sz w:val="20"/>
                <w:szCs w:val="20"/>
                <w:color w:val="auto"/>
              </w:rPr>
            </w:pPr>
            <w:r>
              <w:rPr>
                <w:rFonts w:ascii="Arial" w:cs="Arial" w:eastAsia="Arial" w:hAnsi="Arial"/>
                <w:sz w:val="14"/>
                <w:szCs w:val="14"/>
                <w:b w:val="1"/>
                <w:bCs w:val="1"/>
                <w:color w:val="auto"/>
              </w:rPr>
              <w:t>Fair Value measurement 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Portion of</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5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in Active</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Measured at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Identical</w:t>
            </w: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August 1, 2009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Cash Equivalents: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Institutional money market funds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593,878</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593,878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Euro time deposits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Short-term investments: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Corporate obligations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1,091,729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Other Assets: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Interest rate swap agreements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compensation investments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1,697,754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603,915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1,093,839</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Long-term debt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374,926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Forward foreign currency exchange contracts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40" w:type="dxa"/>
            <w:vAlign w:val="bottom"/>
            <w:vMerge w:val="restart"/>
          </w:tcPr>
          <w:p>
            <w:pPr>
              <w:jc w:val="right"/>
              <w:ind w:right="151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model based on current market rates.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Deferred compensation plan investments and other investments </w:t>
      </w:r>
      <w:r>
        <w:rPr>
          <w:rFonts w:ascii="Arial" w:cs="Arial" w:eastAsia="Arial" w:hAnsi="Arial"/>
          <w:sz w:val="18"/>
          <w:szCs w:val="18"/>
          <w:color w:val="auto"/>
        </w:rPr>
        <w:t>— The fair value of these investments is based on quoted market prices.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fair value of long-term debt is based on quoted market values.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accounted for as cash flow hedges and those that are not designated as cash flow hedges, is based on the estimated amount the Company would receive to sell these agreements at the reporting date taking into consideration current interest rates as well as the creditworthiness of the counterparty for assets and our creditworthiness for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British Pounds Sterling. These foreign currency exchange contracts are entered into to support purchases and financing transactions made in the normal course of business, and accordingly, are not speculative in nature. The contracts are for periods consistent with the terms of the underlying transactions, generally one year or less. In accordance with Statement of Financial Accounting Standards No. 133 (SFAS 133),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hedges related to anticipated transactions are designated and documented at the inception of the respective hedges as cash flow hedges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 As of August 1, 2009, the total notional amount of these undesignated hedges was $45.7 million. The fair value of these hedging instruments in our condensed consolidated balance sheet as of August 1, 2009 was immaterial.</w:t>
      </w:r>
    </w:p>
    <w:p>
      <w:pPr>
        <w:spacing w:after="0" w:line="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Interest Rate Exposure Management </w:t>
      </w:r>
      <w:r>
        <w:rPr>
          <w:rFonts w:ascii="Arial" w:cs="Arial" w:eastAsia="Arial" w:hAnsi="Arial"/>
          <w:sz w:val="16"/>
          <w:szCs w:val="16"/>
          <w:color w:val="auto"/>
        </w:rPr>
        <w:t>— On June 30, 2009, the Company entered into interest rate swap transactions related to its outstanding notes where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w:t>
      </w:r>
      <w:r>
        <w:rPr>
          <w:rFonts w:ascii="Arial" w:cs="Arial" w:eastAsia="Arial" w:hAnsi="Arial"/>
          <w:sz w:val="13"/>
          <w:szCs w:val="13"/>
          <w:color w:val="auto"/>
        </w:rPr>
        <w:t>st</w:t>
      </w:r>
      <w:r>
        <w:rPr>
          <w:rFonts w:ascii="Arial" w:cs="Arial" w:eastAsia="Arial" w:hAnsi="Arial"/>
          <w:sz w:val="16"/>
          <w:szCs w:val="16"/>
          <w:color w:val="auto"/>
        </w:rPr>
        <w:t xml:space="preserve"> of every January and July, commencing January 1, 2010 through and ending on the maturity date; and (ii) pay on the $375 million notional amount an annual three-month LIBOR plus 2.05% (2.64% as of August 1, 2009) interest payment, payable in four installments on the 1</w:t>
      </w:r>
      <w:r>
        <w:rPr>
          <w:rFonts w:ascii="Arial" w:cs="Arial" w:eastAsia="Arial" w:hAnsi="Arial"/>
          <w:sz w:val="13"/>
          <w:szCs w:val="13"/>
          <w:color w:val="auto"/>
        </w:rPr>
        <w:t>st</w:t>
      </w:r>
      <w:r>
        <w:rPr>
          <w:rFonts w:ascii="Arial" w:cs="Arial" w:eastAsia="Arial" w:hAnsi="Arial"/>
          <w:sz w:val="16"/>
          <w:szCs w:val="16"/>
          <w:color w:val="auto"/>
        </w:rPr>
        <w:t xml:space="preserve"> of every January, April, July and October, commencing on October 1, 2009 and ending on the maturity date. The LIBOR based rate is set quarterly three months prior to the date of the interest payment. The Company designated these swaps as fair value hedges and is accounting for them in accordance with SFAS 133. The fair value of the swaps at inception were zero and subsequent changes in the fair value of the interest rate swaps were reflected in the carrying value of the interest rate swaps on the balance sheet. The carrying value of the debt on the balance sheet was adjusted by an equal and offsetting amount. The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gain or loss on the hedged item (that is fixed-rate borrowings) attributable to the hedged benchmark interest rate risk and the offsetting gain or loss on the related interest rate swaps for the three and nine months ended August 1, 2009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Gain/(Loss) on</w:t>
            </w:r>
          </w:p>
        </w:tc>
        <w:tc>
          <w:tcPr>
            <w:tcW w:w="5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Gain/(Loss)</w:t>
            </w:r>
          </w:p>
        </w:tc>
        <w:tc>
          <w:tcPr>
            <w:tcW w:w="5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670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5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1"/>
        </w:trPr>
        <w:tc>
          <w:tcPr>
            <w:tcW w:w="670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Swaps</w:t>
            </w:r>
          </w:p>
        </w:tc>
        <w:tc>
          <w:tcPr>
            <w:tcW w:w="5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Note</w:t>
            </w:r>
          </w:p>
        </w:tc>
        <w:tc>
          <w:tcPr>
            <w:tcW w:w="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9"/>
                <w:szCs w:val="19"/>
                <w:color w:val="auto"/>
              </w:rPr>
            </w:pPr>
          </w:p>
        </w:tc>
        <w:tc>
          <w:tcPr>
            <w:tcW w:w="1180" w:type="dxa"/>
            <w:vAlign w:val="bottom"/>
          </w:tcPr>
          <w:p>
            <w:pPr>
              <w:jc w:val="right"/>
              <w:ind w:right="302"/>
              <w:spacing w:after="0"/>
              <w:rPr>
                <w:sz w:val="20"/>
                <w:szCs w:val="20"/>
                <w:color w:val="auto"/>
              </w:rPr>
            </w:pPr>
            <w:r>
              <w:rPr>
                <w:rFonts w:ascii="Arial" w:cs="Arial" w:eastAsia="Arial" w:hAnsi="Arial"/>
                <w:sz w:val="18"/>
                <w:szCs w:val="18"/>
                <w:color w:val="auto"/>
              </w:rPr>
              <w:t>$1,488</w:t>
            </w:r>
          </w:p>
        </w:tc>
        <w:tc>
          <w:tcPr>
            <w:tcW w:w="5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$(1,488)</w:t>
            </w:r>
          </w:p>
        </w:tc>
        <w:tc>
          <w:tcPr>
            <w:tcW w:w="520" w:type="dxa"/>
            <w:vAlign w:val="bottom"/>
          </w:tcPr>
          <w:p>
            <w:pPr>
              <w:spacing w:after="0"/>
              <w:rPr>
                <w:sz w:val="19"/>
                <w:szCs w:val="19"/>
                <w:color w:val="auto"/>
              </w:rPr>
            </w:pPr>
          </w:p>
        </w:tc>
        <w:tc>
          <w:tcPr>
            <w:tcW w:w="8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Furthermore, none of our derivative transactions are subject to collateral or other security arrangements and do not contain provisions that are dependent on our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we do not consider the risk of counterparty default to be significant.</w:t>
      </w:r>
    </w:p>
    <w:p>
      <w:pPr>
        <w:spacing w:after="0" w:line="6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depending on whether the derivative financial instrument qualifies for hedge accounting as defined by SFAS 133 and whether it is a cash flow hedge or a fair value hedge.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total notional amount of derivative instruments designated as hedging instruments under SFAS 133 as of August 1, 2009 is as follows: $375 million of interest rate swap agreements accounted as fair value hedges, and $124.4 million of cash flow hedges denominated in Euros, British Pounds Sterling and Philippine Pesos. The fair value of these hedging instruments in our condensed consolidated balance sheet as of August 1, 2009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vMerge w:val="restart"/>
          </w:tcPr>
          <w:p>
            <w:pPr>
              <w:spacing w:after="0"/>
              <w:rPr>
                <w:sz w:val="20"/>
                <w:szCs w:val="20"/>
                <w:color w:val="auto"/>
              </w:rPr>
            </w:pPr>
            <w:r>
              <w:rPr>
                <w:rFonts w:ascii="Arial" w:cs="Arial" w:eastAsia="Arial" w:hAnsi="Arial"/>
                <w:sz w:val="18"/>
                <w:szCs w:val="18"/>
                <w:color w:val="auto"/>
              </w:rPr>
              <w:t>Interest rate swap agreements</w:t>
            </w: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Sheet Location</w:t>
            </w:r>
          </w:p>
        </w:tc>
        <w:tc>
          <w:tcPr>
            <w:tcW w:w="540" w:type="dxa"/>
            <w:vAlign w:val="bottom"/>
          </w:tcPr>
          <w:p>
            <w:pPr>
              <w:spacing w:after="0"/>
              <w:rPr>
                <w:sz w:val="14"/>
                <w:szCs w:val="1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400" w:type="dxa"/>
            <w:vAlign w:val="bottom"/>
            <w:vMerge w:val="continue"/>
          </w:tcPr>
          <w:p>
            <w:pPr>
              <w:spacing w:after="0"/>
              <w:rPr>
                <w:sz w:val="16"/>
                <w:szCs w:val="16"/>
                <w:color w:val="auto"/>
              </w:rPr>
            </w:pPr>
          </w:p>
        </w:tc>
        <w:tc>
          <w:tcPr>
            <w:tcW w:w="2560" w:type="dxa"/>
            <w:vAlign w:val="bottom"/>
          </w:tcPr>
          <w:p>
            <w:pPr>
              <w:spacing w:after="0" w:line="195" w:lineRule="exact"/>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6"/>
                <w:szCs w:val="16"/>
                <w:color w:val="auto"/>
              </w:rPr>
            </w:pPr>
          </w:p>
        </w:tc>
        <w:tc>
          <w:tcPr>
            <w:tcW w:w="920" w:type="dxa"/>
            <w:vAlign w:val="bottom"/>
          </w:tcPr>
          <w:p>
            <w:pPr>
              <w:jc w:val="right"/>
              <w:ind w:right="99"/>
              <w:spacing w:after="0" w:line="195" w:lineRule="exact"/>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2560" w:type="dxa"/>
            <w:vAlign w:val="bottom"/>
          </w:tcPr>
          <w:p>
            <w:pPr>
              <w:spacing w:after="0"/>
              <w:rPr>
                <w:sz w:val="20"/>
                <w:szCs w:val="20"/>
                <w:color w:val="auto"/>
              </w:rPr>
            </w:pPr>
            <w:r>
              <w:rPr>
                <w:rFonts w:ascii="Arial" w:cs="Arial" w:eastAsia="Arial" w:hAnsi="Arial"/>
                <w:sz w:val="18"/>
                <w:szCs w:val="18"/>
                <w:color w:val="auto"/>
              </w:rPr>
              <w:t>Accrued Liabilities</w:t>
            </w:r>
          </w:p>
        </w:tc>
        <w:tc>
          <w:tcPr>
            <w:tcW w:w="1460" w:type="dxa"/>
            <w:vAlign w:val="bottom"/>
            <w:gridSpan w:val="2"/>
          </w:tcPr>
          <w:p>
            <w:pPr>
              <w:jc w:val="right"/>
              <w:ind w:right="99"/>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instruments designated as cash flow hedges on our condensed consolidated statement of income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1, 2009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5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ind w:right="316"/>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8360" w:type="dxa"/>
            <w:vAlign w:val="bottom"/>
            <w:vMerge w:val="restart"/>
          </w:tcPr>
          <w:p>
            <w:pPr>
              <w:spacing w:after="0"/>
              <w:rPr>
                <w:sz w:val="20"/>
                <w:szCs w:val="20"/>
                <w:color w:val="auto"/>
              </w:rPr>
            </w:pPr>
            <w:r>
              <w:rPr>
                <w:rFonts w:ascii="Arial" w:cs="Arial" w:eastAsia="Arial" w:hAnsi="Arial"/>
                <w:sz w:val="18"/>
                <w:szCs w:val="18"/>
                <w:color w:val="auto"/>
              </w:rPr>
              <w:t>Gain recognized in OCI on derivative, net of tax of $1,307 and $5,656, respectively</w:t>
            </w: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August 1, 2009</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August 1, 2009</w:t>
            </w:r>
          </w:p>
        </w:tc>
        <w:tc>
          <w:tcPr>
            <w:tcW w:w="0" w:type="dxa"/>
            <w:vAlign w:val="bottom"/>
          </w:tcPr>
          <w:p>
            <w:pPr>
              <w:spacing w:after="0"/>
              <w:rPr>
                <w:sz w:val="1"/>
                <w:szCs w:val="1"/>
                <w:color w:val="auto"/>
              </w:rPr>
            </w:pPr>
          </w:p>
        </w:tc>
      </w:tr>
      <w:tr>
        <w:trPr>
          <w:trHeight w:val="195"/>
        </w:trPr>
        <w:tc>
          <w:tcPr>
            <w:tcW w:w="8360" w:type="dxa"/>
            <w:vAlign w:val="bottom"/>
            <w:vMerge w:val="continue"/>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6"/>
              <w:spacing w:after="0" w:line="195" w:lineRule="exact"/>
              <w:rPr>
                <w:sz w:val="20"/>
                <w:szCs w:val="20"/>
                <w:color w:val="auto"/>
              </w:rPr>
            </w:pPr>
            <w:r>
              <w:rPr>
                <w:rFonts w:ascii="Arial" w:cs="Arial" w:eastAsia="Arial" w:hAnsi="Arial"/>
                <w:sz w:val="18"/>
                <w:szCs w:val="18"/>
                <w:color w:val="auto"/>
                <w:w w:val="84"/>
              </w:rPr>
              <w:t>7,838</w:t>
            </w:r>
          </w:p>
        </w:tc>
        <w:tc>
          <w:tcPr>
            <w:tcW w:w="500" w:type="dxa"/>
            <w:vAlign w:val="bottom"/>
          </w:tcPr>
          <w:p>
            <w:pPr>
              <w:spacing w:after="0"/>
              <w:rPr>
                <w:sz w:val="16"/>
                <w:szCs w:val="16"/>
                <w:color w:val="auto"/>
              </w:rPr>
            </w:pPr>
          </w:p>
        </w:tc>
        <w:tc>
          <w:tcPr>
            <w:tcW w:w="1360" w:type="dxa"/>
            <w:vAlign w:val="bottom"/>
          </w:tcPr>
          <w:p>
            <w:pPr>
              <w:ind w:left="320"/>
              <w:spacing w:after="0" w:line="195" w:lineRule="exact"/>
              <w:rPr>
                <w:sz w:val="20"/>
                <w:szCs w:val="20"/>
                <w:color w:val="auto"/>
              </w:rPr>
            </w:pPr>
            <w:r>
              <w:rPr>
                <w:rFonts w:ascii="Arial" w:cs="Arial" w:eastAsia="Arial" w:hAnsi="Arial"/>
                <w:sz w:val="18"/>
                <w:szCs w:val="18"/>
                <w:color w:val="auto"/>
              </w:rPr>
              <w:t>$ 37,867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Gain (loss) reclassified from OCI into income, net of tax of $29 and $1,819, respectively</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6"/>
              <w:spacing w:after="0"/>
              <w:rPr>
                <w:sz w:val="20"/>
                <w:szCs w:val="20"/>
                <w:color w:val="auto"/>
              </w:rPr>
            </w:pPr>
            <w:r>
              <w:rPr>
                <w:rFonts w:ascii="Arial" w:cs="Arial" w:eastAsia="Arial" w:hAnsi="Arial"/>
                <w:sz w:val="18"/>
                <w:szCs w:val="18"/>
                <w:color w:val="auto"/>
              </w:rPr>
              <w:t>175</w:t>
            </w:r>
          </w:p>
        </w:tc>
        <w:tc>
          <w:tcPr>
            <w:tcW w:w="1860" w:type="dxa"/>
            <w:vAlign w:val="bottom"/>
            <w:gridSpan w:val="2"/>
          </w:tcPr>
          <w:p>
            <w:pPr>
              <w:ind w:left="820"/>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amounts reclassified into earnings before tax are recognized in cost of sales and operating expenses as follows: for the three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August 1, 2009, $0.1 million in cost of sales, and $0.1 million in selling, marketing, general and administrative; and for the nine month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1, 2009, $6.5 million in cost of sales, $4.4 million in research and development and $3.6 million in selling, marketing, general and administrative.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derivative gains (losses) included in OCI will be reclassified into earnings within the next 12 months. There was no ineffectiveness for the three and nine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months ended August 1, 2009.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annually evaluates goodwill for impairment as well as whenever events or changes in circumstances suggest that the carrying value of goodwill may not be recoverable. Because the Company has one reporting segment under Statement of Financial Accounting Standards No.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the Company utilizes the entity-wide approach for assessing goodwill for impairment and compares its market value to its net book value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if an impairment exists. No impairment of goodwill resulted from the Company’s most recent evaluation of goodwill for impairment, which occurred in the fourth quarter of fiscal 2008. No impairment of goodwill resulted in any of the fiscal years presented. The Company’s next scheduled annual impairment assessment will be made in the fourth quarter of fiscal 2009. The following table presents the changes in goodwill during the first nine months of fiscal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August 1, 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235,175</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Acquisition of AudioAsics (1)</w:t>
            </w:r>
          </w:p>
        </w:tc>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 (2)</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880" w:type="dxa"/>
            <w:vAlign w:val="bottom"/>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247,347</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final milestone related to this 2006 acquisition was achieved in the second quarter of fiscal 2009.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purchased the remaining outstanding minority shares related to this 2006 acquisition during the third quarter of fiscal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7"/>
              </w:rPr>
              <w:t>August 1, 2009</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1, 2008</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39,099</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31,520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36,516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25,731</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1,465</w:t>
            </w: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1,430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4,968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6,565</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6,565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6,534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6,534</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52,097</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43,281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49,017</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36,717</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0.7 years.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Amortization expense was $1.7 million and $2.4 million for the three-month periods ended August 1, 2009 and August 2, 2008, respectively, and $5.2 million and $7.5 million for the nine-month periods ended August 1, 2009 and August 2, 2008,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9780" w:type="dxa"/>
            <w:vAlign w:val="bottom"/>
            <w:gridSpan w:val="2"/>
          </w:tcPr>
          <w:p>
            <w:pPr>
              <w:spacing w:after="0"/>
              <w:rPr>
                <w:sz w:val="20"/>
                <w:szCs w:val="20"/>
                <w:color w:val="auto"/>
              </w:rPr>
            </w:pPr>
            <w:r>
              <w:rPr>
                <w:rFonts w:ascii="Arial" w:cs="Arial" w:eastAsia="Arial" w:hAnsi="Arial"/>
                <w:sz w:val="14"/>
                <w:szCs w:val="14"/>
                <w:color w:val="auto"/>
              </w:rPr>
              <w:t>Year</w:t>
            </w:r>
          </w:p>
        </w:tc>
        <w:tc>
          <w:tcPr>
            <w:tcW w:w="56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$2,209</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2010</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$5,240</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$1,367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the first quarter of fiscal 2009, the Company adopted the measurement date provision of SFAS 158, </w:t>
      </w:r>
      <w:r>
        <w:rPr>
          <w:rFonts w:ascii="Arial" w:cs="Arial" w:eastAsia="Arial" w:hAnsi="Arial"/>
          <w:sz w:val="18"/>
          <w:szCs w:val="18"/>
          <w:i w:val="1"/>
          <w:iCs w:val="1"/>
          <w:color w:val="auto"/>
        </w:rPr>
        <w:t>Employers’ Accounting for Defined Benefit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Postretirement Plans — an amendment of FASB Statement No. 87, 88, 106 and 132(R) </w:t>
      </w:r>
      <w:r>
        <w:rPr>
          <w:rFonts w:ascii="Arial" w:cs="Arial" w:eastAsia="Arial" w:hAnsi="Arial"/>
          <w:sz w:val="18"/>
          <w:szCs w:val="18"/>
          <w:color w:val="auto"/>
        </w:rPr>
        <w:t>(SFAS 158). This provision requires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plan’s funded status to be the same as the Company’s fiscal year end. In accordance with the adoption provisions of SFAS 158, the Company changed its measurement date from September 30, 2008 to November 1, 2008, the Company’s fiscal year-end, and recorded a $0.2 million adjustment to retained earnings in the first quarter of fiscal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color w:val="auto"/>
                <w:w w:val="93"/>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8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2,430</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(2,731)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(132)</w:t>
            </w:r>
          </w:p>
        </w:tc>
        <w:tc>
          <w:tcPr>
            <w:tcW w:w="3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48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66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color w:val="auto"/>
                <w:w w:val="92"/>
              </w:rPr>
              <w:t>Nine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1"/>
              </w:rPr>
              <w:t>August 1, 2009</w:t>
            </w:r>
          </w:p>
        </w:tc>
        <w:tc>
          <w:tcPr>
            <w:tcW w:w="660" w:type="dxa"/>
            <w:vAlign w:val="bottom"/>
          </w:tcPr>
          <w:p>
            <w:pPr>
              <w:spacing w:after="0"/>
              <w:rPr>
                <w:sz w:val="12"/>
                <w:szCs w:val="12"/>
                <w:color w:val="auto"/>
              </w:rPr>
            </w:pPr>
          </w:p>
        </w:tc>
        <w:tc>
          <w:tcPr>
            <w:tcW w:w="9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3"/>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8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cost</w:t>
            </w: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7,008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(7,870)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4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Amortization of net (gain) loss</w:t>
            </w:r>
          </w:p>
        </w:tc>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48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66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820" w:type="dxa"/>
            <w:vAlign w:val="bottom"/>
            <w:vMerge w:val="restart"/>
          </w:tcPr>
          <w:p>
            <w:pPr>
              <w:jc w:val="right"/>
              <w:ind w:right="297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Pension contributions of $1.9 million and $5.7 million were made by the Company during the three and nine months ended August 1, 2009. The Company presently anticipates contributing an additional $1.6 million to fund its defined benefit pension plans in fiscal year 2009 for a total of $7.3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August 1, 2009, the Company had $1,724.4 million of cash and cash equivalents and short term investments, of which $426.0 million was held in the United States. The balance of the Company’s cash and cash equivalents and short 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The Company is currently compliant with these covenants. The terms of the facility also impose restrictions on the Company’s ability to undertake certain transactions, to create certain liens on assets and to incur certain subsidiary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30, 2009, the Company issued $375 million aggregate principal amount of 5.0%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its principal property; enter into sale and lease-back transactions; and consolidate with or merge into, or transfer or lease all or substantially all of its assets to, any other party.</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w:t>
      </w:r>
      <w:r>
        <w:rPr>
          <w:rFonts w:ascii="Arial" w:cs="Arial" w:eastAsia="Arial" w:hAnsi="Arial"/>
          <w:sz w:val="13"/>
          <w:szCs w:val="13"/>
          <w:color w:val="auto"/>
        </w:rPr>
        <w:t>st</w:t>
      </w:r>
      <w:r>
        <w:rPr>
          <w:rFonts w:ascii="Arial" w:cs="Arial" w:eastAsia="Arial" w:hAnsi="Arial"/>
          <w:sz w:val="16"/>
          <w:szCs w:val="16"/>
          <w:color w:val="auto"/>
        </w:rPr>
        <w:t xml:space="preserve"> of every January and July, commencing January 1, 2010 through and ending on the maturity date; and (ii) pay on the $375 million notional amount an annual three-month LIBOR plus 2.05% (2.64% as of August 1, 2009) interest payment, payable in four installments on the 1</w:t>
      </w:r>
      <w:r>
        <w:rPr>
          <w:rFonts w:ascii="Arial" w:cs="Arial" w:eastAsia="Arial" w:hAnsi="Arial"/>
          <w:sz w:val="13"/>
          <w:szCs w:val="13"/>
          <w:color w:val="auto"/>
        </w:rPr>
        <w:t>st</w:t>
      </w:r>
      <w:r>
        <w:rPr>
          <w:rFonts w:ascii="Arial" w:cs="Arial" w:eastAsia="Arial" w:hAnsi="Arial"/>
          <w:sz w:val="16"/>
          <w:szCs w:val="16"/>
          <w:color w:val="auto"/>
        </w:rPr>
        <w:t xml:space="preserve"> of every January, April, July and October, commencing on October 1, 2009 and ending on the maturity date. The LIBOR based rate is set quarterly three months prior to the date of the interest payment. The Company designated these swaps as fair value hedges and is accounting for them in accordance with SFAS 133.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August 1, 2009, the Company had repurchased a total of approximately 114.7 million shares of its common stock for approximately $3,908.4 million under this program. An additional $91.6 million of shares remains available for repurchase under the current authorized program. The repurchased shares are held as authorized but unissued shares of common stock. The Company also from time to time repurchases shares in settlement of employee tax withholding obligations due upon the vesting of restricted stock or restricted stock units, or the exercise of stock options. Any future common stock repurchases will be dependent upon several factors including the amount of cash available to the Company in the United States, our financial performance, outlook and liquidity.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During the first quarter of fiscal 2008, the Company completed the sale of this business for net cash proceeds of $138 million, which was net of other cash payments of approximately $1.4 million. The Company made final additional cash payments of approximately $2.2 million in the second quarter of fiscal 2008. In connection with the purchase and sale agreement, $7.5 million was placed into escrow and was excluded from the gain calculations. The Company recorded a pre-tax gain in the first quarter of fiscal 2008 of $78 million, or $43 million net of tax, which was recorded as a gain on sale of discontinued operations.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As a result, the Company classified inventory for this arrangement as a current asset of discontinued operations. The Company may receive additional proceeds of up to $1 million, currently held in escrow, upon the resolution of certain contingent items, which would be recorded as additional gain from the sale of discontinued operations.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were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made additional cash payments of $7.8 million during fiscal 2008, primarily related to transaction fees and retention payments to employees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transferred to MediaTek Inc. The Company made additional cash payments of $1.3 million during the second quarter of fiscal 2009 related to retention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for employees who transferred to MediaTek Inc. The Company expects to make additional cash payments of approximately $1.2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 of fiscal 2009 for reimbursement of intellectual property license fees incurred by MediaTek Inc. The Company recorded a pre-tax gain in fiscal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2008 of $278 million, or $202 million net of tax, which is recorded as a gain on sale of discontinued operations. The Company may receive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of up to $10 million, currently held in escrow, upon the resolution of certain contingent items, which would be recorded as additional gain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of discontinued operations.</w:t>
      </w:r>
    </w:p>
    <w:p>
      <w:pPr>
        <w:spacing w:after="0" w:line="1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Company received additional amounts under various transition service agreements entered into in connection with these dispositions. The transition service agreements included manufacturing, engineering support and certain human resource services and information technology systems support. At the time of the disposition the Company evaluated the nature of the transition services and concluded the services would be primarily completed within the one-year assessment period, and the Company did not have the ability to exert significant influence over the disposed businesses’ operating and financial policies. Accordingly, the Company concluded that it did not have a significant continuing involvement with the disposed businesses and has presented the disposition of these businesses as discontinued operations pursuant to SFAS No. 144, </w:t>
      </w:r>
      <w:r>
        <w:rPr>
          <w:rFonts w:ascii="Arial" w:cs="Arial" w:eastAsia="Arial" w:hAnsi="Arial"/>
          <w:sz w:val="16"/>
          <w:szCs w:val="16"/>
          <w:i w:val="1"/>
          <w:iCs w:val="1"/>
          <w:color w:val="auto"/>
        </w:rPr>
        <w:t>Accounting for the Impairment or Disposal of Long-Lived Assets.</w:t>
      </w:r>
    </w:p>
    <w:p>
      <w:pPr>
        <w:spacing w:after="0" w:line="5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following amounts related to the CPU voltage regulation and PC thermal monitoring and Baseband Chipset businesses have been segregated from continuing operations and reported as discontinued operations. These amounts also include the revenue and costs of sales provided under a manufacturing supply agreement between the Company and a subsidiary of ON Semiconductor Corporation, which terminated during the first quarter of fiscal year 2009.</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1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Borders>
              <w:top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1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10,847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(362,594)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368,481</w:t>
            </w: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(894)</w:t>
            </w:r>
          </w:p>
        </w:tc>
        <w:tc>
          <w:tcPr>
            <w:tcW w:w="4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560" w:type="dxa"/>
            <w:vAlign w:val="bottom"/>
            <w:gridSpan w:val="8"/>
          </w:tcPr>
          <w:p>
            <w:pPr>
              <w:spacing w:after="0"/>
              <w:rPr>
                <w:sz w:val="20"/>
                <w:szCs w:val="20"/>
                <w:color w:val="auto"/>
              </w:rPr>
            </w:pPr>
            <w:r>
              <w:rPr>
                <w:rFonts w:ascii="Arial" w:cs="Arial" w:eastAsia="Arial" w:hAnsi="Arial"/>
                <w:sz w:val="14"/>
                <w:szCs w:val="14"/>
                <w:b w:val="1"/>
                <w:bCs w:val="1"/>
                <w:color w:val="auto"/>
              </w:rPr>
              <w:t>August 1, 2009</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9"/>
              </w:rPr>
              <w:t>November 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Refundable foreign withholding tax</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62,037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62,037</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62,037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12,809</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Total liabilities reclassified to current liabilities of discontinued operations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2004 and 2005 IRS Examination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recorded any additional tax liability for these items and is appealing these proposed adjustments through the normal processes for the resolution of differences between the IRS and taxpayers. The Company’s initial meeting with the appellate division of the IRS was held in May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2006 and 2007 IRS Examination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With the exception of the proposed adjustment related to the deductibility of certain stock option expenses, the other three matters could impact taxes payable for fiscal 2006 and 2007 as well as for subsequent years.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 2008 IRS Examination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IRS has not started their examination of fiscal year 2008.</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Codification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Standards Codification™ and the Hierarchy of Generally Accepted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Principles (a replacement of FASB Statement No. 162) </w:t>
      </w:r>
      <w:r>
        <w:rPr>
          <w:rFonts w:ascii="Arial" w:cs="Arial" w:eastAsia="Arial" w:hAnsi="Arial"/>
          <w:sz w:val="16"/>
          <w:szCs w:val="16"/>
          <w:color w:val="auto"/>
        </w:rPr>
        <w:t>(SFAS 168). SFAS 168 identifies the sources of accounting principles and the framework for selecting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principles used in the preparation of financial statements of nongovernmental entities that are presented in conformity with generally accepted accounting principles in the United States. SFAS 168 establishes the FASB Accounting Standards Codification™ (Codification) as the source of authoritative accounting principles recognized by the FASB. SFAS 168 is effective for financial statements issued for interim and annual periods ending after September 15, 2009, which is the Company’s fourth fiscal quarter of 2009. Upon adoption the Codification will be used to identify authoritative accounting standards.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June 2009, the FASB issued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xml:space="preserve"> (SFAS 167)</w:t>
      </w:r>
      <w:r>
        <w:rPr>
          <w:rFonts w:ascii="Arial" w:cs="Arial" w:eastAsia="Arial" w:hAnsi="Arial"/>
          <w:sz w:val="17"/>
          <w:szCs w:val="17"/>
          <w:i w:val="1"/>
          <w:iCs w:val="1"/>
          <w:color w:val="auto"/>
        </w:rPr>
        <w:t>.</w:t>
      </w:r>
      <w:r>
        <w:rPr>
          <w:rFonts w:ascii="Arial" w:cs="Arial" w:eastAsia="Arial" w:hAnsi="Arial"/>
          <w:sz w:val="17"/>
          <w:szCs w:val="17"/>
          <w:color w:val="auto"/>
        </w:rPr>
        <w:t xml:space="preserve"> SFAS 167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SFAS 167 is effective for fiscal years that begin after November 15, 2009, which is the Company’s fiscal year 2011. The Company is currently evaluating the impact, if any, that SFAS 167 may have on its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June 2009, the FASB issued SFAS No. 166, </w:t>
      </w:r>
      <w:r>
        <w:rPr>
          <w:rFonts w:ascii="Arial" w:cs="Arial" w:eastAsia="Arial" w:hAnsi="Arial"/>
          <w:sz w:val="18"/>
          <w:szCs w:val="18"/>
          <w:i w:val="1"/>
          <w:iCs w:val="1"/>
          <w:color w:val="auto"/>
        </w:rPr>
        <w:t>Accounting for Transfers of Financial Assets, an amendment of FASB Statement No. 140</w:t>
      </w:r>
      <w:r>
        <w:rPr>
          <w:rFonts w:ascii="Arial" w:cs="Arial" w:eastAsia="Arial" w:hAnsi="Arial"/>
          <w:sz w:val="18"/>
          <w:szCs w:val="18"/>
          <w:color w:val="auto"/>
        </w:rPr>
        <w:t xml:space="preserve"> (SFAS 166)</w:t>
      </w:r>
      <w:r>
        <w:rPr>
          <w:rFonts w:ascii="Arial" w:cs="Arial" w:eastAsia="Arial" w:hAnsi="Arial"/>
          <w:sz w:val="18"/>
          <w:szCs w:val="18"/>
          <w:i w:val="1"/>
          <w:iCs w:val="1"/>
          <w:color w:val="auto"/>
        </w:rPr>
        <w:t>.</w:t>
      </w:r>
      <w:r>
        <w:rPr>
          <w:rFonts w:ascii="Arial" w:cs="Arial" w:eastAsia="Arial" w:hAnsi="Arial"/>
          <w:sz w:val="18"/>
          <w:szCs w:val="18"/>
          <w:color w:val="auto"/>
        </w:rPr>
        <w:t xml:space="preserve"> SFAS 166 changes the way entities account for securitizations and other transfers of financial instruments. SFAS 166 is effective for fiscal years that begin after November 15, 2009, which is the Company’s fiscal year 2011. The Company is currently evaluating the impact, if any, that SFAS 166 may have on its financial condition and results of operations.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2007, the FASB issued SFAS No.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the Company’s fiscal year 2010. The Company is currently evaluating the impact, if any, that SFAS 141R may have on its financial condition and results of operations. The adoption of SFAS 141R will change the Company’s accounting treatment for business combinations on a prospective basis beginning in the first quarter of fiscal year 2010.</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the Company’s fiscal year 2010. The Company is currently evaluating the impact, if any, that SFAS 160 may have on its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SFAS 165, we have evaluated subsequent events through the issuance of these financial statements which occurred on August 18, 2009. On August 17, 2009, the Company’s Board of Directors declared a cash dividend of $0.20 per outstanding share of common stock. The dividend will be paid on September 16, 2009 to all shareholders of record at the close of business on August 27, 2009.</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1, 2008.</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ongoing global credit and financial market crisis; our anticipated growth and trends in our businesses, our capital needs and capital expenditures; our market position and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our third-party suppliers; intellectual property and litigation matters; potential acquisitions or divestitures;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The assets and liabilities related to these businesses are reflected as assets and liabilities of discontinued operations in the consolidated balance sheets as of August 1, 2009 and November 1, 2008. Unless otherwise noted, this Management’s Discussion and Analysis relates only to financial results from continuing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82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6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August 2, 2008</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86"/>
              </w:rPr>
              <w:t>491,991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9"/>
              </w:rPr>
              <w:t>658,986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1,443,308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1,922,235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Gross margin %</w:t>
            </w:r>
          </w:p>
        </w:tc>
        <w:tc>
          <w:tcPr>
            <w:tcW w:w="40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54.1%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55.2%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65,460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9"/>
              </w:rPr>
              <w:t>129,195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141,799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380,935</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20"/>
                <w:szCs w:val="20"/>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13.3%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19.6%</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19.8%</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0.22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0.44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0.49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1.28</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 EPS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3"/>
              <w:spacing w:after="0"/>
              <w:rPr>
                <w:sz w:val="20"/>
                <w:szCs w:val="20"/>
                <w:color w:val="auto"/>
              </w:rPr>
            </w:pPr>
            <w:r>
              <w:rPr>
                <w:rFonts w:ascii="Arial" w:cs="Arial" w:eastAsia="Arial" w:hAnsi="Arial"/>
                <w:sz w:val="18"/>
                <w:szCs w:val="18"/>
                <w:color w:val="auto"/>
              </w:rPr>
              <w:t>0.22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0.47</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0.49</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2.15</w:t>
            </w:r>
          </w:p>
        </w:tc>
      </w:tr>
    </w:tbl>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third quarter of fiscal 2009, our revenue decreased 25% from the third quarter of fiscal 2008 and our diluted earnings per share from continuing operations decreased by 50%. In the first nine months of fiscal 2009, our revenue decreased 25% from the first nine months of fiscal 2008 and our diluted earnings per share from continuing operations decreased by 62%. Cash flow from operations in the first nine months of fiscal 2009 was $269.5 million, or 19% of revenue. We received net proceeds of $370.4 million in the third quarter of fiscal 2009 from the issuance of long-term debt and had $1,724.4 million of cash and short-term investments as of August 1, 2009.</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credit crisis and deteriorating economic conditions could continue to result in cautious customer spending behavior. We cannot predict the severity, duration or precise impact of the economic downturn on our future financial results. Consequently, our reported results for the third quarter of fiscal 2009 may not be indicative of our future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top w:val="single" w:sz="8" w:color="auto"/>
            </w:tcBorders>
            <w:vMerge w:val="restart"/>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80" w:type="dxa"/>
            <w:vAlign w:val="bottom"/>
            <w:tcBorders>
              <w:top w:val="single" w:sz="8" w:color="auto"/>
            </w:tcBorders>
            <w:vMerge w:val="restart"/>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99"/>
              </w:rPr>
              <w:t>Revenue</w:t>
            </w:r>
          </w:p>
        </w:tc>
        <w:tc>
          <w:tcPr>
            <w:tcW w:w="720" w:type="dxa"/>
            <w:vAlign w:val="bottom"/>
            <w:tcBorders>
              <w:top w:val="single" w:sz="8" w:color="auto"/>
            </w:tcBorders>
            <w:vMerge w:val="restart"/>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$ 252,135</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$ 356,280</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Communications</w:t>
            </w:r>
          </w:p>
        </w:tc>
        <w:tc>
          <w:tcPr>
            <w:tcW w:w="2760" w:type="dxa"/>
            <w:vAlign w:val="bottom"/>
            <w:gridSpan w:val="4"/>
          </w:tcPr>
          <w:p>
            <w:pPr>
              <w:jc w:val="right"/>
              <w:ind w:right="140"/>
              <w:spacing w:after="0"/>
              <w:rPr>
                <w:sz w:val="20"/>
                <w:szCs w:val="20"/>
                <w:color w:val="auto"/>
              </w:rPr>
            </w:pPr>
            <w:r>
              <w:rPr>
                <w:rFonts w:ascii="Arial" w:cs="Arial" w:eastAsia="Arial" w:hAnsi="Arial"/>
                <w:sz w:val="18"/>
                <w:szCs w:val="18"/>
                <w:color w:val="auto"/>
              </w:rPr>
              <w:t>125,500</w:t>
            </w:r>
          </w:p>
        </w:tc>
        <w:tc>
          <w:tcPr>
            <w:tcW w:w="1880" w:type="dxa"/>
            <w:vAlign w:val="bottom"/>
            <w:gridSpan w:val="3"/>
          </w:tcPr>
          <w:p>
            <w:pPr>
              <w:jc w:val="right"/>
              <w:ind w:right="54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147,894</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102,323</w:t>
            </w: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129,784</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Computer</w:t>
            </w:r>
          </w:p>
        </w:tc>
        <w:tc>
          <w:tcPr>
            <w:tcW w:w="19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25,028</w:t>
            </w:r>
          </w:p>
        </w:tc>
        <w:tc>
          <w:tcPr>
            <w:tcW w:w="7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$ 491,991</w:t>
            </w:r>
          </w:p>
        </w:tc>
        <w:tc>
          <w:tcPr>
            <w:tcW w:w="18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$ 658,986</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August 2, 2008</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76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Revenue</w:t>
            </w:r>
          </w:p>
        </w:tc>
        <w:tc>
          <w:tcPr>
            <w:tcW w:w="720" w:type="dxa"/>
            <w:vAlign w:val="bottom"/>
            <w:vMerge w:val="restart"/>
          </w:tcPr>
          <w:p>
            <w:pPr>
              <w:spacing w:after="0"/>
              <w:rPr>
                <w:sz w:val="10"/>
                <w:szCs w:val="10"/>
                <w:color w:val="auto"/>
              </w:rPr>
            </w:pP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753,271</w:t>
            </w:r>
          </w:p>
        </w:tc>
        <w:tc>
          <w:tcPr>
            <w:tcW w:w="160" w:type="dxa"/>
            <w:vAlign w:val="bottom"/>
            <w:tcBorders>
              <w:left w:val="single" w:sz="8" w:color="CCEEFF"/>
            </w:tcBorders>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$ 1,043,899</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Communications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391,399</w:t>
            </w:r>
          </w:p>
        </w:tc>
        <w:tc>
          <w:tcPr>
            <w:tcW w:w="160" w:type="dxa"/>
            <w:vAlign w:val="bottom"/>
          </w:tcPr>
          <w:p>
            <w:pPr>
              <w:spacing w:after="0"/>
              <w:rPr>
                <w:sz w:val="18"/>
                <w:szCs w:val="18"/>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(8)%</w:t>
            </w:r>
          </w:p>
        </w:tc>
        <w:tc>
          <w:tcPr>
            <w:tcW w:w="1540" w:type="dxa"/>
            <w:vAlign w:val="bottom"/>
            <w:gridSpan w:val="3"/>
          </w:tcPr>
          <w:p>
            <w:pPr>
              <w:jc w:val="right"/>
              <w:ind w:right="700"/>
              <w:spacing w:after="0"/>
              <w:rPr>
                <w:sz w:val="20"/>
                <w:szCs w:val="20"/>
                <w:color w:val="auto"/>
              </w:rPr>
            </w:pPr>
            <w:r>
              <w:rPr>
                <w:rFonts w:ascii="Arial" w:cs="Arial" w:eastAsia="Arial" w:hAnsi="Arial"/>
                <w:sz w:val="18"/>
                <w:szCs w:val="18"/>
                <w:color w:val="auto"/>
              </w:rPr>
              <w:t>427,143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258,350</w:t>
            </w:r>
          </w:p>
        </w:tc>
        <w:tc>
          <w:tcPr>
            <w:tcW w:w="160" w:type="dxa"/>
            <w:vAlign w:val="bottom"/>
            <w:tcBorders>
              <w:left w:val="single" w:sz="8" w:color="CCEEFF"/>
            </w:tcBorders>
            <w:shd w:val="clear" w:color="auto" w:fill="CCEEFF"/>
          </w:tcPr>
          <w:p>
            <w:pPr>
              <w:spacing w:after="0"/>
              <w:rPr>
                <w:sz w:val="18"/>
                <w:szCs w:val="18"/>
                <w:color w:val="auto"/>
              </w:rPr>
            </w:pP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54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380,291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Computer</w:t>
            </w:r>
          </w:p>
        </w:tc>
        <w:tc>
          <w:tcPr>
            <w:tcW w:w="17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40,288</w:t>
            </w:r>
          </w:p>
        </w:tc>
        <w:tc>
          <w:tcPr>
            <w:tcW w:w="160" w:type="dxa"/>
            <w:vAlign w:val="bottom"/>
          </w:tcPr>
          <w:p>
            <w:pPr>
              <w:spacing w:after="0"/>
              <w:rPr>
                <w:sz w:val="18"/>
                <w:szCs w:val="18"/>
                <w:color w:val="auto"/>
              </w:rPr>
            </w:pP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(43)%</w:t>
            </w:r>
          </w:p>
        </w:tc>
        <w:tc>
          <w:tcPr>
            <w:tcW w:w="1540" w:type="dxa"/>
            <w:vAlign w:val="bottom"/>
            <w:gridSpan w:val="3"/>
          </w:tcPr>
          <w:p>
            <w:pPr>
              <w:jc w:val="right"/>
              <w:ind w:right="700"/>
              <w:spacing w:after="0"/>
              <w:rPr>
                <w:sz w:val="20"/>
                <w:szCs w:val="20"/>
                <w:color w:val="auto"/>
              </w:rPr>
            </w:pPr>
            <w:r>
              <w:rPr>
                <w:rFonts w:ascii="Arial" w:cs="Arial" w:eastAsia="Arial" w:hAnsi="Arial"/>
                <w:sz w:val="18"/>
                <w:szCs w:val="18"/>
                <w:color w:val="auto"/>
              </w:rPr>
              <w:t>70,902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Borders>
              <w:left w:val="single" w:sz="8" w:color="auto"/>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$ 1,443,308</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decrease in both the three- and nine-month periods in industrial end market revenue was primarily the result of a broad-based</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demand in this end market, which was most significant for products sold into the instrumentation, automotive and process controls sectors of this end market.</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decrease in the three-month period in communications end market revenue was primarily the result of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analog products used in basestations and optical applications. The year-to-year decrease in the nine-month period in communications end market revenue was primarily the result of a decrease in sales of analog products used in wireless handsets, optical and networking applications, which was partially offset by an increase in sales of products used in basestations.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i w:val="1"/>
          <w:iCs w:val="1"/>
          <w:color w:val="auto"/>
        </w:rPr>
        <w:t xml:space="preserve">Consumer — </w:t>
      </w:r>
      <w:r>
        <w:rPr>
          <w:rFonts w:ascii="Arial" w:cs="Arial" w:eastAsia="Arial" w:hAnsi="Arial"/>
          <w:sz w:val="16"/>
          <w:szCs w:val="16"/>
          <w:color w:val="auto"/>
        </w:rPr>
        <w:t>The year-to-year decrease in both the three- and nine-month periods in consumer end market revenue was primarily the result of a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products used in home entertainment, video game applications, and digital cameras, consistent with the global slowdown in consumer spending.</w:t>
      </w:r>
    </w:p>
    <w:p>
      <w:pPr>
        <w:spacing w:after="0" w:line="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 in both the three- and nine-month periods in computer end market revenue was primarily the result of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slowdown in the PC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6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$ 239,100</w:t>
            </w: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(21%)</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$ 302,812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119,897</w:t>
            </w:r>
          </w:p>
        </w:tc>
        <w:tc>
          <w:tcPr>
            <w:tcW w:w="1880" w:type="dxa"/>
            <w:vAlign w:val="bottom"/>
            <w:gridSpan w:val="4"/>
          </w:tcPr>
          <w:p>
            <w:pPr>
              <w:jc w:val="right"/>
              <w:ind w:right="5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170,526</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65,211</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424,208</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553,690</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36,674</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(23%)</w:t>
            </w: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$ 452,194</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$ 590,364</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60,521</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8,101</w:t>
            </w:r>
          </w:p>
        </w:tc>
        <w:tc>
          <w:tcPr>
            <w:tcW w:w="6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39,797</w:t>
            </w:r>
          </w:p>
        </w:tc>
        <w:tc>
          <w:tcPr>
            <w:tcW w:w="18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68,622</w:t>
            </w:r>
          </w:p>
        </w:tc>
        <w:tc>
          <w:tcPr>
            <w:tcW w:w="6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(25%)</w:t>
            </w:r>
          </w:p>
        </w:tc>
        <w:tc>
          <w:tcPr>
            <w:tcW w:w="12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$ 491,991</w:t>
            </w:r>
          </w:p>
        </w:tc>
        <w:tc>
          <w:tcPr>
            <w:tcW w:w="14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$ 658,986</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August 1, 2009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w:t>
            </w:r>
          </w:p>
        </w:tc>
        <w:tc>
          <w:tcPr>
            <w:tcW w:w="16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3"/>
          </w:tcPr>
          <w:p>
            <w:pPr>
              <w:jc w:val="center"/>
              <w:ind w:right="840"/>
              <w:spacing w:after="0" w:line="119" w:lineRule="exact"/>
              <w:rPr>
                <w:sz w:val="20"/>
                <w:szCs w:val="20"/>
                <w:color w:val="auto"/>
              </w:rPr>
            </w:pPr>
            <w:r>
              <w:rPr>
                <w:rFonts w:ascii="Arial" w:cs="Arial" w:eastAsia="Arial" w:hAnsi="Arial"/>
                <w:sz w:val="13"/>
                <w:szCs w:val="13"/>
                <w:b w:val="1"/>
                <w:bCs w:val="1"/>
                <w:color w:val="auto"/>
              </w:rPr>
              <w:t>% of</w:t>
            </w:r>
          </w:p>
        </w:tc>
        <w:tc>
          <w:tcPr>
            <w:tcW w:w="6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Y/Y%</w:t>
            </w:r>
          </w:p>
        </w:tc>
        <w:tc>
          <w:tcPr>
            <w:tcW w:w="760" w:type="dxa"/>
            <w:vAlign w:val="bottom"/>
            <w:gridSpan w:val="2"/>
            <w:vMerge w:val="restart"/>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2"/>
              </w:rPr>
              <w:t>Revenue</w:t>
            </w:r>
          </w:p>
        </w:tc>
        <w:tc>
          <w:tcPr>
            <w:tcW w:w="660" w:type="dxa"/>
            <w:vAlign w:val="bottom"/>
            <w:vMerge w:val="restart"/>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694,856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881,354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Amplifiers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373,646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92"/>
              </w:rPr>
              <w:t>496,992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170,304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243,012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color w:val="auto"/>
              </w:rPr>
              <w:t>(24%)</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1,238,806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1,621,358</w:t>
            </w:r>
          </w:p>
        </w:tc>
        <w:tc>
          <w:tcPr>
            <w:tcW w:w="6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82,316</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104,789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(23%)</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$ 1,321,122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92%</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$ 1,726,147</w:t>
            </w:r>
          </w:p>
        </w:tc>
        <w:tc>
          <w:tcPr>
            <w:tcW w:w="6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General purpose DSP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117,249</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2"/>
              </w:rPr>
              <w:t>173,921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DSP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360" w:type="dxa"/>
            <w:vAlign w:val="bottom"/>
            <w:gridSpan w:val="3"/>
          </w:tcPr>
          <w:p>
            <w:pPr>
              <w:ind w:left="36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22,167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digital signal processing</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122,186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w:t>
            </w:r>
          </w:p>
        </w:tc>
        <w:tc>
          <w:tcPr>
            <w:tcW w:w="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2"/>
              </w:rPr>
              <w:t>196,088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3"/>
            <w:vMerge w:val="restart"/>
          </w:tcPr>
          <w:p>
            <w:pPr>
              <w:ind w:left="360"/>
              <w:spacing w:after="0"/>
              <w:rPr>
                <w:sz w:val="20"/>
                <w:szCs w:val="20"/>
                <w:color w:val="auto"/>
              </w:rPr>
            </w:pPr>
            <w:r>
              <w:rPr>
                <w:rFonts w:ascii="Arial" w:cs="Arial" w:eastAsia="Arial" w:hAnsi="Arial"/>
                <w:sz w:val="18"/>
                <w:szCs w:val="18"/>
                <w:b w:val="1"/>
                <w:bCs w:val="1"/>
                <w:color w:val="auto"/>
              </w:rPr>
              <w:t>(25%)</w:t>
            </w:r>
          </w:p>
        </w:tc>
        <w:tc>
          <w:tcPr>
            <w:tcW w:w="820" w:type="dxa"/>
            <w:vAlign w:val="bottom"/>
            <w:gridSpan w:val="3"/>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$ 1,443,308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$ 1,922,235</w:t>
            </w:r>
          </w:p>
        </w:tc>
        <w:tc>
          <w:tcPr>
            <w:tcW w:w="6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280" w:hanging="5612"/>
        <w:spacing w:after="0" w:line="571" w:lineRule="auto"/>
        <w:tabs>
          <w:tab w:leader="none" w:pos="4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individual percentages may not equal the total due to rounding.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year-to-year decrease in revenue in the three- and nine-month periods ended August 1, 2009, was due to declining demand in several markets that we serve, particularly the industrial and consumer end markets, as a result of an overall decline in the worldwide economy.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Revenue by geographic region, based upon customer location, for the three- and nine-month periods ended August 1, 2009 and August 2, 2008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4"/>
                <w:szCs w:val="14"/>
                <w:color w:val="auto"/>
              </w:rPr>
            </w:pPr>
          </w:p>
        </w:tc>
        <w:tc>
          <w:tcPr>
            <w:tcW w:w="284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vMerge w:val="continue"/>
          </w:tcPr>
          <w:p>
            <w:pPr>
              <w:spacing w:after="0"/>
              <w:rPr>
                <w:sz w:val="12"/>
                <w:szCs w:val="12"/>
                <w:color w:val="auto"/>
              </w:rPr>
            </w:pPr>
          </w:p>
        </w:tc>
        <w:tc>
          <w:tcPr>
            <w:tcW w:w="9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2, 2008</w:t>
            </w:r>
          </w:p>
        </w:tc>
        <w:tc>
          <w:tcPr>
            <w:tcW w:w="620" w:type="dxa"/>
            <w:vAlign w:val="bottom"/>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2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131,168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298,713</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23,961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25,433</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63,714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120,899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177,881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369,499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91,480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128,457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235,749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85,317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103,632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 of Asia</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92,415</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201,259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491,991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658,986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1,443,308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1,922,235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three- and nine-month periods ended August 1, 2009 the predominant countries comprising “Rest of North and South America” are Canada and Mexico; the predominant countries comprising “Europe” are Germany and Sweden; and the predominant countries comprising “Rest of Asia” are Taiwan and Korea.</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the three- and nine-month periods ended August 2, 2008 the predominant countries comprising “Rest of North and South America” are Canada and Mexico; the predominant countries comprising “Europe” are Germany, France, the United Kingdom and Italy; and the predominant countries comprising “Rest of Asia” are Taiwan and Korea.</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declined in all geographic regions in the third quarter of fiscal 2009, as compared to the third quarter of fiscal 2008, with sales in Europe experiencing the largest decline. This decline in sales in Europe was partially attributable to a decline in the automotive end market.</w:t>
      </w:r>
    </w:p>
    <w:p>
      <w:pPr>
        <w:spacing w:after="0" w:line="6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Sales declined in all geographic regions in the first nine months of fiscal 2009, as compared to the first nine months of fiscal 2008, with sales in Japan experiencing the largest decline. This decline in sales in Japan was principally attributable to the general decline in consumer spending attributable to the global economic crisis. The decline in China was smaller than the decline in the other regions primarily due to the strong demand for our products used in China’s recent infrastructure build-out of the country’s next generation of communication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$266,229</w:t>
            </w:r>
          </w:p>
        </w:tc>
        <w:tc>
          <w:tcPr>
            <w:tcW w:w="42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$401,794</w:t>
            </w:r>
          </w:p>
        </w:tc>
        <w:tc>
          <w:tcPr>
            <w:tcW w:w="420" w:type="dxa"/>
            <w:vAlign w:val="bottom"/>
          </w:tcPr>
          <w:p>
            <w:pPr>
              <w:spacing w:after="0"/>
              <w:rPr>
                <w:sz w:val="16"/>
                <w:szCs w:val="16"/>
                <w:color w:val="auto"/>
              </w:rPr>
            </w:pPr>
          </w:p>
        </w:tc>
        <w:tc>
          <w:tcPr>
            <w:tcW w:w="138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$796,783</w:t>
            </w:r>
          </w:p>
        </w:tc>
        <w:tc>
          <w:tcPr>
            <w:tcW w:w="420" w:type="dxa"/>
            <w:vAlign w:val="bottom"/>
          </w:tcPr>
          <w:p>
            <w:pPr>
              <w:spacing w:after="0"/>
              <w:rPr>
                <w:sz w:val="16"/>
                <w:szCs w:val="16"/>
                <w:color w:val="auto"/>
              </w:rPr>
            </w:pPr>
          </w:p>
        </w:tc>
        <w:tc>
          <w:tcPr>
            <w:tcW w:w="130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$1,173,618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Gross margin %</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54.1%</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61.0%</w:t>
            </w:r>
          </w:p>
        </w:tc>
        <w:tc>
          <w:tcPr>
            <w:tcW w:w="1800" w:type="dxa"/>
            <w:vAlign w:val="bottom"/>
            <w:gridSpan w:val="2"/>
          </w:tcPr>
          <w:p>
            <w:pPr>
              <w:jc w:val="right"/>
              <w:ind w:right="162"/>
              <w:spacing w:after="0"/>
              <w:rPr>
                <w:sz w:val="20"/>
                <w:szCs w:val="20"/>
                <w:color w:val="auto"/>
              </w:rPr>
            </w:pPr>
            <w:r>
              <w:rPr>
                <w:rFonts w:ascii="Arial" w:cs="Arial" w:eastAsia="Arial" w:hAnsi="Arial"/>
                <w:sz w:val="18"/>
                <w:szCs w:val="18"/>
                <w:color w:val="auto"/>
              </w:rPr>
              <w:t>55.2%</w:t>
            </w:r>
          </w:p>
        </w:tc>
        <w:tc>
          <w:tcPr>
            <w:tcW w:w="1720" w:type="dxa"/>
            <w:vAlign w:val="bottom"/>
            <w:gridSpan w:val="2"/>
          </w:tcPr>
          <w:p>
            <w:pPr>
              <w:jc w:val="right"/>
              <w:ind w:right="59"/>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Gross margin percentage was lower by 690 basis points in the third quarter of fiscal 2009 as compared to the third quarter of fiscal 2008 primarily as a result of a decrease in sales of $167.0 million and reduced operating levels in our manufacturing facilities that created adverse utilization variances.</w:t>
      </w:r>
    </w:p>
    <w:p>
      <w:pPr>
        <w:spacing w:after="0" w:line="3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Gross margin percentage was lower by 590 basis points in the nine months ended August 1, 2009 as compared to the nine months ended August 2, 2008, primarily as a result of a decrease in sales of $478.9 million and reduced operating levels in our manufacturing facilities that created adverse utilization variances. This decrease was partially offset by a better mix of products as revenues from industrial and communications end markets, which earn relatively higher gross margins than our average margin, declined less than our revenues from the consumer and computer end markets.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August 1, 2009, the total compensation cost related to unvested awards not yet recognized in our statement of income was approximately</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$116.9 million (before tax consideration), which we will recognize over a weighted average period of 1.7 years. See Note 3 in the Notes to our Condensed Consolidated Financial Statements contained in Item 1 of this Quarterly Report on Form 10-Q for further information regarding our adoption of Statement of Financial Accounting Standards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1, 2009</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$107,578</w:t>
            </w:r>
          </w:p>
        </w:tc>
        <w:tc>
          <w:tcPr>
            <w:tcW w:w="40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$135,837</w:t>
            </w:r>
          </w:p>
        </w:tc>
        <w:tc>
          <w:tcPr>
            <w:tcW w:w="400" w:type="dxa"/>
            <w:vAlign w:val="bottom"/>
          </w:tcPr>
          <w:p>
            <w:pPr>
              <w:spacing w:after="0"/>
              <w:rPr>
                <w:sz w:val="16"/>
                <w:szCs w:val="16"/>
                <w:color w:val="auto"/>
              </w:rPr>
            </w:pPr>
          </w:p>
        </w:tc>
        <w:tc>
          <w:tcPr>
            <w:tcW w:w="1380" w:type="dxa"/>
            <w:vAlign w:val="bottom"/>
          </w:tcPr>
          <w:p>
            <w:pPr>
              <w:jc w:val="right"/>
              <w:ind w:right="322"/>
              <w:spacing w:after="0" w:line="195" w:lineRule="exact"/>
              <w:rPr>
                <w:sz w:val="20"/>
                <w:szCs w:val="20"/>
                <w:color w:val="auto"/>
              </w:rPr>
            </w:pPr>
            <w:r>
              <w:rPr>
                <w:rFonts w:ascii="Arial" w:cs="Arial" w:eastAsia="Arial" w:hAnsi="Arial"/>
                <w:sz w:val="18"/>
                <w:szCs w:val="18"/>
                <w:color w:val="auto"/>
              </w:rPr>
              <w:t>$336,854</w:t>
            </w:r>
          </w:p>
        </w:tc>
        <w:tc>
          <w:tcPr>
            <w:tcW w:w="40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$400,029</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21.9%</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20.6%</w:t>
            </w:r>
          </w:p>
        </w:tc>
        <w:tc>
          <w:tcPr>
            <w:tcW w:w="1780" w:type="dxa"/>
            <w:vAlign w:val="bottom"/>
            <w:gridSpan w:val="2"/>
          </w:tcPr>
          <w:p>
            <w:pPr>
              <w:jc w:val="right"/>
              <w:ind w:right="162"/>
              <w:spacing w:after="0"/>
              <w:rPr>
                <w:sz w:val="20"/>
                <w:szCs w:val="20"/>
                <w:color w:val="auto"/>
              </w:rPr>
            </w:pPr>
            <w:r>
              <w:rPr>
                <w:rFonts w:ascii="Arial" w:cs="Arial" w:eastAsia="Arial" w:hAnsi="Arial"/>
                <w:sz w:val="18"/>
                <w:szCs w:val="18"/>
                <w:color w:val="auto"/>
              </w:rPr>
              <w:t>23.3%</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Research and development, or R&amp;D, expenses decreased $28.3 million, or 21%, in the third quarter of fiscal 2009 as compared to the third quarter of fiscal 2008, and decreased $63.2 million, or 16%, in the nine months ended August 1, 2009 as compared to the nine months ended August 2, 2008. These decreases were primarily the result of the actions we took to constrain or permanently reduce operating expenses as well as a decrease in bonus expense, which is a variable expense linked to our overall profitability.</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3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130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$79,706</w:t>
            </w:r>
          </w:p>
        </w:tc>
        <w:tc>
          <w:tcPr>
            <w:tcW w:w="420" w:type="dxa"/>
            <w:vAlign w:val="bottom"/>
          </w:tcPr>
          <w:p>
            <w:pPr>
              <w:spacing w:after="0"/>
              <w:rPr>
                <w:sz w:val="16"/>
                <w:szCs w:val="16"/>
                <w:color w:val="auto"/>
              </w:rPr>
            </w:pPr>
          </w:p>
        </w:tc>
        <w:tc>
          <w:tcPr>
            <w:tcW w:w="136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$104,767</w:t>
            </w:r>
          </w:p>
        </w:tc>
        <w:tc>
          <w:tcPr>
            <w:tcW w:w="420" w:type="dxa"/>
            <w:vAlign w:val="bottom"/>
          </w:tcPr>
          <w:p>
            <w:pPr>
              <w:spacing w:after="0"/>
              <w:rPr>
                <w:sz w:val="16"/>
                <w:szCs w:val="16"/>
                <w:color w:val="auto"/>
              </w:rPr>
            </w:pPr>
          </w:p>
        </w:tc>
        <w:tc>
          <w:tcPr>
            <w:tcW w:w="138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$249,828</w:t>
            </w:r>
          </w:p>
        </w:tc>
        <w:tc>
          <w:tcPr>
            <w:tcW w:w="4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$309,301</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300" w:type="dxa"/>
            <w:vAlign w:val="bottom"/>
          </w:tcPr>
          <w:p>
            <w:pPr>
              <w:jc w:val="right"/>
              <w:ind w:right="179"/>
              <w:spacing w:after="0"/>
              <w:rPr>
                <w:sz w:val="20"/>
                <w:szCs w:val="20"/>
                <w:color w:val="auto"/>
              </w:rPr>
            </w:pPr>
            <w:r>
              <w:rPr>
                <w:rFonts w:ascii="Arial" w:cs="Arial" w:eastAsia="Arial" w:hAnsi="Arial"/>
                <w:sz w:val="18"/>
                <w:szCs w:val="18"/>
                <w:color w:val="auto"/>
              </w:rPr>
              <w:t>16.2%</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15.9%</w:t>
            </w:r>
          </w:p>
        </w:tc>
        <w:tc>
          <w:tcPr>
            <w:tcW w:w="1800" w:type="dxa"/>
            <w:vAlign w:val="bottom"/>
            <w:gridSpan w:val="2"/>
          </w:tcPr>
          <w:p>
            <w:pPr>
              <w:jc w:val="right"/>
              <w:ind w:right="162"/>
              <w:spacing w:after="0"/>
              <w:rPr>
                <w:sz w:val="20"/>
                <w:szCs w:val="20"/>
                <w:color w:val="auto"/>
              </w:rPr>
            </w:pPr>
            <w:r>
              <w:rPr>
                <w:rFonts w:ascii="Arial" w:cs="Arial" w:eastAsia="Arial" w:hAnsi="Arial"/>
                <w:sz w:val="18"/>
                <w:szCs w:val="18"/>
                <w:color w:val="auto"/>
              </w:rPr>
              <w:t>17.3%</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Selling, marketing, general and administrative, or SMG&amp;A, expenses decreased $25.1 million, or 24%, in the third quarter of fiscal 2009 as compared to the third quarter of fiscal 2008, and decreased $59.5 million, or 19%, in the nine months ended August 1, 2009 as compared to the same period of fiscal 2008. These decreases were primarily the result of our actions taken to constrain or permanently reduce operating expenses. In addition, we had lower bonus expense, which is a variable expense linked to our overall profitability, and lower commission expenses, which are variable expenses linked to our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are paying the lease obligation costs on a monthly basis over the remaining lease term, which expires in 2010. We completed the clean-up activity during the second quarter of fiscal 2007, and we do not expect to incur any additional charges related to this action.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special charges in fiscal years 2005, 2006 and 2007 as a result of our decision to reorganize our product development and support programs with the goal of providing greater focus on our analog and digital signal processing product programs. We terminated the employment of all employees associated with these programs and are paying amounts owed to employees for severance as income continuance. We do not expect to incur any further charges related to this reorganization action.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During the fourth quarter of fiscal 2007, we recorded a special charge of $13.7 million as a result of our decision to only use eight-inch technology at our wafer fabrication facility in Limerick. Certain manufacturing processes and products produced on the Limerick facility’s six-inch production line have transitioned to our existing eight-inch production line in Limerick while others have transitioned to external foundries. The charge was for severance and fringe benefit costs recorded pursuant to SFAS 88, </w:t>
      </w:r>
      <w:r>
        <w:rPr>
          <w:rFonts w:ascii="Arial" w:cs="Arial" w:eastAsia="Arial" w:hAnsi="Arial"/>
          <w:sz w:val="17"/>
          <w:szCs w:val="17"/>
          <w:i w:val="1"/>
          <w:iCs w:val="1"/>
          <w:color w:val="auto"/>
        </w:rPr>
        <w:t>Employers’ Accounting for Settlements and Curtailments of Defined Benefit Pension Plans and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Termination Benefits, </w:t>
      </w:r>
      <w:r>
        <w:rPr>
          <w:rFonts w:ascii="Arial" w:cs="Arial" w:eastAsia="Arial" w:hAnsi="Arial"/>
          <w:sz w:val="17"/>
          <w:szCs w:val="17"/>
          <w:color w:val="auto"/>
        </w:rPr>
        <w:t>or SFAS 88, under our ongoing benefit plan for 150 manufacturing employees associated with this action. As of August 1, 2009, we</w:t>
      </w:r>
      <w:r>
        <w:rPr>
          <w:rFonts w:ascii="Arial" w:cs="Arial" w:eastAsia="Arial" w:hAnsi="Arial"/>
          <w:sz w:val="17"/>
          <w:szCs w:val="17"/>
          <w:i w:val="1"/>
          <w:iCs w:val="1"/>
          <w:color w:val="auto"/>
        </w:rPr>
        <w:t xml:space="preserve"> </w:t>
      </w:r>
      <w:r>
        <w:rPr>
          <w:rFonts w:ascii="Arial" w:cs="Arial" w:eastAsia="Arial" w:hAnsi="Arial"/>
          <w:sz w:val="17"/>
          <w:szCs w:val="17"/>
          <w:color w:val="auto"/>
        </w:rPr>
        <w:t>still employed 4 of the 150 employees included in this action. Most of the production in the six-inch wafer fabrication facility has ceased and the remaining production is expected to cease during the fourth quarter of fiscal 2009, at which time the employment of the remaining affected employees will be terminated. These employees must continue to be employed by us until their employment is involuntarily terminated in order to receive the severance benefit. During the fourth quarter of 2008, we recorded an additional charge of $1.5 million related to this action, of which $1.2 million was an adjustment to our original estimate of the severance costs and $0.3 million was for clean-up and closure costs that we expensed as incurred. During the first quarter of fiscal 2009, we recorded an additional charge of $0.6 million for clean-up and closure costs that we expensed as incurred. During the second quarter of fiscal 2009, we recorded an additional charge of $0.6 million for clean-up and closure costs that we expensed as incurred. We do not expect to incur any further charges related to this action. We estimate that the closure of this facility will result in annual cost savings of approximately $25 million per year, which we expect to realize starting in the first quarter of fiscal 2010. We expect these annual savings will be in cost of sales, of which approximately $1 million relates to non-cash depreciation savings.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fourth quarter of fiscal 2007, we recorded a special charge as a result of our decision to either deemphasize or exit certain businesses or products and focus investments in products and end markets where we have better opportunities for profitable growth. In September 2007, we entered into a definitive agreement to sell our Baseband Chipset Business. As a result, we decided to reduce the support infrastructure in manufacturing, engineering and SMG&amp;A to more appropriately reflect our required overhead structure. We terminated the employment of all employees associated with these programs and we are paying amounts owed to employees for severance as income continuance. We do not expect to incur any further charges related to this action. These cost reduction actions, which were substantially completed in the second quarter of fiscal 2008, resulted in annual savings of approximately $15 million. We realized these savings as follows: approximately $7 million in R&amp;D expenses, approximately $6 million in SMG&amp;A expenses and approximately $2 million in cost of sales.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recorded pursuant to SFAS 88 under our ongoing benefit plan or statutory requirements at foreign locations, for 19 engineering and SMG&amp;A employees. We have terminated the employment of all of the employees included in this charge and we are paying amounts owed to employees for severance as income continuance.</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first quarter of fiscal 2009, we recorded an additional charge of $19.1 million related to this cost reduction action. Approximately $2.1 million of this charge was for lease obligation costs for facilities that we ceased using during the first quarter of fiscal 2009; approximately $0.8 million was for the write-off of property, plant and equipment; and approximately $0.6 million was for contract termination, clean-up and closure costs that we expensed as incurred. The remaining $15.6 million of this charge related to the severance and fringe benefit costs recorded pursuant to SFAS 88 under our ongoing benefit plan or statutory requirements at foreign locations, for 221 manufacturing employees and 149 engineering and selling, marketing, general and administrative employees. As of August 1, 2009, we still employed 3 of the 370 employees included in this cost reduction action. These employees must continue to be employed by us until their employment is involuntarily terminated in order to receive the severance benefit.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During the second quarter of fiscal 2009, we recorded an additional charge of $11.3 million related to this cost reduction action. Approximately $0.1 million was for the write-off of property, plant and equipment; and approximately $0.3 million was for clean-up and closure costs that we expensed as incurred. The remaining $10.9 million of this charge related to the severance and fringe benefit costs recorded pursuant to SFAS 88 under our ongoing benefit plan or statutory requirements at foreign locations, for 24 manufacturing employees and 153 engineering and selling, marketing, general and administrative employees. As of August 1, 2009, we still employed 26 of the 177 employees included in this cost reduction action. These employees must continue to be employed by us until their employment is involuntarily terminated in order to receive the severance benefit.</w:t>
      </w:r>
    </w:p>
    <w:p>
      <w:pPr>
        <w:spacing w:after="0" w:line="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this cost reduction action, which was substantially completed during the second quarter of fiscal 2009, will result in annual savings of approximately $36.4 million once fully implemented. We expect these annual savings will be realized as follows: approximately $31.6 million in SMG&amp;A expenses and approximately $4.8 million in cost of sales. A portion of these savings is reflected in our results for the first nine months of fiscal 2009 and the remainder of the savings will be fully reflected in our results by the first quarter of fiscal 2010.</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facilities’ manufacturing assets and concluded that there was an impairment of approximately $12.9 million based on the revised period of intended use. The remaining $9.2 million was for severance and fringe benefit costs recorded pursuant to SFAS 88 under our ongoing benefit plan for 175 manufacturing employees and 9 selling, marketing, general and administrative employees associated with this action. As of August 1, 2009, we still employed all of the employees included in this action. We expect production to cease in the Cambridge fabrication facility during the fourth quarter of fiscal 2009, at which time the employment of the affected employees will be terminated. These employees must continue to be employed by us until their employment is involuntarily terminated in order to receive the severance benefit. We estimate that the closure of this facility will result in annual cost savings of approximately $41 million per year, expected to be fully realized starting in the third quarter of fiscal 2010. We expect these annual savings to be realized as follows: approximately $40.2 million in cost of sales, of which approximately $4.0 million relates to non-cash depreciation savings, and approximately $0.8 million in SMG&amp;A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060" w:type="dxa"/>
            <w:vAlign w:val="bottom"/>
            <w:tcBorders>
              <w:bottom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1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1, 2009</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8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$78,945</w:t>
            </w:r>
          </w:p>
        </w:tc>
        <w:tc>
          <w:tcPr>
            <w:tcW w:w="40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$161,190</w:t>
            </w:r>
          </w:p>
        </w:tc>
        <w:tc>
          <w:tcPr>
            <w:tcW w:w="400" w:type="dxa"/>
            <w:vAlign w:val="bottom"/>
          </w:tcPr>
          <w:p>
            <w:pPr>
              <w:spacing w:after="0"/>
              <w:rPr>
                <w:sz w:val="16"/>
                <w:szCs w:val="16"/>
                <w:color w:val="auto"/>
              </w:rPr>
            </w:pPr>
          </w:p>
        </w:tc>
        <w:tc>
          <w:tcPr>
            <w:tcW w:w="138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$156,445</w:t>
            </w:r>
          </w:p>
        </w:tc>
        <w:tc>
          <w:tcPr>
            <w:tcW w:w="420" w:type="dxa"/>
            <w:vAlign w:val="bottom"/>
          </w:tcPr>
          <w:p>
            <w:pPr>
              <w:spacing w:after="0"/>
              <w:rPr>
                <w:sz w:val="16"/>
                <w:szCs w:val="16"/>
                <w:color w:val="auto"/>
              </w:rPr>
            </w:pPr>
          </w:p>
        </w:tc>
        <w:tc>
          <w:tcPr>
            <w:tcW w:w="13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$464,288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income from continuing operations as a % of</w:t>
            </w: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16.0%</w:t>
            </w:r>
          </w:p>
        </w:tc>
        <w:tc>
          <w:tcPr>
            <w:tcW w:w="1780" w:type="dxa"/>
            <w:vAlign w:val="bottom"/>
            <w:gridSpan w:val="2"/>
          </w:tcPr>
          <w:p>
            <w:pPr>
              <w:jc w:val="right"/>
              <w:ind w:right="159"/>
              <w:spacing w:after="0"/>
              <w:rPr>
                <w:sz w:val="20"/>
                <w:szCs w:val="20"/>
                <w:color w:val="auto"/>
              </w:rPr>
            </w:pPr>
            <w:r>
              <w:rPr>
                <w:rFonts w:ascii="Arial" w:cs="Arial" w:eastAsia="Arial" w:hAnsi="Arial"/>
                <w:sz w:val="18"/>
                <w:szCs w:val="18"/>
                <w:color w:val="auto"/>
              </w:rPr>
              <w:t>24.5%</w:t>
            </w:r>
          </w:p>
        </w:tc>
        <w:tc>
          <w:tcPr>
            <w:tcW w:w="1780" w:type="dxa"/>
            <w:vAlign w:val="bottom"/>
            <w:gridSpan w:val="2"/>
          </w:tcPr>
          <w:p>
            <w:pPr>
              <w:jc w:val="right"/>
              <w:ind w:right="162"/>
              <w:spacing w:after="0"/>
              <w:rPr>
                <w:sz w:val="20"/>
                <w:szCs w:val="20"/>
                <w:color w:val="auto"/>
              </w:rPr>
            </w:pPr>
            <w:r>
              <w:rPr>
                <w:rFonts w:ascii="Arial" w:cs="Arial" w:eastAsia="Arial" w:hAnsi="Arial"/>
                <w:sz w:val="18"/>
                <w:szCs w:val="18"/>
                <w:color w:val="auto"/>
              </w:rPr>
              <w:t>10.8%</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$82.2 million decrease in operating income from continuing operations in the third quarter of fiscal 2009 as compared to the third quarter of fiscal 2008 was primarily the result of a decrease in revenue of $167.0 million and a 690 basis point decrease in gross margin percentage. This decrease in operating income from continuing operations was partially offset by a decrease in R&amp;D and SMG&amp;A expenses as more fully described above under the headings </w:t>
      </w: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Marketing, General and Administrative</w:t>
      </w:r>
      <w:r>
        <w:rPr>
          <w:rFonts w:ascii="Arial" w:cs="Arial" w:eastAsia="Arial" w:hAnsi="Arial"/>
          <w:sz w:val="18"/>
          <w:szCs w:val="18"/>
          <w:color w:val="auto"/>
        </w:rPr>
        <w:t>.</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$307.8 million decrease in operating income from continuing operations in the nine months ended August 1, 2009 as compared to the same period of fiscal 2008 was primarily the result of a decrease in revenue of $478.9 million, a 590 basis point decrease in gross margin percentage, and special charges of $53.7 million in the first nine months of fiscal 2009. This decrease in operating income from continuing operations was partially offset by a decrease in R&amp;D and SMG&amp;A expenses as more fully described above under the headings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Marketing, General and Administrative</w:t>
      </w:r>
      <w:r>
        <w:rPr>
          <w:rFonts w:ascii="Arial" w:cs="Arial" w:eastAsia="Arial" w:hAnsi="Arial"/>
          <w:sz w:val="16"/>
          <w:szCs w:val="16"/>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6"/>
              </w:rPr>
              <w:t>Three Months Ended</w:t>
            </w:r>
          </w:p>
        </w:tc>
        <w:tc>
          <w:tcPr>
            <w:tcW w:w="5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340" w:type="dxa"/>
            <w:vAlign w:val="bottom"/>
          </w:tcPr>
          <w:p>
            <w:pPr>
              <w:spacing w:after="0"/>
              <w:rPr>
                <w:sz w:val="12"/>
                <w:szCs w:val="12"/>
                <w:color w:val="auto"/>
              </w:rPr>
            </w:pPr>
          </w:p>
        </w:tc>
        <w:tc>
          <w:tcPr>
            <w:tcW w:w="118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89"/>
              </w:rPr>
              <w:t>August 2, 2008</w:t>
            </w:r>
          </w:p>
        </w:tc>
        <w:tc>
          <w:tcPr>
            <w:tcW w:w="6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20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(8,205)</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(13,881)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(31,400)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w:t>
            </w: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nonoperating income</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(7,541)</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(30,449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Nonoperating income was lower by $6.5 million in the third quarter of fiscal 2009 as compared to the third quarter of fiscal 2008 primarily due to lower interest income earned on investments as a result of lower interest rates in the third quarter of fiscal 2009 as compared to the third quarter of fiscal 2008. In addition, we incurred interest expense during the third quarter of fiscal 2009 as a result of the issuance of $375 million aggregate principal 5.0% notes on June 30, 2009.</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Nonoperating income was lower by $16.7 million in the nine months ended August 1, 2009 as compared to the same period of fiscal 2008 primarily due to lower interest income earned on investments as a result of lower interest rates in the first nine months of fiscal 2009 as compared to the first nine months of fiscal 2008. In addition, we incurred interest expense during the first nine months of fiscal 2009 as a result of the issuance of $375 million aggregate principal 5.0% notes on June 30,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9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2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August 2, 2008</w:t>
            </w:r>
          </w:p>
        </w:tc>
        <w:tc>
          <w:tcPr>
            <w:tcW w:w="440" w:type="dxa"/>
            <w:vAlign w:val="bottom"/>
          </w:tcPr>
          <w:p>
            <w:pPr>
              <w:spacing w:after="0"/>
              <w:rPr>
                <w:sz w:val="12"/>
                <w:szCs w:val="12"/>
                <w:color w:val="auto"/>
              </w:rPr>
            </w:pPr>
          </w:p>
        </w:tc>
        <w:tc>
          <w:tcPr>
            <w:tcW w:w="12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August 1, 2009</w:t>
            </w:r>
          </w:p>
        </w:tc>
        <w:tc>
          <w:tcPr>
            <w:tcW w:w="44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4920" w:type="dxa"/>
            <w:vAlign w:val="bottom"/>
            <w:vMerge w:val="continue"/>
          </w:tcPr>
          <w:p>
            <w:pPr>
              <w:spacing w:after="0"/>
              <w:rPr>
                <w:sz w:val="16"/>
                <w:szCs w:val="16"/>
                <w:color w:val="auto"/>
              </w:rPr>
            </w:pPr>
          </w:p>
        </w:tc>
        <w:tc>
          <w:tcPr>
            <w:tcW w:w="128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$14,567</w:t>
            </w:r>
          </w:p>
        </w:tc>
        <w:tc>
          <w:tcPr>
            <w:tcW w:w="420" w:type="dxa"/>
            <w:vAlign w:val="bottom"/>
          </w:tcPr>
          <w:p>
            <w:pPr>
              <w:spacing w:after="0"/>
              <w:rPr>
                <w:sz w:val="16"/>
                <w:szCs w:val="16"/>
                <w:color w:val="auto"/>
              </w:rPr>
            </w:pPr>
          </w:p>
        </w:tc>
        <w:tc>
          <w:tcPr>
            <w:tcW w:w="12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$39,536</w:t>
            </w:r>
          </w:p>
        </w:tc>
        <w:tc>
          <w:tcPr>
            <w:tcW w:w="440" w:type="dxa"/>
            <w:vAlign w:val="bottom"/>
          </w:tcPr>
          <w:p>
            <w:pPr>
              <w:spacing w:after="0"/>
              <w:rPr>
                <w:sz w:val="16"/>
                <w:szCs w:val="16"/>
                <w:color w:val="auto"/>
              </w:rPr>
            </w:pPr>
          </w:p>
        </w:tc>
        <w:tc>
          <w:tcPr>
            <w:tcW w:w="1280" w:type="dxa"/>
            <w:vAlign w:val="bottom"/>
          </w:tcPr>
          <w:p>
            <w:pPr>
              <w:jc w:val="right"/>
              <w:ind w:right="302"/>
              <w:spacing w:after="0" w:line="195" w:lineRule="exact"/>
              <w:rPr>
                <w:sz w:val="20"/>
                <w:szCs w:val="20"/>
                <w:color w:val="auto"/>
              </w:rPr>
            </w:pPr>
            <w:r>
              <w:rPr>
                <w:rFonts w:ascii="Arial" w:cs="Arial" w:eastAsia="Arial" w:hAnsi="Arial"/>
                <w:sz w:val="18"/>
                <w:szCs w:val="18"/>
                <w:color w:val="auto"/>
              </w:rPr>
              <w:t>$28,419</w:t>
            </w:r>
          </w:p>
        </w:tc>
        <w:tc>
          <w:tcPr>
            <w:tcW w:w="440" w:type="dxa"/>
            <w:vAlign w:val="bottom"/>
          </w:tcPr>
          <w:p>
            <w:pPr>
              <w:spacing w:after="0"/>
              <w:rPr>
                <w:sz w:val="16"/>
                <w:szCs w:val="16"/>
                <w:color w:val="auto"/>
              </w:rPr>
            </w:pPr>
          </w:p>
        </w:tc>
        <w:tc>
          <w:tcPr>
            <w:tcW w:w="136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$113,802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80" w:type="dxa"/>
            <w:vAlign w:val="bottom"/>
          </w:tcPr>
          <w:p>
            <w:pPr>
              <w:jc w:val="right"/>
              <w:ind w:right="159"/>
              <w:spacing w:after="0"/>
              <w:rPr>
                <w:sz w:val="20"/>
                <w:szCs w:val="20"/>
                <w:color w:val="auto"/>
              </w:rPr>
            </w:pPr>
            <w:r>
              <w:rPr>
                <w:rFonts w:ascii="Arial" w:cs="Arial" w:eastAsia="Arial" w:hAnsi="Arial"/>
                <w:sz w:val="18"/>
                <w:szCs w:val="18"/>
                <w:color w:val="auto"/>
              </w:rPr>
              <w:t>18.2%</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23.4%</w:t>
            </w:r>
          </w:p>
        </w:tc>
        <w:tc>
          <w:tcPr>
            <w:tcW w:w="1720" w:type="dxa"/>
            <w:vAlign w:val="bottom"/>
            <w:gridSpan w:val="2"/>
          </w:tcPr>
          <w:p>
            <w:pPr>
              <w:jc w:val="right"/>
              <w:ind w:right="162"/>
              <w:spacing w:after="0"/>
              <w:rPr>
                <w:sz w:val="20"/>
                <w:szCs w:val="20"/>
                <w:color w:val="auto"/>
              </w:rPr>
            </w:pPr>
            <w:r>
              <w:rPr>
                <w:rFonts w:ascii="Arial" w:cs="Arial" w:eastAsia="Arial" w:hAnsi="Arial"/>
                <w:sz w:val="18"/>
                <w:szCs w:val="18"/>
                <w:color w:val="auto"/>
              </w:rPr>
              <w:t>16.7%</w:t>
            </w:r>
          </w:p>
        </w:tc>
        <w:tc>
          <w:tcPr>
            <w:tcW w:w="1800" w:type="dxa"/>
            <w:vAlign w:val="bottom"/>
            <w:gridSpan w:val="2"/>
          </w:tcPr>
          <w:p>
            <w:pPr>
              <w:jc w:val="right"/>
              <w:ind w:right="159"/>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tax rate for the third quarter of fiscal 2009 was lower compared to our effective tax rate for the third quarter of fiscal 2008 primarily as a result of a change in the mix of our income to jurisdictions where income is taxed at a lower rate.</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effective tax rate for the first nine months of fiscal 2009 was lower compared to our effective tax rate for the first nine months of fiscal 2008 primarily as a result of our recording special charges of $53.7 million in the first nine months of fiscal 2009, a portion of which provided a tax benefit at the higher U.S. tax rate, and as a result of a change in the mix of our income to jurisdictions where income is taxed at a lower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78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rPr>
              <w:t>August 1, 2009</w:t>
            </w:r>
          </w:p>
        </w:tc>
        <w:tc>
          <w:tcPr>
            <w:tcW w:w="4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August 2, 2008</w:t>
            </w:r>
          </w:p>
        </w:tc>
        <w:tc>
          <w:tcPr>
            <w:tcW w:w="40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August 1, 2009</w:t>
            </w:r>
          </w:p>
        </w:tc>
        <w:tc>
          <w:tcPr>
            <w:tcW w:w="42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August 2, 2008</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7"/>
              </w:rPr>
              <w:t>65,460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129,195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9"/>
              </w:rPr>
              <w:t>141,799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380,935</w:t>
            </w: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900" w:type="dxa"/>
            <w:vAlign w:val="bottom"/>
          </w:tcPr>
          <w:p>
            <w:pPr>
              <w:jc w:val="right"/>
              <w:ind w:right="154"/>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19.8%</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net of tax, in the third quarter of fiscal 2009 was lower than in the third quarter of fiscal 2008 by approximately</w:t>
      </w:r>
    </w:p>
    <w:p>
      <w:pPr>
        <w:spacing w:after="0" w:line="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$63.7 million primarily as a result of the $82.2 million decrease in operating income that was partially offset by a lower provision for income taxes in the third quarter of fiscal 2009.</w:t>
      </w:r>
    </w:p>
    <w:p>
      <w:pPr>
        <w:spacing w:after="0" w:line="7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Income from continuing operations, net of tax, in the first nine months of fiscal 2009 was lower than in the first nine months of fiscal 2008 by approximately $239.1 million primarily as a result of the $307.8 million decrease in operating income that was partially offset by a lower provision for income taxes in the first nine months of fiscal 2009.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9"/>
              </w:rPr>
              <w:t>Three Months Ended</w:t>
            </w:r>
          </w:p>
        </w:tc>
        <w:tc>
          <w:tcPr>
            <w:tcW w:w="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August 1, 2009</w:t>
            </w:r>
          </w:p>
        </w:tc>
        <w:tc>
          <w:tcPr>
            <w:tcW w:w="300" w:type="dxa"/>
            <w:vAlign w:val="bottom"/>
          </w:tcPr>
          <w:p>
            <w:pPr>
              <w:spacing w:after="0"/>
              <w:rPr>
                <w:sz w:val="12"/>
                <w:szCs w:val="12"/>
                <w:color w:val="auto"/>
              </w:rPr>
            </w:pPr>
          </w:p>
        </w:tc>
        <w:tc>
          <w:tcPr>
            <w:tcW w:w="122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89"/>
              </w:rPr>
              <w:t>August 2, 2008</w:t>
            </w:r>
          </w:p>
        </w:tc>
        <w:tc>
          <w:tcPr>
            <w:tcW w:w="62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1, 2009</w:t>
            </w: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1"/>
              </w:rPr>
              <w:t>August 2,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5,611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34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3,802</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250,785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discontinued operations, net of tax</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9,413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261,478</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There are near-term indications that business conditions are improving. Order rates strengthened throughout the third quarter of fiscal 2009 and have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remained strong during the first two weeks of August. Our book-to-bill ratio for the third quarter of fiscal 2009, as measured by end customer bookings,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above one, and our fourth quarter opening backlog was up from last quarter. Given these factors, we expect that our revenue will grow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$510 million to $530 million in the fourth quarter of fiscal 2009. While we plan to continue to tightly manage inventory levels, we expect a small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utilization, which should result in a gross margin in the fourth quarter of fiscal 2009 of approximately 55.0%. In addition, we plan to continue to closely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 operating expenses and expect them to increase slightly by approximately 1% to 2% in the fourth quarter of fiscal 2009. As a result, our plan is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EPS from continuing operations to increase again to approximately $0.24 to $0.26 in the fourth quarter of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32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816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3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August 1, 2009</w:t>
            </w:r>
          </w:p>
        </w:tc>
        <w:tc>
          <w:tcPr>
            <w:tcW w:w="520" w:type="dxa"/>
            <w:vAlign w:val="bottom"/>
          </w:tcPr>
          <w:p>
            <w:pPr>
              <w:spacing w:after="0"/>
              <w:rPr>
                <w:sz w:val="12"/>
                <w:szCs w:val="12"/>
                <w:color w:val="auto"/>
              </w:rPr>
            </w:pPr>
          </w:p>
        </w:tc>
        <w:tc>
          <w:tcPr>
            <w:tcW w:w="13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August 2, 2008</w:t>
            </w:r>
          </w:p>
        </w:tc>
        <w:tc>
          <w:tcPr>
            <w:tcW w:w="0" w:type="dxa"/>
            <w:vAlign w:val="bottom"/>
          </w:tcPr>
          <w:p>
            <w:pPr>
              <w:spacing w:after="0"/>
              <w:rPr>
                <w:sz w:val="1"/>
                <w:szCs w:val="1"/>
                <w:color w:val="auto"/>
              </w:rPr>
            </w:pPr>
          </w:p>
        </w:tc>
      </w:tr>
      <w:tr>
        <w:trPr>
          <w:trHeight w:val="195"/>
        </w:trPr>
        <w:tc>
          <w:tcPr>
            <w:tcW w:w="8160" w:type="dxa"/>
            <w:vAlign w:val="bottom"/>
            <w:vMerge w:val="continue"/>
          </w:tcPr>
          <w:p>
            <w:pPr>
              <w:spacing w:after="0"/>
              <w:rPr>
                <w:sz w:val="16"/>
                <w:szCs w:val="16"/>
                <w:color w:val="auto"/>
              </w:rPr>
            </w:pPr>
          </w:p>
        </w:tc>
        <w:tc>
          <w:tcPr>
            <w:tcW w:w="138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$269,470</w:t>
            </w:r>
          </w:p>
        </w:tc>
        <w:tc>
          <w:tcPr>
            <w:tcW w:w="520" w:type="dxa"/>
            <w:vAlign w:val="bottom"/>
          </w:tcPr>
          <w:p>
            <w:pPr>
              <w:spacing w:after="0"/>
              <w:rPr>
                <w:sz w:val="16"/>
                <w:szCs w:val="16"/>
                <w:color w:val="auto"/>
              </w:rPr>
            </w:pPr>
          </w:p>
        </w:tc>
        <w:tc>
          <w:tcPr>
            <w:tcW w:w="1360" w:type="dxa"/>
            <w:vAlign w:val="bottom"/>
          </w:tcPr>
          <w:p>
            <w:pPr>
              <w:jc w:val="right"/>
              <w:ind w:right="319"/>
              <w:spacing w:after="0" w:line="195" w:lineRule="exact"/>
              <w:rPr>
                <w:sz w:val="20"/>
                <w:szCs w:val="20"/>
                <w:color w:val="auto"/>
              </w:rPr>
            </w:pPr>
            <w:r>
              <w:rPr>
                <w:rFonts w:ascii="Arial" w:cs="Arial" w:eastAsia="Arial" w:hAnsi="Arial"/>
                <w:sz w:val="18"/>
                <w:szCs w:val="18"/>
                <w:color w:val="auto"/>
              </w:rPr>
              <w:t>$527,110</w:t>
            </w:r>
          </w:p>
        </w:tc>
        <w:tc>
          <w:tcPr>
            <w:tcW w:w="0" w:type="dxa"/>
            <w:vAlign w:val="bottom"/>
          </w:tcPr>
          <w:p>
            <w:pPr>
              <w:spacing w:after="0"/>
              <w:rPr>
                <w:sz w:val="1"/>
                <w:szCs w:val="1"/>
                <w:color w:val="auto"/>
              </w:rPr>
            </w:pPr>
          </w:p>
        </w:tc>
      </w:t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18.7%</w:t>
            </w:r>
          </w:p>
        </w:tc>
        <w:tc>
          <w:tcPr>
            <w:tcW w:w="1880" w:type="dxa"/>
            <w:vAlign w:val="bottom"/>
            <w:gridSpan w:val="2"/>
          </w:tcPr>
          <w:p>
            <w:pPr>
              <w:jc w:val="right"/>
              <w:ind w:right="159"/>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August 1, 2009, cash, cash equivalents and short-term investments totaled $1,724.4 million, an increase of $414.8 million from the fourth quarter of fiscal 2008. The primary source of funds for the first nine months of fiscal 2009 was net cash generated from operating activities of $269.5 million and net proceeds of $370.4 from the issuance of our 5.0% Notes. The principal uses of funds for the first nine months of fiscal 2009 were dividend payments of $174.7 million and capital expenditures of $39.7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August 1, 2009</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1,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244,025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Days sales outstanding</w:t>
            </w: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20" w:type="dxa"/>
            <w:vAlign w:val="bottom"/>
            <w:gridSpan w:val="2"/>
            <w:shd w:val="clear" w:color="auto" w:fill="CCEEFF"/>
          </w:tcPr>
          <w:p>
            <w:pPr>
              <w:ind w:left="3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276,072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Accounts receivable at August 1, 2009 decreased $71.3 million, or 23%, from the end of the fourth quarter of fiscal 2008. The decrease in receivables was primarily the result of lower revenue in the third quarter of fiscal 2009 as compared to the fourth quarter of fiscal 2008.</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Inventory at August 1, 2009 decreased by $38.6 million, or 12%, from the end of the fourth quarter of fiscal 2008. The decrease in inventory, despite a lower level of sales, is primarily a result of significant reductions in external manufacturing spending and additional factory shutdowns during the first nine months of fiscal 2009.</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additions to property, plant and equipment were $39.7 million in the first nine months of fiscal 2009 and were funded with a combination of cash on hand and cash generated from operations. We expect capital expenditures to be approximately $55 million in fiscal 2009.</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17, 2009, our Board of Directors declared a cash dividend of $0.20 per outstanding share of our common stock. The dividend is payable on September 16, 2009 to shareholders of record on August 27, 2009 and is expected to be approximately $58 million in the aggregate. We expect quarterly dividends to continue at $0.20 per share, although they remain subject to declaration or change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our cash held outside the United States is not available to meet certain of our cash requirements in the United States, including for cash dividends and common stock repurchases, on June 30, 2009, we issued $375 million aggregate principal amount of 5.0% notes due July 1, 2014 (the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Notes. We swapped the fixed interest portion of these Notes for a variable interest rate based on the three-month LIBOR plus 2.05% (2.64% as of August 1, 2009). The variable interest payments based on the variable annual rate are payable quarterly. The LIBOR based rate is set quarterly three months prior to the date of the interest payment. The indenture governing the Notes contains covenants that may limit our ability to: incur, create, assume or guarantee any debt for borrowed money secured by a lien upon our principal property; enter into sale and lease-back transactions; and consolidate with or merge into, or transfer or lease all or substantially all of our assets to, any other party. 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August 1, 2009, our principal source of liquidity was $1,724.4 million of cash and cash equivalents and short-term investments. As of August 1, 2009, approximately $426.0 million of our cash and cash equivalents and short-term investments were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volatility in the credit markets has generally diminished liquidity and capital availability in worldwide markets. We are unable to predict the likely duration and severity of the current disruptions in the credit and financial markets and adverse global economic conditions. However, 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purchases of stock (if any) under our stock repurchase program in the immediate future and for at least the next twelve months.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first nine months of fiscal 2009, we distributed approximately $27 million from our Deferred Compensation Plan as a result of elections made by plan participants under the provisions of our Deferred Compensation Plan. These amounts represented compensation and/or stock option gains previously deferred by those participants pursuant to the terms of our Deferred Compensation Plan. The amounts distributed during fiscal 2009 were previously reflected in the “More than 5 Years” column of the contractual obligations table contained in the section entitled “Management’s Discussion and Analysis of Financial Condition and Results of Operations” of our Annual Report on Form 10-K for the fiscal year ended November 1, 2008 because at that time we could not reasonably estimate the timing of such withdrawals.</w:t>
      </w:r>
    </w:p>
    <w:p>
      <w:pPr>
        <w:spacing w:after="0" w:line="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June 30, 2009, we issued $375 million aggregate principal amount of 5.0% notes due July 1, 2014 (the Notes) with semi-annual interest payments due on January 1 and July 1 of each year, commencing January 1, 2010 and we also entered into interest rate swap transactions where we swapped the notional amount of our $375 million of fixed rate debt at 5.0% into floating interest rate debt. The swap hedges the benchmark interest rate of our $375 million Notes and has the effect of swapping the 5.0% fixed rate of the Notes into a LIBOR-based floating rate. We make payments at a variable interest rate based upon a three-month LIBOR plus 2.05% (2.64% as of August 1, 2009) in four installments on the 1</w:t>
      </w:r>
      <w:r>
        <w:rPr>
          <w:rFonts w:ascii="Arial" w:cs="Arial" w:eastAsia="Arial" w:hAnsi="Arial"/>
          <w:sz w:val="14"/>
          <w:szCs w:val="14"/>
          <w:color w:val="auto"/>
        </w:rPr>
        <w:t>st</w:t>
      </w:r>
      <w:r>
        <w:rPr>
          <w:rFonts w:ascii="Arial" w:cs="Arial" w:eastAsia="Arial" w:hAnsi="Arial"/>
          <w:sz w:val="17"/>
          <w:szCs w:val="17"/>
          <w:color w:val="auto"/>
        </w:rPr>
        <w:t xml:space="preserve"> of every January, April, July and October, commencing on October 1, 2009 and ending on the maturity date. The LIBOR based rate is set quarterly three months prior to the date of the interest payment. We receive fixed payments on the 1</w:t>
      </w:r>
      <w:r>
        <w:rPr>
          <w:rFonts w:ascii="Arial" w:cs="Arial" w:eastAsia="Arial" w:hAnsi="Arial"/>
          <w:sz w:val="14"/>
          <w:szCs w:val="14"/>
          <w:color w:val="auto"/>
        </w:rPr>
        <w:t>st</w:t>
      </w:r>
      <w:r>
        <w:rPr>
          <w:rFonts w:ascii="Arial" w:cs="Arial" w:eastAsia="Arial" w:hAnsi="Arial"/>
          <w:sz w:val="17"/>
          <w:szCs w:val="17"/>
          <w:color w:val="auto"/>
        </w:rPr>
        <w:t xml:space="preserve"> of every January and July, commencing January 1, 2010 and ending on the maturity date. The interest rate swaps, as well as the Notes, mature on July 1, 2014.</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Assuming the current three-month LIBOR remains the same for the duration of the agreement and assuming the debt obligations are held to maturity, the following amounts will be due under the debt and swap agreements and were not previously reflected in the contractual obligations table contained in the section entitled “Management’s Discussion and Analysis of Financial Condition and Results of Operations” of our Annual Report on Form 10-K for the fiscal year ended November 1,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Less than</w:t>
            </w:r>
          </w:p>
        </w:tc>
        <w:tc>
          <w:tcPr>
            <w:tcW w:w="27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Payment due by period</w:t>
            </w:r>
          </w:p>
        </w:tc>
        <w:tc>
          <w:tcPr>
            <w:tcW w:w="46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19"/>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1-3 Years</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89"/>
              </w:rPr>
              <w:t>4-5 Years</w:t>
            </w:r>
          </w:p>
        </w:tc>
        <w:tc>
          <w:tcPr>
            <w:tcW w:w="4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1 Year</w:t>
            </w:r>
          </w:p>
        </w:tc>
        <w:tc>
          <w:tcPr>
            <w:tcW w:w="10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9"/>
              </w:rPr>
              <w:t>375,000</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9"/>
              </w:rPr>
              <w:t>375,000</w:t>
            </w:r>
          </w:p>
        </w:tc>
        <w:tc>
          <w:tcPr>
            <w:tcW w:w="4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w w:val="94"/>
              </w:rPr>
              <w:t>Interest payments associated with long-term debt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obligations (1)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93,802</w:t>
            </w:r>
          </w:p>
        </w:tc>
        <w:tc>
          <w:tcPr>
            <w:tcW w:w="1540" w:type="dxa"/>
            <w:vAlign w:val="bottom"/>
            <w:gridSpan w:val="2"/>
          </w:tcPr>
          <w:p>
            <w:pPr>
              <w:jc w:val="right"/>
              <w:ind w:right="202"/>
              <w:spacing w:after="0"/>
              <w:rPr>
                <w:sz w:val="20"/>
                <w:szCs w:val="20"/>
                <w:color w:val="auto"/>
              </w:rPr>
            </w:pPr>
            <w:r>
              <w:rPr>
                <w:rFonts w:ascii="Arial" w:cs="Arial" w:eastAsia="Arial" w:hAnsi="Arial"/>
                <w:sz w:val="18"/>
                <w:szCs w:val="18"/>
                <w:color w:val="auto"/>
              </w:rPr>
              <w:t>$18,802</w:t>
            </w:r>
          </w:p>
        </w:tc>
        <w:tc>
          <w:tcPr>
            <w:tcW w:w="460" w:type="dxa"/>
            <w:vAlign w:val="bottom"/>
          </w:tcPr>
          <w:p>
            <w:pPr>
              <w:spacing w:after="0"/>
              <w:rPr>
                <w:sz w:val="20"/>
                <w:szCs w:val="20"/>
                <w:color w:val="auto"/>
              </w:rPr>
            </w:pPr>
          </w:p>
        </w:tc>
        <w:tc>
          <w:tcPr>
            <w:tcW w:w="1080" w:type="dxa"/>
            <w:vAlign w:val="bottom"/>
          </w:tcPr>
          <w:p>
            <w:pPr>
              <w:jc w:val="right"/>
              <w:ind w:right="197"/>
              <w:spacing w:after="0"/>
              <w:rPr>
                <w:sz w:val="20"/>
                <w:szCs w:val="20"/>
                <w:color w:val="auto"/>
              </w:rPr>
            </w:pPr>
            <w:r>
              <w:rPr>
                <w:rFonts w:ascii="Arial" w:cs="Arial" w:eastAsia="Arial" w:hAnsi="Arial"/>
                <w:sz w:val="18"/>
                <w:szCs w:val="18"/>
                <w:color w:val="auto"/>
              </w:rPr>
              <w:t>$37,500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37,500</w:t>
            </w:r>
          </w:p>
        </w:tc>
        <w:tc>
          <w:tcPr>
            <w:tcW w:w="46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0"/>
              </w:rPr>
              <w:t>Payments due under interest rate swap agreements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50,367</w:t>
            </w:r>
          </w:p>
        </w:tc>
        <w:tc>
          <w:tcPr>
            <w:tcW w:w="15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$10,037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$20,179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20,151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interest payments will be completely offset by proceeds from our interest rate swap agreements.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not been any other material changes during the first nine months of fiscal 2009 to the amounts presented in the table summarizing our contractual obligations included in our Annual Report on Form 10-K for the year ended November 1,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Codification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June 2009, the FASB issued SFAS No. 168, </w:t>
      </w:r>
      <w:r>
        <w:rPr>
          <w:rFonts w:ascii="Arial" w:cs="Arial" w:eastAsia="Arial" w:hAnsi="Arial"/>
          <w:sz w:val="16"/>
          <w:szCs w:val="16"/>
          <w:i w:val="1"/>
          <w:iCs w:val="1"/>
          <w:color w:val="auto"/>
        </w:rPr>
        <w:t>The FASB Accounting Standards Codification™ and the Hierarchy of Generally Accepted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Principles (a replacement of FASB Statement No. 162) </w:t>
      </w:r>
      <w:r>
        <w:rPr>
          <w:rFonts w:ascii="Arial" w:cs="Arial" w:eastAsia="Arial" w:hAnsi="Arial"/>
          <w:sz w:val="16"/>
          <w:szCs w:val="16"/>
          <w:color w:val="auto"/>
        </w:rPr>
        <w:t>(SFAS 168). SFAS 168 identifies the sources of accounting principles and the framework for selecting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principles used in the preparation of financial statements of nongovernmental entities that are presented in conformity with generally accepted accounting principles in the United States. SFAS 168 establishes the FASB Accounting Standards Codification™ (Codification) as the source of authoritative accounting principles recognized by the FASB. SFAS 168 is effective for financial statements issued for interim and annual periods ending after September 15, 2009, which is our fourth fiscal quarter of 2009. Upon adoption the Codification will be used to identify authoritative accounting standards.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June 2009, the FASB issued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xml:space="preserve"> (SFAS 167)</w:t>
      </w:r>
      <w:r>
        <w:rPr>
          <w:rFonts w:ascii="Arial" w:cs="Arial" w:eastAsia="Arial" w:hAnsi="Arial"/>
          <w:sz w:val="17"/>
          <w:szCs w:val="17"/>
          <w:i w:val="1"/>
          <w:iCs w:val="1"/>
          <w:color w:val="auto"/>
        </w:rPr>
        <w:t>.</w:t>
      </w:r>
      <w:r>
        <w:rPr>
          <w:rFonts w:ascii="Arial" w:cs="Arial" w:eastAsia="Arial" w:hAnsi="Arial"/>
          <w:sz w:val="17"/>
          <w:szCs w:val="17"/>
          <w:color w:val="auto"/>
        </w:rPr>
        <w:t xml:space="preserve"> SFAS 167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SFAS 167 is effective for fiscal years that begin after November 15, 2009, which is our fiscal year 2011. We are currently evaluating the impact, if any, that SFAS 167 may have on our financial condition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June 2009, the FASB issued SFAS No. 166, </w:t>
      </w:r>
      <w:r>
        <w:rPr>
          <w:rFonts w:ascii="Arial" w:cs="Arial" w:eastAsia="Arial" w:hAnsi="Arial"/>
          <w:sz w:val="18"/>
          <w:szCs w:val="18"/>
          <w:i w:val="1"/>
          <w:iCs w:val="1"/>
          <w:color w:val="auto"/>
        </w:rPr>
        <w:t>Accounting for Transfers of Financial Assets, an amendment of FASB Statement No. 140</w:t>
      </w:r>
      <w:r>
        <w:rPr>
          <w:rFonts w:ascii="Arial" w:cs="Arial" w:eastAsia="Arial" w:hAnsi="Arial"/>
          <w:sz w:val="18"/>
          <w:szCs w:val="18"/>
          <w:color w:val="auto"/>
        </w:rPr>
        <w:t xml:space="preserve"> (SFAS 166)</w:t>
      </w:r>
      <w:r>
        <w:rPr>
          <w:rFonts w:ascii="Arial" w:cs="Arial" w:eastAsia="Arial" w:hAnsi="Arial"/>
          <w:sz w:val="18"/>
          <w:szCs w:val="18"/>
          <w:i w:val="1"/>
          <w:iCs w:val="1"/>
          <w:color w:val="auto"/>
        </w:rPr>
        <w:t>.</w:t>
      </w:r>
      <w:r>
        <w:rPr>
          <w:rFonts w:ascii="Arial" w:cs="Arial" w:eastAsia="Arial" w:hAnsi="Arial"/>
          <w:sz w:val="18"/>
          <w:szCs w:val="18"/>
          <w:color w:val="auto"/>
        </w:rPr>
        <w:t xml:space="preserve"> SFAS 166 changes the way entities account for securitizations and other transfers of financial instruments. SFAS 166 is effective for fiscal years that begin after November 15, 2009, which is our fiscal year 2011. We are currently evaluating the impact, if any, that SFAS 166 may have on our financial condition and results of operations.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requires an acquiring entity in a business combination to recognize the assets acquired, liabilities assumed and any noncontrolling interest in the acquiree at their fair value on the acquisition date. It further requires that acquisition-related costs and restructuring costs be recognized separately from the acquisition. SFAS 141R is effective for fiscal years beginning after December 15, 2008, which is our fiscal year 2010. We are currently evaluating the impact, if any, that SFAS 141R may have on our financial condition and results of operations. The adoption of SFAS 141R will change our accounting treatment for business combinations on a prospective basis beginning in the first quarter of fiscal year 2010.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December 2007, the FASB issued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(SFAS 160). SFAS 160 clarifies that a noncontrolling or minority interest in a subsidiary is considered an ownership interest and, accordingly, requires all entities to report such interests in subsidiaries as equity in the consolidated financial statements. SFAS 160 is effective for fiscal years beginning after December 15, 2008, which is our fiscal year 2010. We are currently evaluating the impact, if any, that SFAS 160 may have on our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the third quarter of fiscal 2009 to the information provided under the heading “Critical Accounting Policies and Estimates” included in our Annual Report on Form 10-K for the year ended November 1,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June 2009, we entered into an interest rate swap agreement to hedge the benchmark interest rate of our $375 million 5.0% Notes due July 1, 2014. The effect of the swap was to convert our 5.0% fixed interest rate to a variable interest rate based on the three-month LIBOR plus 2.05% (2.64% as of August 1, 2009). If LIBOR changes by 100 basis points, our annual interest expense would change by $3.8 million.</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have been no other material changes in the third quarter of fiscal 2009 in the information provided under Item 7A. “Quantitative and Qualitative Disclosures about Market Risk” set forth in our Annual Report on Form 10-K for the year ended November 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August 1, 2009.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August 1, 2009,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right="14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August 1, 2009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1, 2008 and “Part II, Item 1A. Risk Factors” of our Quarterly Report on Form 10-Q for the quarter ended May 2,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current crisis in global credit and financial markets could further materially and adversely affect our business and results of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widely reported, global credit and financial markets continue to experience extreme disruptions in recent months, including severely diminished liquidity and credit availability, declines in consumer confidence, declines in economic growth, increases in unemployment rates, and uncertainty about economic stability. Our business has been significantly affected by these conditions, and there is no certainty that credit and financial markets and confidence in economic conditions will not deteriorate further. These economic uncertainties affect businesses such as ours in a number of ways, making it difficult to accurately forecast and plan our future business activities. Accelerating layoffs, falling housing markets and the tightening of credit by financial institutions may lead consumers and businesses to continue to postpone spending, which may cause our customers to cancel, decrease or delay their existing and future orders with us. In addition, the inability of customers to obtain credit could impair their ability to make timely payments to us. Customer insolvencies in key industries, such as the automotive industry, could also negatively impact our revenues and our ability to collect receivables. In addition, financial difficulties experienced by our suppliers or distributors could result in product delays, increased accounts receivable defaults and inventory challenges. We are unable to predict the likely duration and severity of the current disruptions in the credit and financial markets and adverse global economic conditions, and if the current uncertain economic conditions continue or further deteriorate, we may record additional charges relating to restructuring costs or the impairment of assets and our business and results of operations could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660" w:right="20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 including the current crisis in global credit and financial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number of factors may increase our future effective tax rate, including: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intense technological and pricing competition in the semiconductor industry, and we expect this competition to increase in the future. Many other companies offer products that compete with our products. Some have greater financial, manufacturing, technical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generally cannot control their availability or conditions of supply.</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or TSMC. These suppliers manufacture components in accordance with our proprietary designs and specifications.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 Approximately 46% of our revenue for the first nine months of fiscal 2009 and approximately 44% of our fiscal year 2008 revenue was from products fabricated at third-party wafer-fabrication facilities, primarily TSMC.</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 a down market,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Semiconductor products are highly complex and may contain defects when they are first introduced or as new versions are developed. We generally warrant our products to our customers for one year from the date title passes from us. We invest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There can be no assurance that we are adequately insured to protect against all claims and potential liabilities.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There can be no assurance that we would be able to obtain licenses, if required, upon commercially reasonable terms, or at all.</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including claims arising under our contractual obligations to indemnify our customers.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During the first nine months of fiscal 2009, approximately 79%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Sates for operating requirements, stock repurchases, cash dividends and acquisitions. If we are unable to address our U.S. cash requirements through operations, by efficient and timely repatriations of overseas cash, through borrowings under our current credit facility or from other sources of cash obtained at an acceptable cost (such as our recent offering of Notes), our business strategies and operating results could be adversely affected.</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current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intellectual property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and property rights. Enforcement of existing laws or agreements may be inconsistent, as there exists a high degree of fragmentation among regulatory authorities resulting in uncertainties as to which authorities have jurisdiction over particular parties or transactions.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industry is subject to increasingly strict environmental regulations that control and restrict the use, transportation, emission, discharge, storage and disposal of certain chemicals, gases and other substances used or produced in the semiconductor manufacturing process. Public attention on environmental controls has continued to increase, and our customers routinely include stringent environmental standards in their contracts with us. Changes in environmental regulations may require us to invest in potentially costly pollution control equipment or alter the way our products are made. In addition, we use hazardous and other regulated materials that subject us to risks of strict liability for damages caused by accidental releases, regardless of fault. Any failure to control such materials adequately or to comply with regulatory restrictions or contractual obligations could increase our expenses and adversely affect our operating results.</w:t>
      </w:r>
    </w:p>
    <w:p>
      <w:pPr>
        <w:spacing w:after="0" w:line="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climate change regulations could require us to change our manufacturing processes or obtain substitute materials that may cost more or be less available for our manufacturing operations. In addition, new restrictions on carbon dioxide or other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greenhouse gas emissions could result in significant costs for us. Greenhouse gas legislation has been introduced in Massachusetts and the United States legislatures and we expect increased worldwide regulatory activity in the future. The cost of complying, or of failing to comply, with these and other climate change and emissions regulations could have an adverse effect on our business plans and operating results.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$375 million senior unsecured notes.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third quarter of fiscal 2009, we issued $375 million aggregate principal amount of 5.0% notes due July 1, 2014 in a public offering.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among other things:</w:t>
      </w:r>
    </w:p>
    <w:p>
      <w:pPr>
        <w:spacing w:after="0" w:line="63"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to 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to reduce or delay planned operating expenditures.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available on economically favorable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current credit facility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facility requires us to maintain compliance with specified financial ratios.</w:t>
      </w:r>
    </w:p>
    <w:p>
      <w:pPr>
        <w:spacing w:after="0" w:line="8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If we breach any of the covenants under our credit facility or the indenture governing our outstanding notes and do not obtain appropriate waivers, then, subject to applicable cure periods, our outstanding indebtedness thereunder could be declared immediately due and payable.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current crisis in global credit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Total Number of</w:t>
            </w:r>
          </w:p>
        </w:tc>
        <w:tc>
          <w:tcPr>
            <w:tcW w:w="3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3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Purchased Under</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380" w:type="dxa"/>
            <w:vAlign w:val="bottom"/>
          </w:tcPr>
          <w:p>
            <w:pPr>
              <w:spacing w:after="0"/>
              <w:rPr>
                <w:sz w:val="12"/>
                <w:szCs w:val="12"/>
                <w:color w:val="auto"/>
              </w:rPr>
            </w:pPr>
          </w:p>
        </w:tc>
        <w:tc>
          <w:tcPr>
            <w:tcW w:w="1400" w:type="dxa"/>
            <w:vAlign w:val="bottom"/>
          </w:tcPr>
          <w:p>
            <w:pPr>
              <w:jc w:val="right"/>
              <w:ind w:right="222"/>
              <w:spacing w:after="0" w:line="149" w:lineRule="exact"/>
              <w:rPr>
                <w:sz w:val="20"/>
                <w:szCs w:val="20"/>
                <w:color w:val="auto"/>
              </w:rPr>
            </w:pPr>
            <w:r>
              <w:rPr>
                <w:rFonts w:ascii="Arial" w:cs="Arial" w:eastAsia="Arial" w:hAnsi="Arial"/>
                <w:sz w:val="14"/>
                <w:szCs w:val="14"/>
                <w:color w:val="auto"/>
              </w:rPr>
              <w:t>Average Price</w:t>
            </w:r>
          </w:p>
        </w:tc>
        <w:tc>
          <w:tcPr>
            <w:tcW w:w="38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Announced Plans</w:t>
            </w:r>
          </w:p>
        </w:tc>
        <w:tc>
          <w:tcPr>
            <w:tcW w:w="3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140" w:type="dxa"/>
            <w:vAlign w:val="bottom"/>
            <w:tcBorders>
              <w:bottom w:val="single" w:sz="8" w:color="auto"/>
            </w:tcBorders>
          </w:tcPr>
          <w:p>
            <w:pPr>
              <w:ind w:left="1880"/>
              <w:spacing w:after="0"/>
              <w:rPr>
                <w:sz w:val="20"/>
                <w:szCs w:val="20"/>
                <w:color w:val="auto"/>
              </w:rPr>
            </w:pPr>
            <w:r>
              <w:rPr>
                <w:rFonts w:ascii="Arial" w:cs="Arial" w:eastAsia="Arial" w:hAnsi="Arial"/>
                <w:sz w:val="14"/>
                <w:szCs w:val="14"/>
                <w:color w:val="auto"/>
              </w:rPr>
              <w:t>Period</w:t>
            </w: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color w:val="auto"/>
                <w:w w:val="93"/>
              </w:rPr>
              <w:t>(a)</w:t>
            </w:r>
          </w:p>
        </w:tc>
        <w:tc>
          <w:tcPr>
            <w:tcW w:w="380" w:type="dxa"/>
            <w:vAlign w:val="bottom"/>
          </w:tcPr>
          <w:p>
            <w:pPr>
              <w:spacing w:after="0"/>
              <w:rPr>
                <w:sz w:val="14"/>
                <w:szCs w:val="14"/>
                <w:color w:val="auto"/>
              </w:rPr>
            </w:pPr>
          </w:p>
        </w:tc>
        <w:tc>
          <w:tcPr>
            <w:tcW w:w="14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Paid Per Share (b)</w:t>
            </w:r>
          </w:p>
        </w:tc>
        <w:tc>
          <w:tcPr>
            <w:tcW w:w="380" w:type="dxa"/>
            <w:vAlign w:val="bottom"/>
          </w:tcPr>
          <w:p>
            <w:pPr>
              <w:spacing w:after="0"/>
              <w:rPr>
                <w:sz w:val="14"/>
                <w:szCs w:val="14"/>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or Programs (c)</w:t>
            </w:r>
          </w:p>
        </w:tc>
        <w:tc>
          <w:tcPr>
            <w:tcW w:w="38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May 3, 2009 through May 30, 2009</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9,084</w:t>
            </w:r>
          </w:p>
        </w:tc>
        <w:tc>
          <w:tcPr>
            <w:tcW w:w="4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$20.74</w:t>
            </w:r>
          </w:p>
        </w:tc>
        <w:tc>
          <w:tcPr>
            <w:tcW w:w="15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8,780</w:t>
            </w:r>
          </w:p>
        </w:tc>
        <w:tc>
          <w:tcPr>
            <w:tcW w:w="22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$91,614,067</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May 31, 2009 through June 27, 2009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$91,614,067</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June 28, 2009 through August 1, 2009</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$24.94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$91,614,067</w:t>
            </w:r>
          </w:p>
        </w:tc>
      </w:tr>
      <w:tr>
        <w:trPr>
          <w:trHeight w:val="223"/>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9,274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362"/>
              <w:spacing w:after="0"/>
              <w:rPr>
                <w:sz w:val="20"/>
                <w:szCs w:val="20"/>
                <w:color w:val="auto"/>
              </w:rPr>
            </w:pPr>
            <w:r>
              <w:rPr>
                <w:rFonts w:ascii="Arial" w:cs="Arial" w:eastAsia="Arial" w:hAnsi="Arial"/>
                <w:sz w:val="18"/>
                <w:szCs w:val="18"/>
                <w:color w:val="auto"/>
              </w:rPr>
              <w:t>$20.83</w:t>
            </w:r>
          </w:p>
        </w:tc>
        <w:tc>
          <w:tcPr>
            <w:tcW w:w="76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8,780</w:t>
            </w:r>
          </w:p>
        </w:tc>
        <w:tc>
          <w:tcPr>
            <w:tcW w:w="380" w:type="dxa"/>
            <w:vAlign w:val="bottom"/>
          </w:tcPr>
          <w:p>
            <w:pPr>
              <w:spacing w:after="0"/>
              <w:rPr>
                <w:sz w:val="19"/>
                <w:szCs w:val="19"/>
                <w:color w:val="auto"/>
              </w:rPr>
            </w:pPr>
          </w:p>
        </w:tc>
        <w:tc>
          <w:tcPr>
            <w:tcW w:w="226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$91,614,067</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494 shares surrendered to us by employees to satisfy their tax obligations upon vesting of restricted stock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our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7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June 6, 2007, our Board of Directors authorized the repurchase by us of an additional $1 billion of our common stock, increasing the total amount of our common stock we are authorized to repurchase under the program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our Special Meeting of Shareholders held on July 20, 2009, the proposal to approve an employee stock option exchange program was acted upon by our shareholders. The results of the voting are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VOTES</w:t>
            </w: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VOTES</w:t>
            </w:r>
          </w:p>
        </w:tc>
        <w:tc>
          <w:tcPr>
            <w:tcW w:w="4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ABSTENTIONS</w:t>
            </w:r>
          </w:p>
        </w:tc>
        <w:tc>
          <w:tcPr>
            <w:tcW w:w="0" w:type="dxa"/>
            <w:vAlign w:val="bottom"/>
          </w:tcPr>
          <w:p>
            <w:pPr>
              <w:spacing w:after="0"/>
              <w:rPr>
                <w:sz w:val="1"/>
                <w:szCs w:val="1"/>
                <w:color w:val="auto"/>
              </w:rPr>
            </w:pPr>
          </w:p>
        </w:tc>
      </w:tr>
      <w:tr>
        <w:trPr>
          <w:trHeight w:val="171"/>
        </w:trPr>
        <w:tc>
          <w:tcPr>
            <w:tcW w:w="6280" w:type="dxa"/>
            <w:vAlign w:val="bottom"/>
            <w:vMerge w:val="restart"/>
          </w:tcPr>
          <w:p>
            <w:pPr>
              <w:ind w:left="220"/>
              <w:spacing w:after="0"/>
              <w:rPr>
                <w:sz w:val="20"/>
                <w:szCs w:val="20"/>
                <w:color w:val="auto"/>
              </w:rPr>
            </w:pPr>
            <w:r>
              <w:rPr>
                <w:rFonts w:ascii="Arial" w:cs="Arial" w:eastAsia="Arial" w:hAnsi="Arial"/>
                <w:sz w:val="18"/>
                <w:szCs w:val="18"/>
                <w:color w:val="auto"/>
              </w:rPr>
              <w:t>Proposal to Approve an Employee Stock Option Exchange Program</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4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AGAINST</w:t>
            </w:r>
          </w:p>
        </w:tc>
        <w:tc>
          <w:tcPr>
            <w:tcW w:w="440" w:type="dxa"/>
            <w:vAlign w:val="bottom"/>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280" w:type="dxa"/>
            <w:vAlign w:val="bottom"/>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162,105,237</w:t>
            </w:r>
          </w:p>
        </w:tc>
        <w:tc>
          <w:tcPr>
            <w:tcW w:w="4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61,913,841</w:t>
            </w:r>
          </w:p>
        </w:tc>
        <w:tc>
          <w:tcPr>
            <w:tcW w:w="440" w:type="dxa"/>
            <w:vAlign w:val="bottom"/>
          </w:tcPr>
          <w:p>
            <w:pPr>
              <w:spacing w:after="0"/>
              <w:rPr>
                <w:sz w:val="19"/>
                <w:szCs w:val="19"/>
                <w:color w:val="auto"/>
              </w:rPr>
            </w:pPr>
          </w:p>
        </w:tc>
        <w:tc>
          <w:tcPr>
            <w:tcW w:w="1460" w:type="dxa"/>
            <w:vAlign w:val="bottom"/>
          </w:tcPr>
          <w:p>
            <w:pPr>
              <w:jc w:val="right"/>
              <w:ind w:right="359"/>
              <w:spacing w:after="0"/>
              <w:rPr>
                <w:sz w:val="20"/>
                <w:szCs w:val="20"/>
                <w:color w:val="auto"/>
              </w:rPr>
            </w:pPr>
            <w:r>
              <w:rPr>
                <w:rFonts w:ascii="Arial" w:cs="Arial" w:eastAsia="Arial" w:hAnsi="Arial"/>
                <w:sz w:val="18"/>
                <w:szCs w:val="18"/>
                <w:color w:val="auto"/>
              </w:rPr>
              <w:t>298,449</w:t>
            </w:r>
          </w:p>
        </w:tc>
        <w:tc>
          <w:tcPr>
            <w:tcW w:w="0" w:type="dxa"/>
            <w:vAlign w:val="bottom"/>
          </w:tcPr>
          <w:p>
            <w:pPr>
              <w:spacing w:after="0"/>
              <w:rPr>
                <w:sz w:val="1"/>
                <w:szCs w:val="1"/>
                <w:color w:val="auto"/>
              </w:rPr>
            </w:pPr>
          </w:p>
        </w:tc>
      </w:tr>
      <w:tr>
        <w:trPr>
          <w:trHeight w:val="310"/>
        </w:trPr>
        <w:tc>
          <w:tcPr>
            <w:tcW w:w="6280" w:type="dxa"/>
            <w:vAlign w:val="bottom"/>
          </w:tcPr>
          <w:p>
            <w:pPr>
              <w:spacing w:after="0"/>
              <w:rPr>
                <w:sz w:val="20"/>
                <w:szCs w:val="20"/>
                <w:color w:val="auto"/>
              </w:rPr>
            </w:pPr>
            <w:r>
              <w:rPr>
                <w:rFonts w:ascii="Arial" w:cs="Arial" w:eastAsia="Arial" w:hAnsi="Arial"/>
                <w:sz w:val="18"/>
                <w:szCs w:val="18"/>
                <w:color w:val="auto"/>
              </w:rPr>
              <w:t>There were no broker non-votes on this proposal.</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August 18, 2009</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August 18, 2009</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Finance</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6240" w:type="dxa"/>
            <w:vAlign w:val="bottom"/>
            <w:gridSpan w:val="2"/>
          </w:tcPr>
          <w:p>
            <w:pPr>
              <w:jc w:val="right"/>
              <w:ind w:right="3850"/>
              <w:spacing w:after="0"/>
              <w:rPr>
                <w:sz w:val="20"/>
                <w:szCs w:val="20"/>
                <w:color w:val="auto"/>
              </w:rPr>
            </w:pPr>
            <w:r>
              <w:rPr>
                <w:rFonts w:ascii="Arial" w:cs="Arial" w:eastAsia="Arial" w:hAnsi="Arial"/>
                <w:sz w:val="18"/>
                <w:szCs w:val="18"/>
                <w:color w:val="auto"/>
              </w:rPr>
              <w:t>49</w:t>
            </w:r>
          </w:p>
        </w:tc>
        <w:tc>
          <w:tcPr>
            <w:tcW w:w="1680" w:type="dxa"/>
            <w:vAlign w:val="bottom"/>
          </w:tcPr>
          <w:p>
            <w:pPr>
              <w:spacing w:after="0"/>
              <w:rPr>
                <w:sz w:val="24"/>
                <w:szCs w:val="24"/>
                <w:color w:val="auto"/>
              </w:rPr>
            </w:pPr>
          </w:p>
        </w:tc>
      </w:tr>
      <w:tr>
        <w:trPr>
          <w:trHeight w:val="226"/>
        </w:trPr>
        <w:tc>
          <w:tcPr>
            <w:tcW w:w="35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43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411"/>
        </w:trPr>
        <w:tc>
          <w:tcPr>
            <w:tcW w:w="8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2"/>
              </w:rPr>
              <w:t>Underwriting Agreement, dated June 25, 2009, between Analog Devices, Inc. and Credit Suisse Securities (USA) LLC, as representative of</w:t>
            </w:r>
          </w:p>
        </w:tc>
      </w:tr>
      <w:tr>
        <w:trPr>
          <w:trHeight w:val="216"/>
        </w:trPr>
        <w:tc>
          <w:tcPr>
            <w:tcW w:w="880" w:type="dxa"/>
            <w:vAlign w:val="bottom"/>
          </w:tcPr>
          <w:p>
            <w:pPr>
              <w:spacing w:after="0"/>
              <w:rPr>
                <w:sz w:val="18"/>
                <w:szCs w:val="18"/>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4"/>
              </w:rPr>
              <w:t>the several underwriters named therein, filed as Exhibit 1.1 to the Company’s Current Report on Form 8-K (File No. 1-7819), filed with the</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Commission on June 30, 2009 and incorporated herein by reference.</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4"/>
              </w:rPr>
              <w:t>Indenture, by and among the Company and The Bank of New York Mellon Trust Company, N.A. (as Trustee) dated as of June 30, 2009.</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4"/>
              </w:rPr>
              <w:t>Supplemental Indenture, dated June 30, 2009, between Analog Devices, Inc. and The Bank of New York Mellon Trust Company, N.A., as</w:t>
            </w:r>
          </w:p>
        </w:tc>
      </w:tr>
      <w:tr>
        <w:trPr>
          <w:trHeight w:val="216"/>
        </w:trPr>
        <w:tc>
          <w:tcPr>
            <w:tcW w:w="880" w:type="dxa"/>
            <w:vAlign w:val="bottom"/>
          </w:tcPr>
          <w:p>
            <w:pPr>
              <w:spacing w:after="0"/>
              <w:rPr>
                <w:sz w:val="18"/>
                <w:szCs w:val="18"/>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1"/>
              </w:rPr>
              <w:t>trustee, filed as Exhibit 4.1 to the Company’s Current Report on Form 8-K (File No. 1-7819), filed with the Commission on June 30, 2009 and</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2"/>
              </w:rPr>
              <w:t>Form of 5.00% Global Note due July 1, 2014, filed as Exhibit 4.2 to the Company’s Current Report on Form 8-K (File No. 1-7819), filed with</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the Commission on June 30, 2009 and incorporated herein by reference.</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Second Amendment to 2006 Stock Incentive Plan of Analog Devices, Inc.</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8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880" w:type="dxa"/>
            <w:vAlign w:val="bottom"/>
          </w:tcPr>
          <w:p>
            <w:pPr>
              <w:spacing w:after="0"/>
              <w:rPr>
                <w:sz w:val="20"/>
                <w:szCs w:val="20"/>
                <w:color w:val="auto"/>
              </w:rPr>
            </w:pP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Schema Document.</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8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540" w:type="dxa"/>
            <w:vAlign w:val="bottom"/>
            <w:gridSpan w:val="4"/>
          </w:tcPr>
          <w:p>
            <w:pPr>
              <w:ind w:left="240"/>
              <w:spacing w:after="0"/>
              <w:rPr>
                <w:sz w:val="20"/>
                <w:szCs w:val="20"/>
                <w:color w:val="auto"/>
              </w:rPr>
            </w:pPr>
            <w:r>
              <w:rPr>
                <w:rFonts w:ascii="Arial" w:cs="Arial" w:eastAsia="Arial" w:hAnsi="Arial"/>
                <w:sz w:val="18"/>
                <w:szCs w:val="18"/>
                <w:color w:val="auto"/>
              </w:rPr>
              <w:t>XBRL Definition Linkbase Document.</w:t>
            </w:r>
          </w:p>
        </w:tc>
      </w:tr>
    </w:tbl>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and nine months ended August 1, 2009 and August 2, 2008, (ii) Condensed Consolidated Balance Sheets at August 1, 2009 and November 1, 2008, (iii) Condensed Consolidated Statements of Cash Flows for the nine months ended August 1, 2009 and August 2, 2008 and (iv) Notes to Condensed Consolidated Financial Statements.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1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4.1</w:t>
      </w:r>
    </w:p>
    <w:p>
      <w:pPr>
        <w:spacing w:after="0" w:line="33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197485</wp:posOffset>
            </wp:positionV>
            <wp:extent cx="18783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203835</wp:posOffset>
            </wp:positionV>
            <wp:extent cx="18783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New York Mellon Trust Company, N.A.</w:t>
      </w:r>
    </w:p>
    <w:p>
      <w:pPr>
        <w:spacing w:after="0" w:line="14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560" w:type="dxa"/>
            <w:vAlign w:val="bottom"/>
            <w:vMerge w:val="restart"/>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1.1. Definitions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1.2. Other Definitions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1.3. Incorporation by Reference of Trust Indenture Act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1.4. Rules of Construction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II. THE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 Issuable in Series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2.2. Establishment of Terms of Series of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2.3. Execution and Authentication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2.4. Registrar and Paying Agent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2.5. Paying Agent to Hold Money in Trust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2.6. Securityholder Lists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2.7. Transfer and Exchange</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2.8. Mutilated, Destroyed, Lost and Stolen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2.9. Outstanding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2.10. Treasury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2.11. Temporary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2.12. Cancellation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2.13. Defaulted Interest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2.14. Global Securities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2.15. CUSIP Numbers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III. REDEMPTION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3.1. Notice to Trustee</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3.2. Selection of Securities to be Redeemed</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3.3. Notice of Redemption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3.4. Effect of Notice of Redemption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3.5. Deposit of Redemption Price</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3.6. Securities Redeemed in Part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IV. COVENANTS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4.1. Payment of Principal and Interest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4.2. SEC Reports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4.3. Compliance Certificate</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4.4. Stay, Extension and Usury Laws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4.5. Corporate Existence</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V. SUCCESSORS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5.1. Consolidation, Merger and Sale of Assets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5.2. Successor Corporation Substituted</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VI. DEFAULTS AND REMEDIES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6.1. Events of Default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7"/>
        </w:trPr>
        <w:tc>
          <w:tcPr>
            <w:tcW w:w="10560" w:type="dxa"/>
            <w:vAlign w:val="bottom"/>
            <w:vMerge w:val="restart"/>
          </w:tcPr>
          <w:p>
            <w:pPr>
              <w:ind w:left="220"/>
              <w:spacing w:after="0"/>
              <w:rPr>
                <w:sz w:val="20"/>
                <w:szCs w:val="20"/>
                <w:color w:val="auto"/>
              </w:rPr>
            </w:pPr>
            <w:r>
              <w:rPr>
                <w:rFonts w:ascii="Arial" w:cs="Arial" w:eastAsia="Arial" w:hAnsi="Arial"/>
                <w:sz w:val="18"/>
                <w:szCs w:val="18"/>
                <w:color w:val="auto"/>
              </w:rPr>
              <w:t>Section 6.2. Acceleration of Maturity; Rescission and Annulment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6.4. Trustee May File Proofs of Claim</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6.6. Application of Money Collected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6.7. Limitation on Suits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6.9. Restoration of Rights and Remedies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6.10. Rights and Remedies Cumulative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6.11. Delay or Omission Not Waiver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6.12. Control by Holders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6.13. Waiver of Past Defaults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6.14. Undertaking for Costs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VII.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7.1. Duties of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7.2. Rights of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7.3. Individual Rights of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7.4. Trustee’s Disclaimer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7.5. Notice of Defaults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7.6. Reports by Trustee to Holders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7.7. Compensation and Indemnity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7.8. Replacement of Trustee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7.9. Successor Trustee by Merger, etc.</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7.10. Eligibility; Disqualification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7.11. Preferential Collection of Claims Against Company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VIII. SATISFACTION AND DISCHARGE; DEFEASANCE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8.1. Satisfaction and Discharge of Indenture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8.2. Application of Trust Funds; Indemnification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8.3. Legal Defeasance of Securities of any Series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8.4. Covenant Defeasance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8.5. Repayment to Company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8.6. Reinstatement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IX. AMENDMENTS AND WAIVERS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9.1. Without Consent of Holders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9.2. With Consent of Holders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9.3. Limitations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9.4. Compliance with Trust Indenture Act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9.5. Revocation and Effect of Consents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9.6. Notation on or Exchange of Securities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9.7. Trustee Protected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 Trust Indenture Act Controls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10.2. Notices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7"/>
        </w:trPr>
        <w:tc>
          <w:tcPr>
            <w:tcW w:w="10560" w:type="dxa"/>
            <w:vAlign w:val="bottom"/>
            <w:vMerge w:val="restart"/>
          </w:tcPr>
          <w:p>
            <w:pPr>
              <w:ind w:left="220"/>
              <w:spacing w:after="0"/>
              <w:rPr>
                <w:sz w:val="20"/>
                <w:szCs w:val="20"/>
                <w:color w:val="auto"/>
              </w:rPr>
            </w:pPr>
            <w:r>
              <w:rPr>
                <w:rFonts w:ascii="Arial" w:cs="Arial" w:eastAsia="Arial" w:hAnsi="Arial"/>
                <w:sz w:val="18"/>
                <w:szCs w:val="18"/>
                <w:color w:val="auto"/>
              </w:rPr>
              <w:t>Section 10.3. Communication by Holders with Other Holders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10.4. Certificate and Opinion as to Conditions Precedent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10.5. Statements Required in Certificate or Opinion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10.6. Rules by Trustee and Agents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10.7. Legal Holidays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10.8. No Recourse Against Others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10.9. Counterparts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10.10. Governing Laws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10.11. No Adverse Interpretation of Other Agreements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10.12. Successors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10.13. Severability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10.14. Table of Contents, Headings, Etc.</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10.15. Securities in a Foreign Currency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10.16. Judgment Currency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418"/>
        </w:trPr>
        <w:tc>
          <w:tcPr>
            <w:tcW w:w="10560" w:type="dxa"/>
            <w:vAlign w:val="bottom"/>
          </w:tcPr>
          <w:p>
            <w:pPr>
              <w:spacing w:after="0"/>
              <w:rPr>
                <w:sz w:val="20"/>
                <w:szCs w:val="20"/>
                <w:color w:val="auto"/>
              </w:rPr>
            </w:pPr>
            <w:r>
              <w:rPr>
                <w:rFonts w:ascii="Arial" w:cs="Arial" w:eastAsia="Arial" w:hAnsi="Arial"/>
                <w:sz w:val="18"/>
                <w:szCs w:val="18"/>
                <w:color w:val="auto"/>
              </w:rPr>
              <w:t>ARTICLE XI. SINKING FUNDS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11.1. Applicability of Article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Section 11.3. Redemption of Securities for Sinking Fund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57" w:name="page58"/>
    <w:bookmarkEnd w:id="57"/>
    <w:tbl>
      <w:tblPr>
        <w:tblLayout w:type="fixed"/>
        <w:tblInd w:w="9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7040" w:type="dxa"/>
            <w:vAlign w:val="bottom"/>
          </w:tcPr>
          <w:p>
            <w:pPr>
              <w:jc w:val="center"/>
              <w:ind w:right="690"/>
              <w:spacing w:after="0"/>
              <w:rPr>
                <w:sz w:val="20"/>
                <w:szCs w:val="20"/>
                <w:color w:val="auto"/>
              </w:rPr>
            </w:pPr>
            <w:r>
              <w:rPr>
                <w:rFonts w:ascii="Arial" w:cs="Arial" w:eastAsia="Arial" w:hAnsi="Arial"/>
                <w:sz w:val="18"/>
                <w:szCs w:val="18"/>
                <w:b w:val="1"/>
                <w:bCs w:val="1"/>
                <w:color w:val="auto"/>
              </w:rPr>
              <w:t>ANALOG DEVICES, INC.</w:t>
            </w:r>
          </w:p>
        </w:tc>
      </w:tr>
      <w:tr>
        <w:trPr>
          <w:trHeight w:val="526"/>
        </w:trPr>
        <w:tc>
          <w:tcPr>
            <w:tcW w:w="1620" w:type="dxa"/>
            <w:vAlign w:val="bottom"/>
          </w:tcPr>
          <w:p>
            <w:pPr>
              <w:spacing w:after="0"/>
              <w:rPr>
                <w:sz w:val="24"/>
                <w:szCs w:val="24"/>
                <w:color w:val="auto"/>
              </w:rPr>
            </w:pPr>
          </w:p>
        </w:tc>
        <w:tc>
          <w:tcPr>
            <w:tcW w:w="7040" w:type="dxa"/>
            <w:vAlign w:val="bottom"/>
          </w:tcPr>
          <w:p>
            <w:pPr>
              <w:jc w:val="center"/>
              <w:ind w:right="690"/>
              <w:spacing w:after="0"/>
              <w:rPr>
                <w:sz w:val="20"/>
                <w:szCs w:val="20"/>
                <w:color w:val="auto"/>
              </w:rPr>
            </w:pPr>
            <w:r>
              <w:rPr>
                <w:rFonts w:ascii="Arial" w:cs="Arial" w:eastAsia="Arial" w:hAnsi="Arial"/>
                <w:sz w:val="18"/>
                <w:szCs w:val="18"/>
                <w:color w:val="auto"/>
                <w:w w:val="91"/>
              </w:rPr>
              <w:t>Reconciliation and tie between Trust Indenture Act of 1939 and</w:t>
            </w:r>
          </w:p>
        </w:tc>
      </w:tr>
      <w:tr>
        <w:trPr>
          <w:trHeight w:val="230"/>
        </w:trPr>
        <w:tc>
          <w:tcPr>
            <w:tcW w:w="1620" w:type="dxa"/>
            <w:vAlign w:val="bottom"/>
          </w:tcPr>
          <w:p>
            <w:pPr>
              <w:spacing w:after="0"/>
              <w:rPr>
                <w:sz w:val="20"/>
                <w:szCs w:val="20"/>
                <w:color w:val="auto"/>
              </w:rPr>
            </w:pPr>
          </w:p>
        </w:tc>
        <w:tc>
          <w:tcPr>
            <w:tcW w:w="7040" w:type="dxa"/>
            <w:vAlign w:val="bottom"/>
          </w:tcPr>
          <w:p>
            <w:pPr>
              <w:jc w:val="center"/>
              <w:ind w:right="690"/>
              <w:spacing w:after="0"/>
              <w:rPr>
                <w:sz w:val="20"/>
                <w:szCs w:val="20"/>
                <w:color w:val="auto"/>
              </w:rPr>
            </w:pPr>
            <w:r>
              <w:rPr>
                <w:rFonts w:ascii="Arial" w:cs="Arial" w:eastAsia="Arial" w:hAnsi="Arial"/>
                <w:sz w:val="18"/>
                <w:szCs w:val="18"/>
                <w:color w:val="auto"/>
                <w:w w:val="89"/>
              </w:rPr>
              <w:t>Indenture, dated as of June 30, 2009</w:t>
            </w:r>
          </w:p>
        </w:tc>
      </w:tr>
      <w:tr>
        <w:trPr>
          <w:trHeight w:val="418"/>
        </w:trPr>
        <w:tc>
          <w:tcPr>
            <w:tcW w:w="1620" w:type="dxa"/>
            <w:vAlign w:val="bottom"/>
          </w:tcPr>
          <w:p>
            <w:pPr>
              <w:jc w:val="right"/>
              <w:ind w:right="770"/>
              <w:spacing w:after="0"/>
              <w:rPr>
                <w:sz w:val="20"/>
                <w:szCs w:val="20"/>
                <w:color w:val="auto"/>
              </w:rPr>
            </w:pPr>
            <w:r>
              <w:rPr>
                <w:rFonts w:ascii="Arial" w:cs="Arial" w:eastAsia="Arial" w:hAnsi="Arial"/>
                <w:sz w:val="18"/>
                <w:szCs w:val="18"/>
                <w:color w:val="auto"/>
                <w:w w:val="88"/>
              </w:rPr>
              <w:t>§310(a)(1)</w:t>
            </w:r>
          </w:p>
        </w:tc>
        <w:tc>
          <w:tcPr>
            <w:tcW w:w="7040" w:type="dxa"/>
            <w:vAlign w:val="bottom"/>
          </w:tcPr>
          <w:p>
            <w:pPr>
              <w:ind w:left="5980"/>
              <w:spacing w:after="0"/>
              <w:rPr>
                <w:sz w:val="20"/>
                <w:szCs w:val="20"/>
                <w:color w:val="auto"/>
              </w:rPr>
            </w:pPr>
            <w:r>
              <w:rPr>
                <w:rFonts w:ascii="Arial" w:cs="Arial" w:eastAsia="Arial" w:hAnsi="Arial"/>
                <w:sz w:val="18"/>
                <w:szCs w:val="18"/>
                <w:color w:val="auto"/>
              </w:rPr>
              <w:t>7.10</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(a)(2)</w:t>
            </w:r>
          </w:p>
        </w:tc>
        <w:tc>
          <w:tcPr>
            <w:tcW w:w="7040" w:type="dxa"/>
            <w:vAlign w:val="bottom"/>
          </w:tcPr>
          <w:p>
            <w:pPr>
              <w:ind w:left="5980"/>
              <w:spacing w:after="0"/>
              <w:rPr>
                <w:sz w:val="20"/>
                <w:szCs w:val="20"/>
                <w:color w:val="auto"/>
              </w:rPr>
            </w:pPr>
            <w:r>
              <w:rPr>
                <w:rFonts w:ascii="Arial" w:cs="Arial" w:eastAsia="Arial" w:hAnsi="Arial"/>
                <w:sz w:val="18"/>
                <w:szCs w:val="18"/>
                <w:color w:val="auto"/>
              </w:rPr>
              <w:t>7.10</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(a)(3)</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(a)(4)</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(a)(5)</w:t>
            </w:r>
          </w:p>
        </w:tc>
        <w:tc>
          <w:tcPr>
            <w:tcW w:w="7040" w:type="dxa"/>
            <w:vAlign w:val="bottom"/>
          </w:tcPr>
          <w:p>
            <w:pPr>
              <w:ind w:left="5980"/>
              <w:spacing w:after="0"/>
              <w:rPr>
                <w:sz w:val="20"/>
                <w:szCs w:val="20"/>
                <w:color w:val="auto"/>
              </w:rPr>
            </w:pPr>
            <w:r>
              <w:rPr>
                <w:rFonts w:ascii="Arial" w:cs="Arial" w:eastAsia="Arial" w:hAnsi="Arial"/>
                <w:sz w:val="18"/>
                <w:szCs w:val="18"/>
                <w:color w:val="auto"/>
              </w:rPr>
              <w:t>7.10</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7.10</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 311(a)</w:t>
            </w:r>
          </w:p>
        </w:tc>
        <w:tc>
          <w:tcPr>
            <w:tcW w:w="7040" w:type="dxa"/>
            <w:vAlign w:val="bottom"/>
          </w:tcPr>
          <w:p>
            <w:pPr>
              <w:ind w:left="5980"/>
              <w:spacing w:after="0"/>
              <w:rPr>
                <w:sz w:val="20"/>
                <w:szCs w:val="20"/>
                <w:color w:val="auto"/>
              </w:rPr>
            </w:pPr>
            <w:r>
              <w:rPr>
                <w:rFonts w:ascii="Arial" w:cs="Arial" w:eastAsia="Arial" w:hAnsi="Arial"/>
                <w:sz w:val="18"/>
                <w:szCs w:val="18"/>
                <w:color w:val="auto"/>
              </w:rPr>
              <w:t>7.11</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7.11</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 312(a)</w:t>
            </w:r>
          </w:p>
        </w:tc>
        <w:tc>
          <w:tcPr>
            <w:tcW w:w="7040" w:type="dxa"/>
            <w:vAlign w:val="bottom"/>
          </w:tcPr>
          <w:p>
            <w:pPr>
              <w:ind w:left="5980"/>
              <w:spacing w:after="0"/>
              <w:rPr>
                <w:sz w:val="20"/>
                <w:szCs w:val="20"/>
                <w:color w:val="auto"/>
              </w:rPr>
            </w:pPr>
            <w:r>
              <w:rPr>
                <w:rFonts w:ascii="Arial" w:cs="Arial" w:eastAsia="Arial" w:hAnsi="Arial"/>
                <w:sz w:val="18"/>
                <w:szCs w:val="18"/>
                <w:color w:val="auto"/>
              </w:rPr>
              <w:t>2.6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10.3</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7040" w:type="dxa"/>
            <w:vAlign w:val="bottom"/>
          </w:tcPr>
          <w:p>
            <w:pPr>
              <w:ind w:left="5980"/>
              <w:spacing w:after="0"/>
              <w:rPr>
                <w:sz w:val="20"/>
                <w:szCs w:val="20"/>
                <w:color w:val="auto"/>
              </w:rPr>
            </w:pPr>
            <w:r>
              <w:rPr>
                <w:rFonts w:ascii="Arial" w:cs="Arial" w:eastAsia="Arial" w:hAnsi="Arial"/>
                <w:sz w:val="18"/>
                <w:szCs w:val="18"/>
                <w:color w:val="auto"/>
              </w:rPr>
              <w:t>10.3</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§313(a)</w:t>
            </w:r>
          </w:p>
        </w:tc>
        <w:tc>
          <w:tcPr>
            <w:tcW w:w="7040" w:type="dxa"/>
            <w:vAlign w:val="bottom"/>
          </w:tcPr>
          <w:p>
            <w:pPr>
              <w:ind w:left="5980"/>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(b)(1)</w:t>
            </w:r>
          </w:p>
        </w:tc>
        <w:tc>
          <w:tcPr>
            <w:tcW w:w="7040" w:type="dxa"/>
            <w:vAlign w:val="bottom"/>
          </w:tcPr>
          <w:p>
            <w:pPr>
              <w:ind w:left="5980"/>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(b)(2)</w:t>
            </w:r>
          </w:p>
        </w:tc>
        <w:tc>
          <w:tcPr>
            <w:tcW w:w="7040" w:type="dxa"/>
            <w:vAlign w:val="bottom"/>
          </w:tcPr>
          <w:p>
            <w:pPr>
              <w:ind w:left="5980"/>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(c)(1)</w:t>
            </w:r>
          </w:p>
        </w:tc>
        <w:tc>
          <w:tcPr>
            <w:tcW w:w="7040" w:type="dxa"/>
            <w:vAlign w:val="bottom"/>
          </w:tcPr>
          <w:p>
            <w:pPr>
              <w:ind w:left="5980"/>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7040" w:type="dxa"/>
            <w:vAlign w:val="bottom"/>
          </w:tcPr>
          <w:p>
            <w:pPr>
              <w:ind w:left="5980"/>
              <w:spacing w:after="0"/>
              <w:rPr>
                <w:sz w:val="20"/>
                <w:szCs w:val="20"/>
                <w:color w:val="auto"/>
              </w:rPr>
            </w:pPr>
            <w:r>
              <w:rPr>
                <w:rFonts w:ascii="Arial" w:cs="Arial" w:eastAsia="Arial" w:hAnsi="Arial"/>
                <w:sz w:val="18"/>
                <w:szCs w:val="18"/>
                <w:color w:val="auto"/>
              </w:rPr>
              <w:t>7.6</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 314(a)</w:t>
            </w:r>
          </w:p>
        </w:tc>
        <w:tc>
          <w:tcPr>
            <w:tcW w:w="7040" w:type="dxa"/>
            <w:vAlign w:val="bottom"/>
          </w:tcPr>
          <w:p>
            <w:pPr>
              <w:ind w:left="5980"/>
              <w:spacing w:after="0"/>
              <w:rPr>
                <w:sz w:val="20"/>
                <w:szCs w:val="20"/>
                <w:color w:val="auto"/>
              </w:rPr>
            </w:pPr>
            <w:r>
              <w:rPr>
                <w:rFonts w:ascii="Arial" w:cs="Arial" w:eastAsia="Arial" w:hAnsi="Arial"/>
                <w:sz w:val="18"/>
                <w:szCs w:val="18"/>
                <w:color w:val="auto"/>
              </w:rPr>
              <w:t>4.2, 4.3</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(c)(1)</w:t>
            </w:r>
          </w:p>
        </w:tc>
        <w:tc>
          <w:tcPr>
            <w:tcW w:w="7040" w:type="dxa"/>
            <w:vAlign w:val="bottom"/>
          </w:tcPr>
          <w:p>
            <w:pPr>
              <w:ind w:left="5980"/>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(c)(2)</w:t>
            </w:r>
          </w:p>
        </w:tc>
        <w:tc>
          <w:tcPr>
            <w:tcW w:w="7040" w:type="dxa"/>
            <w:vAlign w:val="bottom"/>
          </w:tcPr>
          <w:p>
            <w:pPr>
              <w:ind w:left="5980"/>
              <w:spacing w:after="0"/>
              <w:rPr>
                <w:sz w:val="20"/>
                <w:szCs w:val="20"/>
                <w:color w:val="auto"/>
              </w:rPr>
            </w:pPr>
            <w:r>
              <w:rPr>
                <w:rFonts w:ascii="Arial" w:cs="Arial" w:eastAsia="Arial" w:hAnsi="Arial"/>
                <w:sz w:val="18"/>
                <w:szCs w:val="18"/>
                <w:color w:val="auto"/>
              </w:rPr>
              <w:t>10.4</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(c)(3)</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(e)</w:t>
            </w:r>
          </w:p>
        </w:tc>
        <w:tc>
          <w:tcPr>
            <w:tcW w:w="7040" w:type="dxa"/>
            <w:vAlign w:val="bottom"/>
          </w:tcPr>
          <w:p>
            <w:pPr>
              <w:ind w:left="5980"/>
              <w:spacing w:after="0"/>
              <w:rPr>
                <w:sz w:val="20"/>
                <w:szCs w:val="20"/>
                <w:color w:val="auto"/>
              </w:rPr>
            </w:pPr>
            <w:r>
              <w:rPr>
                <w:rFonts w:ascii="Arial" w:cs="Arial" w:eastAsia="Arial" w:hAnsi="Arial"/>
                <w:sz w:val="18"/>
                <w:szCs w:val="18"/>
                <w:color w:val="auto"/>
              </w:rPr>
              <w:t>10.5</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(f)</w:t>
            </w:r>
          </w:p>
        </w:tc>
        <w:tc>
          <w:tcPr>
            <w:tcW w:w="7040" w:type="dxa"/>
            <w:vAlign w:val="bottom"/>
          </w:tcPr>
          <w:p>
            <w:pPr>
              <w:ind w:left="5940"/>
              <w:spacing w:after="0"/>
              <w:rPr>
                <w:sz w:val="20"/>
                <w:szCs w:val="20"/>
                <w:color w:val="auto"/>
              </w:rPr>
            </w:pPr>
            <w:r>
              <w:rPr>
                <w:rFonts w:ascii="Arial" w:cs="Arial" w:eastAsia="Arial" w:hAnsi="Arial"/>
                <w:sz w:val="18"/>
                <w:szCs w:val="18"/>
                <w:color w:val="auto"/>
                <w:w w:val="93"/>
              </w:rPr>
              <w:t>Not Applicable</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 315(a)</w:t>
            </w:r>
          </w:p>
        </w:tc>
        <w:tc>
          <w:tcPr>
            <w:tcW w:w="7040" w:type="dxa"/>
            <w:vAlign w:val="bottom"/>
          </w:tcPr>
          <w:p>
            <w:pPr>
              <w:ind w:left="5980"/>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7.5</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(c)</w:t>
            </w:r>
          </w:p>
        </w:tc>
        <w:tc>
          <w:tcPr>
            <w:tcW w:w="7040" w:type="dxa"/>
            <w:vAlign w:val="bottom"/>
          </w:tcPr>
          <w:p>
            <w:pPr>
              <w:ind w:left="5980"/>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(d)</w:t>
            </w:r>
          </w:p>
        </w:tc>
        <w:tc>
          <w:tcPr>
            <w:tcW w:w="7040" w:type="dxa"/>
            <w:vAlign w:val="bottom"/>
          </w:tcPr>
          <w:p>
            <w:pPr>
              <w:ind w:left="5980"/>
              <w:spacing w:after="0"/>
              <w:rPr>
                <w:sz w:val="20"/>
                <w:szCs w:val="20"/>
                <w:color w:val="auto"/>
              </w:rPr>
            </w:pPr>
            <w:r>
              <w:rPr>
                <w:rFonts w:ascii="Arial" w:cs="Arial" w:eastAsia="Arial" w:hAnsi="Arial"/>
                <w:sz w:val="18"/>
                <w:szCs w:val="18"/>
                <w:color w:val="auto"/>
              </w:rPr>
              <w:t>7.1</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(e)</w:t>
            </w:r>
          </w:p>
        </w:tc>
        <w:tc>
          <w:tcPr>
            <w:tcW w:w="7040" w:type="dxa"/>
            <w:vAlign w:val="bottom"/>
          </w:tcPr>
          <w:p>
            <w:pPr>
              <w:ind w:left="5980"/>
              <w:spacing w:after="0"/>
              <w:rPr>
                <w:sz w:val="20"/>
                <w:szCs w:val="20"/>
                <w:color w:val="auto"/>
              </w:rPr>
            </w:pPr>
            <w:r>
              <w:rPr>
                <w:rFonts w:ascii="Arial" w:cs="Arial" w:eastAsia="Arial" w:hAnsi="Arial"/>
                <w:sz w:val="18"/>
                <w:szCs w:val="18"/>
                <w:color w:val="auto"/>
              </w:rPr>
              <w:t>6.14</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§316(a)</w:t>
            </w:r>
          </w:p>
        </w:tc>
        <w:tc>
          <w:tcPr>
            <w:tcW w:w="7040" w:type="dxa"/>
            <w:vAlign w:val="bottom"/>
          </w:tcPr>
          <w:p>
            <w:pPr>
              <w:ind w:left="5980"/>
              <w:spacing w:after="0"/>
              <w:rPr>
                <w:sz w:val="20"/>
                <w:szCs w:val="20"/>
                <w:color w:val="auto"/>
              </w:rPr>
            </w:pPr>
            <w:r>
              <w:rPr>
                <w:rFonts w:ascii="Arial" w:cs="Arial" w:eastAsia="Arial" w:hAnsi="Arial"/>
                <w:sz w:val="18"/>
                <w:szCs w:val="18"/>
                <w:color w:val="auto"/>
              </w:rPr>
              <w:t>2.10</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(a)(1)(A)</w:t>
            </w:r>
          </w:p>
        </w:tc>
        <w:tc>
          <w:tcPr>
            <w:tcW w:w="7040" w:type="dxa"/>
            <w:vAlign w:val="bottom"/>
          </w:tcPr>
          <w:p>
            <w:pPr>
              <w:ind w:left="5980"/>
              <w:spacing w:after="0"/>
              <w:rPr>
                <w:sz w:val="20"/>
                <w:szCs w:val="20"/>
                <w:color w:val="auto"/>
              </w:rPr>
            </w:pPr>
            <w:r>
              <w:rPr>
                <w:rFonts w:ascii="Arial" w:cs="Arial" w:eastAsia="Arial" w:hAnsi="Arial"/>
                <w:sz w:val="18"/>
                <w:szCs w:val="18"/>
                <w:color w:val="auto"/>
              </w:rPr>
              <w:t>6.12</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(a)(1)(B)</w:t>
            </w:r>
          </w:p>
        </w:tc>
        <w:tc>
          <w:tcPr>
            <w:tcW w:w="7040" w:type="dxa"/>
            <w:vAlign w:val="bottom"/>
          </w:tcPr>
          <w:p>
            <w:pPr>
              <w:ind w:left="5980"/>
              <w:spacing w:after="0"/>
              <w:rPr>
                <w:sz w:val="20"/>
                <w:szCs w:val="20"/>
                <w:color w:val="auto"/>
              </w:rPr>
            </w:pPr>
            <w:r>
              <w:rPr>
                <w:rFonts w:ascii="Arial" w:cs="Arial" w:eastAsia="Arial" w:hAnsi="Arial"/>
                <w:sz w:val="18"/>
                <w:szCs w:val="18"/>
                <w:color w:val="auto"/>
              </w:rPr>
              <w:t>6.13</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6.8</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w w:val="88"/>
              </w:rPr>
              <w:t>§317(a)(1)</w:t>
            </w:r>
          </w:p>
        </w:tc>
        <w:tc>
          <w:tcPr>
            <w:tcW w:w="7040" w:type="dxa"/>
            <w:vAlign w:val="bottom"/>
          </w:tcPr>
          <w:p>
            <w:pPr>
              <w:ind w:left="5980"/>
              <w:spacing w:after="0"/>
              <w:rPr>
                <w:sz w:val="20"/>
                <w:szCs w:val="20"/>
                <w:color w:val="auto"/>
              </w:rPr>
            </w:pPr>
            <w:r>
              <w:rPr>
                <w:rFonts w:ascii="Arial" w:cs="Arial" w:eastAsia="Arial" w:hAnsi="Arial"/>
                <w:sz w:val="18"/>
                <w:szCs w:val="18"/>
                <w:color w:val="auto"/>
              </w:rPr>
              <w:t>6.3</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(a)(2)</w:t>
            </w:r>
          </w:p>
        </w:tc>
        <w:tc>
          <w:tcPr>
            <w:tcW w:w="7040" w:type="dxa"/>
            <w:vAlign w:val="bottom"/>
          </w:tcPr>
          <w:p>
            <w:pPr>
              <w:ind w:left="5980"/>
              <w:spacing w:after="0"/>
              <w:rPr>
                <w:sz w:val="20"/>
                <w:szCs w:val="20"/>
                <w:color w:val="auto"/>
              </w:rPr>
            </w:pPr>
            <w:r>
              <w:rPr>
                <w:rFonts w:ascii="Arial" w:cs="Arial" w:eastAsia="Arial" w:hAnsi="Arial"/>
                <w:sz w:val="18"/>
                <w:szCs w:val="18"/>
                <w:color w:val="auto"/>
              </w:rPr>
              <w:t>6.4</w:t>
            </w:r>
          </w:p>
        </w:tc>
      </w:tr>
      <w:tr>
        <w:trPr>
          <w:trHeight w:val="216"/>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(b)</w:t>
            </w:r>
          </w:p>
        </w:tc>
        <w:tc>
          <w:tcPr>
            <w:tcW w:w="7040" w:type="dxa"/>
            <w:vAlign w:val="bottom"/>
          </w:tcPr>
          <w:p>
            <w:pPr>
              <w:ind w:left="5980"/>
              <w:spacing w:after="0"/>
              <w:rPr>
                <w:sz w:val="20"/>
                <w:szCs w:val="20"/>
                <w:color w:val="auto"/>
              </w:rPr>
            </w:pPr>
            <w:r>
              <w:rPr>
                <w:rFonts w:ascii="Arial" w:cs="Arial" w:eastAsia="Arial" w:hAnsi="Arial"/>
                <w:sz w:val="18"/>
                <w:szCs w:val="18"/>
                <w:color w:val="auto"/>
              </w:rPr>
              <w:t>2.5</w:t>
            </w:r>
          </w:p>
        </w:tc>
      </w:tr>
      <w:tr>
        <w:trPr>
          <w:trHeight w:val="230"/>
        </w:trPr>
        <w:tc>
          <w:tcPr>
            <w:tcW w:w="1620" w:type="dxa"/>
            <w:vAlign w:val="bottom"/>
          </w:tcPr>
          <w:p>
            <w:pPr>
              <w:jc w:val="right"/>
              <w:ind w:right="770"/>
              <w:spacing w:after="0"/>
              <w:rPr>
                <w:sz w:val="20"/>
                <w:szCs w:val="20"/>
                <w:color w:val="auto"/>
              </w:rPr>
            </w:pPr>
            <w:r>
              <w:rPr>
                <w:rFonts w:ascii="Arial" w:cs="Arial" w:eastAsia="Arial" w:hAnsi="Arial"/>
                <w:sz w:val="18"/>
                <w:szCs w:val="18"/>
                <w:color w:val="auto"/>
              </w:rPr>
              <w:t>§ 318(a)</w:t>
            </w:r>
          </w:p>
        </w:tc>
        <w:tc>
          <w:tcPr>
            <w:tcW w:w="7040" w:type="dxa"/>
            <w:vAlign w:val="bottom"/>
          </w:tcPr>
          <w:p>
            <w:pPr>
              <w:ind w:left="5980"/>
              <w:spacing w:after="0"/>
              <w:rPr>
                <w:sz w:val="20"/>
                <w:szCs w:val="20"/>
                <w:color w:val="auto"/>
              </w:rPr>
            </w:pPr>
            <w:r>
              <w:rPr>
                <w:rFonts w:ascii="Arial" w:cs="Arial" w:eastAsia="Arial" w:hAnsi="Arial"/>
                <w:sz w:val="18"/>
                <w:szCs w:val="18"/>
                <w:color w:val="auto"/>
              </w:rPr>
              <w:t>10.1</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58" w:name="page59"/>
    <w:bookmarkEnd w:id="58"/>
    <w:p>
      <w:pPr>
        <w:ind w:right="140" w:firstLine="225"/>
        <w:spacing w:after="0" w:line="277" w:lineRule="auto"/>
        <w:rPr>
          <w:sz w:val="20"/>
          <w:szCs w:val="20"/>
          <w:color w:val="auto"/>
        </w:rPr>
      </w:pPr>
      <w:r>
        <w:rPr>
          <w:rFonts w:ascii="Arial" w:cs="Arial" w:eastAsia="Arial" w:hAnsi="Arial"/>
          <w:sz w:val="18"/>
          <w:szCs w:val="18"/>
          <w:color w:val="auto"/>
        </w:rPr>
        <w:t>Indenture dated as of June 30, 2009 between Analog Devices, Inc., a Massachusetts corporation (“Company”), and The Bank of New York Mellon Trust Company, N.A., a national banking association (“Trustee”).</w:t>
      </w:r>
    </w:p>
    <w:p>
      <w:pPr>
        <w:spacing w:after="0" w:line="62"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of any specified person means any other person directly or indirectly controlling or controlled by or under common control with such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Paying Agent or Service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the Company.</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or any duly authorized committee thereof or pursuant to authorization by the Board of Directors or any duly authorized committee thereof and to be in full force and effect on the date of the certificate and delivered to the Trustee.</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unless otherwise provided by Board Resolution, Officers’ Certificate or supplemental indenture hereto for a particular Series,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except a Saturday, Sunday or a legal holiday in The City of New York on which banking institutions are authorized or required by law, regulation or executive order to close.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 any and all shares, interests, participations, rights or other equivalents (however designated) of corporate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the party named as such above until a successor replaces it and thereafter means the successor.</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“Company Order” </w:t>
      </w:r>
      <w:r>
        <w:rPr>
          <w:rFonts w:ascii="Arial" w:cs="Arial" w:eastAsia="Arial" w:hAnsi="Arial"/>
          <w:sz w:val="18"/>
          <w:szCs w:val="18"/>
          <w:color w:val="auto"/>
        </w:rPr>
        <w:t>means a written order signed in the name of the Company by two Officers, one of whom must be the Company’s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principal financial officer or principal accounting officer.</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i w:val="1"/>
          <w:iCs w:val="1"/>
          <w:color w:val="auto"/>
        </w:rPr>
        <w:t xml:space="preserve">“Company Request” </w:t>
      </w:r>
      <w:r>
        <w:rPr>
          <w:rFonts w:ascii="Arial" w:cs="Arial" w:eastAsia="Arial" w:hAnsi="Arial"/>
          <w:sz w:val="18"/>
          <w:szCs w:val="18"/>
          <w:color w:val="auto"/>
        </w:rPr>
        <w:t>means a written request signed in the name of the Company by its Chief Executive Officer, the President or a Vice President, and by</w:t>
      </w:r>
      <w:r>
        <w:rPr>
          <w:rFonts w:ascii="Arial" w:cs="Arial" w:eastAsia="Arial" w:hAnsi="Arial"/>
          <w:sz w:val="18"/>
          <w:szCs w:val="18"/>
          <w:i w:val="1"/>
          <w:iCs w:val="1"/>
          <w:color w:val="auto"/>
        </w:rPr>
        <w:t xml:space="preserve"> </w:t>
      </w:r>
      <w:r>
        <w:rPr>
          <w:rFonts w:ascii="Arial" w:cs="Arial" w:eastAsia="Arial" w:hAnsi="Arial"/>
          <w:sz w:val="18"/>
          <w:szCs w:val="18"/>
          <w:color w:val="auto"/>
        </w:rPr>
        <w:t>its Treasurer, an Assistant Treasurer, its Secretary or an Assistant Secretary, and delivered to the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“Corporate Trust Office” </w:t>
      </w:r>
      <w:r>
        <w:rPr>
          <w:rFonts w:ascii="Arial" w:cs="Arial" w:eastAsia="Arial" w:hAnsi="Arial"/>
          <w:sz w:val="17"/>
          <w:szCs w:val="17"/>
          <w:color w:val="auto"/>
        </w:rPr>
        <w:t>means the office of the Trustee at which at any particular time its corporate trust business shall be principally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9" w:name="page60"/>
    <w:bookmarkEnd w:id="59"/>
    <w:p>
      <w:pPr>
        <w:ind w:left="24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is, or after notice or passage of time or both would be, an Event of Default.</w:t>
      </w:r>
    </w:p>
    <w:p>
      <w:pPr>
        <w:spacing w:after="0" w:line="117" w:lineRule="exact"/>
        <w:rPr>
          <w:sz w:val="20"/>
          <w:szCs w:val="20"/>
          <w:color w:val="auto"/>
        </w:rPr>
      </w:pPr>
    </w:p>
    <w:p>
      <w:pPr>
        <w:jc w:val="both"/>
        <w:ind w:right="240" w:firstLine="225"/>
        <w:spacing w:after="0" w:line="259" w:lineRule="auto"/>
        <w:rPr>
          <w:sz w:val="20"/>
          <w:szCs w:val="20"/>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means, with respect to the Securities of any Series issuable or issued in whole or in part in the form of one or more Global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i w:val="1"/>
          <w:iCs w:val="1"/>
          <w:color w:val="auto"/>
        </w:rPr>
        <w:t xml:space="preserve">“Discount Security” </w:t>
      </w:r>
      <w:r>
        <w:rPr>
          <w:rFonts w:ascii="Arial" w:cs="Arial" w:eastAsia="Arial" w:hAnsi="Arial"/>
          <w:sz w:val="18"/>
          <w:szCs w:val="18"/>
          <w:color w:val="auto"/>
        </w:rPr>
        <w:t>means any Security that provides for an amount less than the stated principal amount thereof to be due and payable upon declaration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acceleration of the maturity thereof pursuant to Section 6.2.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means the currency of The United States of America.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“Foreign Currency” </w:t>
      </w:r>
      <w:r>
        <w:rPr>
          <w:rFonts w:ascii="Arial" w:cs="Arial" w:eastAsia="Arial" w:hAnsi="Arial"/>
          <w:sz w:val="17"/>
          <w:szCs w:val="17"/>
          <w:color w:val="auto"/>
        </w:rPr>
        <w:t>means any currency or currency unit issued by a government other than the government of The United States of America.</w:t>
      </w:r>
    </w:p>
    <w:p>
      <w:pPr>
        <w:spacing w:after="0" w:line="12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“Foreign Government Obligations” </w:t>
      </w:r>
      <w:r>
        <w:rPr>
          <w:rFonts w:ascii="Arial" w:cs="Arial" w:eastAsia="Arial" w:hAnsi="Arial"/>
          <w:sz w:val="18"/>
          <w:szCs w:val="18"/>
          <w:color w:val="auto"/>
        </w:rPr>
        <w:t>means, with respect to Securities of any Series that are denominated in a Foreign Currency, (i) direct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80" w:lineRule="exact"/>
        <w:rPr>
          <w:sz w:val="20"/>
          <w:szCs w:val="20"/>
          <w:color w:val="auto"/>
        </w:rPr>
      </w:pPr>
    </w:p>
    <w:p>
      <w:pPr>
        <w:ind w:right="620" w:firstLine="225"/>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set forth in the opinions and pronouncements of the Accounting Principles Board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79"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i w:val="1"/>
          <w:iCs w:val="1"/>
          <w:color w:val="auto"/>
        </w:rPr>
        <w:t xml:space="preserve">“Global Security” </w:t>
      </w:r>
      <w:r>
        <w:rPr>
          <w:rFonts w:ascii="Arial" w:cs="Arial" w:eastAsia="Arial" w:hAnsi="Arial"/>
          <w:sz w:val="16"/>
          <w:szCs w:val="16"/>
          <w:color w:val="auto"/>
        </w:rPr>
        <w:t>or</w:t>
      </w:r>
      <w:r>
        <w:rPr>
          <w:rFonts w:ascii="Arial" w:cs="Arial" w:eastAsia="Arial" w:hAnsi="Arial"/>
          <w:sz w:val="16"/>
          <w:szCs w:val="16"/>
          <w:i w:val="1"/>
          <w:iCs w:val="1"/>
          <w:color w:val="auto"/>
        </w:rPr>
        <w:t xml:space="preserve"> “Global Securities” </w:t>
      </w:r>
      <w:r>
        <w:rPr>
          <w:rFonts w:ascii="Arial" w:cs="Arial" w:eastAsia="Arial" w:hAnsi="Arial"/>
          <w:sz w:val="16"/>
          <w:szCs w:val="16"/>
          <w:color w:val="auto"/>
        </w:rPr>
        <w:t>means a Security or Securities, as the case may be, in the form established pursuant to Section 2.2 evidencing all</w:t>
      </w:r>
      <w:r>
        <w:rPr>
          <w:rFonts w:ascii="Arial" w:cs="Arial" w:eastAsia="Arial" w:hAnsi="Arial"/>
          <w:sz w:val="16"/>
          <w:szCs w:val="16"/>
          <w:i w:val="1"/>
          <w:iCs w:val="1"/>
          <w:color w:val="auto"/>
        </w:rPr>
        <w:t xml:space="preserve"> </w:t>
      </w:r>
      <w:r>
        <w:rPr>
          <w:rFonts w:ascii="Arial" w:cs="Arial" w:eastAsia="Arial" w:hAnsi="Arial"/>
          <w:sz w:val="16"/>
          <w:szCs w:val="16"/>
          <w:color w:val="auto"/>
        </w:rPr>
        <w:t>or part of a Series of Securities, issued to the Depositary for such Series or its nominee, and registered in the name of such Depositary or nominee.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or</w:t>
      </w:r>
      <w:r>
        <w:rPr>
          <w:rFonts w:ascii="Arial" w:cs="Arial" w:eastAsia="Arial" w:hAnsi="Arial"/>
          <w:sz w:val="18"/>
          <w:szCs w:val="18"/>
          <w:i w:val="1"/>
          <w:iCs w:val="1"/>
          <w:color w:val="auto"/>
        </w:rPr>
        <w:t xml:space="preserve"> “Securityholder” </w:t>
      </w:r>
      <w:r>
        <w:rPr>
          <w:rFonts w:ascii="Arial" w:cs="Arial" w:eastAsia="Arial" w:hAnsi="Arial"/>
          <w:sz w:val="18"/>
          <w:szCs w:val="18"/>
          <w:color w:val="auto"/>
        </w:rPr>
        <w:t>means a person in whose name a Security is registered.</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 and shall include the form and terms of particular Series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as contemplated hereunder.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with respect to any Discount Security which by its terms bears interest only after Maturity, means interest payable after Maturity.</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when used with respect to any Security, means the date on which the principal of such Security becomes due and payable as therein or herein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whether at the Stated Maturity or by declaration of acceleration, call for redemption or otherwise.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right="660" w:firstLine="225"/>
        <w:spacing w:after="0" w:line="277"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the Chief Executive Officer, President, any Vice President, the Treasurer, the Secretary, any Assistant Treasurer or any Assistant</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the Company.</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by two Officers, one of whom must be the Company’s principal executive officer,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principal accounting officer.</w:t>
      </w:r>
    </w:p>
    <w:p>
      <w:pPr>
        <w:spacing w:after="0" w:line="62"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i w:val="1"/>
          <w:iCs w:val="1"/>
          <w:color w:val="auto"/>
        </w:rPr>
        <w:t xml:space="preserve">“Opinion of Counsel” </w:t>
      </w:r>
      <w:r>
        <w:rPr>
          <w:rFonts w:ascii="Arial" w:cs="Arial" w:eastAsia="Arial" w:hAnsi="Arial"/>
          <w:sz w:val="18"/>
          <w:szCs w:val="18"/>
          <w:color w:val="auto"/>
        </w:rPr>
        <w:t>means a written opinion of legal counsel who is acceptable to the Trustee. The counsel may be an employee of or counsel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limited liability company, joint-stock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government or any agency or political subdivision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“principal” </w:t>
      </w:r>
      <w:r>
        <w:rPr>
          <w:rFonts w:ascii="Arial" w:cs="Arial" w:eastAsia="Arial" w:hAnsi="Arial"/>
          <w:sz w:val="18"/>
          <w:szCs w:val="18"/>
          <w:color w:val="auto"/>
        </w:rPr>
        <w:t>of a Security means the principal of the Security plus, when appropriate, the premium, if any, on the Security.</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any officer of the Trustee in its Corporate Trust Office having direct responsibility for the administration of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also means, with respect to a particular corporate trust matter, any other officer to whom any corporate trust matter is referred because of his or her knowledge of and familiarity with a particular subject.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United States Securities and Exchange Commission.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means the debentures, notes or other debt instruments of the Company of any Series authenticated and delivered under this Indenture.</w:t>
      </w:r>
    </w:p>
    <w:p>
      <w:pPr>
        <w:spacing w:after="0" w:line="12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debentures, notes or other debt instruments of the Company created pursuant to Sections 2.1 and</w:t>
      </w:r>
      <w:r>
        <w:rPr>
          <w:rFonts w:ascii="Arial" w:cs="Arial" w:eastAsia="Arial" w:hAnsi="Arial"/>
          <w:sz w:val="18"/>
          <w:szCs w:val="18"/>
          <w:i w:val="1"/>
          <w:iCs w:val="1"/>
          <w:color w:val="auto"/>
        </w:rPr>
        <w:t xml:space="preserve"> </w:t>
      </w:r>
      <w:r>
        <w:rPr>
          <w:rFonts w:ascii="Arial" w:cs="Arial" w:eastAsia="Arial" w:hAnsi="Arial"/>
          <w:sz w:val="18"/>
          <w:szCs w:val="18"/>
          <w:color w:val="auto"/>
        </w:rPr>
        <w:t>2.2 hereof.</w:t>
      </w:r>
    </w:p>
    <w:p>
      <w:pPr>
        <w:spacing w:after="0" w:line="62"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when used with respect to any Security, means the date specified in such Security as the fixed date on which the principal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or interest is due and payable.</w:t>
      </w:r>
    </w:p>
    <w:p>
      <w:pPr>
        <w:spacing w:after="0" w:line="62"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of any specified person means any corporation, association or other business entity of which more than 50% of the total voting power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5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(15 U.S. Code §§ 77aaa-77bbbb) as in effect on the date of this Indenture; provided, however, that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 Trust Indenture Act of 1939 is amended after such date, “TIA” means, to the extent required by any such amendment, the Trust Indenture Act as so amended.</w:t>
      </w:r>
    </w:p>
    <w:p>
      <w:pPr>
        <w:spacing w:after="0" w:line="73"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means the person named as the “Trustee” in the first paragraph of this instrument until a successor Trustee shall have become such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xml:space="preserve"> means securities which are (i) direct obligations of The United States of America for the payment of which its full faith and credit is pledged or (ii) obligations of a</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1" w:name="page62"/>
    <w:bookmarkEnd w:id="61"/>
    <w:p>
      <w:pPr>
        <w:ind w:right="100"/>
        <w:spacing w:after="0" w:line="272" w:lineRule="auto"/>
        <w:rPr>
          <w:sz w:val="20"/>
          <w:szCs w:val="20"/>
          <w:color w:val="auto"/>
        </w:rPr>
      </w:pPr>
      <w:r>
        <w:rPr>
          <w:rFonts w:ascii="Arial" w:cs="Arial" w:eastAsia="Arial" w:hAnsi="Arial"/>
          <w:sz w:val="17"/>
          <w:szCs w:val="17"/>
          <w:color w:val="auto"/>
        </w:rPr>
        <w:t>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7"/>
              </w:rPr>
              <w:t>DEFINED</w:t>
            </w:r>
          </w:p>
        </w:tc>
      </w:tr>
      <w:tr>
        <w:trPr>
          <w:trHeight w:val="149"/>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IN</w:t>
            </w:r>
          </w:p>
        </w:tc>
      </w:tr>
      <w:tr>
        <w:trPr>
          <w:trHeight w:val="167"/>
        </w:trPr>
        <w:tc>
          <w:tcPr>
            <w:tcW w:w="9780" w:type="dxa"/>
            <w:vAlign w:val="bottom"/>
            <w:gridSpan w:val="2"/>
          </w:tcPr>
          <w:p>
            <w:pPr>
              <w:spacing w:after="0"/>
              <w:rPr>
                <w:sz w:val="20"/>
                <w:szCs w:val="20"/>
                <w:color w:val="auto"/>
              </w:rPr>
            </w:pPr>
            <w:r>
              <w:rPr>
                <w:rFonts w:ascii="Arial" w:cs="Arial" w:eastAsia="Arial" w:hAnsi="Arial"/>
                <w:sz w:val="14"/>
                <w:szCs w:val="14"/>
                <w:color w:val="auto"/>
              </w:rPr>
              <w:t>TERM</w:t>
            </w:r>
          </w:p>
        </w:tc>
        <w:tc>
          <w:tcPr>
            <w:tcW w:w="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6"/>
              </w:rPr>
              <w:t>SECTION</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“Bankruptcy Law”</w:t>
            </w: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“Custodian”</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“Event of Default”</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“Judgment Currency”</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“Legal Holiday”</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“mandatory sinking fund payment”</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“Market Exchange Rate”</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10.15</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“New York Banking Day”</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“optional sinking fund payment”</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“Paying Agent”</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“Registrar”</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“Required Currency”</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10.16</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“Service Agent”</w:t>
            </w:r>
          </w:p>
        </w:tc>
        <w:tc>
          <w:tcPr>
            <w:tcW w:w="16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i w:val="1"/>
                <w:iCs w:val="1"/>
                <w:color w:val="auto"/>
              </w:rPr>
              <w:t>“successor person”</w:t>
            </w:r>
          </w:p>
        </w:tc>
        <w:tc>
          <w:tcPr>
            <w:tcW w:w="1640" w:type="dxa"/>
            <w:vAlign w:val="bottom"/>
            <w:gridSpan w:val="2"/>
          </w:tcPr>
          <w:p>
            <w:pPr>
              <w:jc w:val="right"/>
              <w:ind w:right="264"/>
              <w:spacing w:after="0"/>
              <w:rPr>
                <w:sz w:val="20"/>
                <w:szCs w:val="20"/>
                <w:color w:val="auto"/>
              </w:rPr>
            </w:pPr>
            <w:r>
              <w:rPr>
                <w:rFonts w:ascii="Arial" w:cs="Arial" w:eastAsia="Arial" w:hAnsi="Arial"/>
                <w:sz w:val="18"/>
                <w:szCs w:val="18"/>
                <w:color w:val="auto"/>
              </w:rPr>
              <w:t>5.1</w:t>
            </w: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TIA terms used in this Indenture have the following meanings: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means the SEC.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Securityholder.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indenture securities means the Company and any successor obligor upon the Securities.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ind w:right="160" w:firstLine="215"/>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480" w:hanging="24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“or” </w:t>
      </w:r>
      <w:r>
        <w:rPr>
          <w:rFonts w:ascii="Arial" w:cs="Arial" w:eastAsia="Arial" w:hAnsi="Arial"/>
          <w:sz w:val="18"/>
          <w:szCs w:val="18"/>
          <w:color w:val="auto"/>
        </w:rPr>
        <w:t>is not exclusive;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SECURITIES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supplemental indenture or Officers’ Certificate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p>
    <w:p>
      <w:pPr>
        <w:spacing w:after="0" w:line="117" w:lineRule="exact"/>
        <w:rPr>
          <w:sz w:val="20"/>
          <w:szCs w:val="20"/>
          <w:color w:val="auto"/>
        </w:rPr>
      </w:pPr>
    </w:p>
    <w:p>
      <w:pPr>
        <w:ind w:right="200" w:firstLine="215"/>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2.2.25) by or pursuant to a Board Resolution, and set forth or determined in the manner provided in a Board Resolution, supplemental indenture or Officers’ Certificate: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2.2.1 the title of the Series (which shall distinguish the Securities of that particular Series from the Securities of any other Series);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2.2.2 the price or prices (expressed as a percentage of the principal amount thereof) at which the Securities of the Series will be issued;</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upon registration of transfer of, or in exchange for, or in lieu of, other Securities of the Series pursuant to Section 2.7, 2.8, 2.11, 3.6 or 9.6);</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7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62"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3"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2.2.10 if other than denominations of $1,000 and any integral multiple thereof, the denominations in which the Securities of the Series shall be issuable;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2.2.13 the currency of denomination of the Securities of the Series, which may be Dollars or any Foreign Currency;</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62"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4" w:name="page65"/>
    <w:bookmarkEnd w:id="64"/>
    <w:p>
      <w:pPr>
        <w:ind w:right="140" w:firstLine="225"/>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other than that which the Securities are denominated or designated to be payable or by reference to a commodity, commodity index, stock exchange index or financial index;</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2.2.19 any addition to or change in the covenants set forth in Articles IV or V which applies to Securities of the Series;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2.2.20 whether the Securities of the Series will be listed on a securities exchange;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2.2.21 the initial public offering price, if any has been established for the Securities of the Series;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2.2.22 any other terms of the Securities of the Series (which may supplement, modify or delete any provision of this Indenture insofar as it applies to such Series);</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2.2.23 any depositaries, interest rate calculation agents, exchange rate calculation agents or other agents with respect to Securities of such Series if other than those appointed herein;</w:t>
      </w:r>
    </w:p>
    <w:p>
      <w:pPr>
        <w:spacing w:after="0" w:line="62"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2.2.24 the provisions, if any, relating to conversion of any Securities of such Series, including if applicable, the conversion price, the conversion period, provisions as to whether conversion will be mandatory, at the option of the Holders thereof or at the option of the Company, the events requiring an adjustment of the conversion price and provisions affecting conversion if such Series of Securities are redeemed; and</w:t>
      </w:r>
    </w:p>
    <w:p>
      <w:pPr>
        <w:spacing w:after="0" w:line="57"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2.2.25 whether the Securities of such Series will be senior debt securities or subordinated debt securities and, if applicable, a description of the subordination terms thereof.</w:t>
      </w:r>
    </w:p>
    <w:p>
      <w:pPr>
        <w:spacing w:after="0" w:line="62" w:lineRule="exact"/>
        <w:rPr>
          <w:sz w:val="20"/>
          <w:szCs w:val="20"/>
          <w:color w:val="auto"/>
        </w:rPr>
      </w:pPr>
    </w:p>
    <w:p>
      <w:pPr>
        <w:ind w:right="20" w:firstLine="215"/>
        <w:spacing w:after="0" w:line="277"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140" w:lineRule="exact"/>
        <w:rPr>
          <w:sz w:val="20"/>
          <w:szCs w:val="20"/>
          <w:color w:val="auto"/>
        </w:rPr>
      </w:pPr>
    </w:p>
    <w:p>
      <w:pPr>
        <w:ind w:right="460" w:firstLine="215"/>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65" w:name="page66"/>
    <w:bookmarkEnd w:id="65"/>
    <w:p>
      <w:pPr>
        <w:ind w:right="160" w:firstLine="222"/>
        <w:spacing w:after="0" w:line="257"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8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7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 presidents shall determine that such action would expose the Trustee to personal liability to Holders of any then outstanding Series of Securities.</w:t>
      </w:r>
    </w:p>
    <w:p>
      <w:pPr>
        <w:spacing w:after="0" w:line="79" w:lineRule="exact"/>
        <w:rPr>
          <w:sz w:val="20"/>
          <w:szCs w:val="20"/>
          <w:color w:val="auto"/>
        </w:rPr>
      </w:pPr>
    </w:p>
    <w:p>
      <w:pPr>
        <w:ind w:right="540" w:firstLine="222"/>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Registrar and Paying Agent</w:t>
      </w:r>
    </w:p>
    <w:p>
      <w:pPr>
        <w:spacing w:after="0" w:line="117"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89"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6" w:name="page67"/>
    <w:bookmarkEnd w:id="66"/>
    <w:p>
      <w:pPr>
        <w:ind w:right="260"/>
        <w:spacing w:after="0" w:line="277" w:lineRule="auto"/>
        <w:rPr>
          <w:sz w:val="20"/>
          <w:szCs w:val="20"/>
          <w:color w:val="auto"/>
        </w:rPr>
      </w:pPr>
      <w:r>
        <w:rPr>
          <w:rFonts w:ascii="Arial" w:cs="Arial" w:eastAsia="Arial" w:hAnsi="Arial"/>
          <w:sz w:val="18"/>
          <w:szCs w:val="18"/>
          <w:color w:val="auto"/>
        </w:rPr>
        <w:t>obligations to maintain a Registrar, Paying Agent and Service Agent in each place so specified pursuant to Section 2.2 for Securities of any Series for such purposes.</w:t>
      </w:r>
    </w:p>
    <w:p>
      <w:pPr>
        <w:spacing w:after="0" w:line="62"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p>
    <w:p>
      <w:pPr>
        <w:spacing w:after="0" w:line="117" w:lineRule="exact"/>
        <w:rPr>
          <w:sz w:val="20"/>
          <w:szCs w:val="20"/>
          <w:color w:val="auto"/>
        </w:rPr>
      </w:pPr>
    </w:p>
    <w:p>
      <w:pPr>
        <w:jc w:val="both"/>
        <w:ind w:right="20" w:firstLine="222"/>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or the Trustee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and ending at the close of business on the day of such mailing, or (b) thereafter to issue, register the transfer of or exchange (i) any Securities of a Series for which notice has been given calling for redemption of such Series as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whole, or (ii) that portion of the Securities of a Series to be redeemed for which notice has been given calling for redemption of the Series in part.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p>
    <w:p>
      <w:pPr>
        <w:spacing w:after="0" w:line="117"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38"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64"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62"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3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8" w:name="page69"/>
    <w:bookmarkEnd w:id="68"/>
    <w:p>
      <w:pPr>
        <w:ind w:right="20" w:firstLine="225"/>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p>
    <w:p>
      <w:pPr>
        <w:spacing w:after="0" w:line="117"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upon the Company’s written request, deliver a certificate of such destruction to the Company. The Company may not issue new Securities to replace Securities that it has paid or delivered to the Trustee for cancellation.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required by the notes in such Series and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Global Securities</w:t>
      </w:r>
    </w:p>
    <w:p>
      <w:pPr>
        <w:spacing w:after="0" w:line="117" w:lineRule="exact"/>
        <w:rPr>
          <w:sz w:val="20"/>
          <w:szCs w:val="20"/>
          <w:color w:val="auto"/>
        </w:rPr>
      </w:pPr>
    </w:p>
    <w:p>
      <w:pPr>
        <w:ind w:right="420" w:firstLine="225"/>
        <w:spacing w:after="0" w:line="34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9" w:name="page70"/>
    <w:bookmarkEnd w:id="69"/>
    <w:p>
      <w:pPr>
        <w:ind w:firstLine="225"/>
        <w:spacing w:after="0" w:line="271" w:lineRule="auto"/>
        <w:rPr>
          <w:sz w:val="20"/>
          <w:szCs w:val="20"/>
          <w:color w:val="auto"/>
        </w:rPr>
      </w:pPr>
      <w:r>
        <w:rPr>
          <w:rFonts w:ascii="Arial" w:cs="Arial" w:eastAsia="Arial" w:hAnsi="Arial"/>
          <w:sz w:val="17"/>
          <w:szCs w:val="17"/>
          <w:color w:val="auto"/>
        </w:rPr>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7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80"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38"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62"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p>
    <w:p>
      <w:pPr>
        <w:spacing w:after="0" w:line="117"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promptly notify the Trustee of any Series, in writing, of any change in the “CUSIP” numbers of that Series.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30 days before the redemption date (or such shorter notice as may be acceptable to the Trustee).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p>
    <w:p>
      <w:pPr>
        <w:spacing w:after="0" w:line="117" w:lineRule="exact"/>
        <w:rPr>
          <w:sz w:val="20"/>
          <w:szCs w:val="20"/>
          <w:color w:val="auto"/>
        </w:rPr>
      </w:pPr>
    </w:p>
    <w:p>
      <w:pPr>
        <w:ind w:right="180" w:firstLine="225"/>
        <w:spacing w:after="0" w:line="272" w:lineRule="auto"/>
        <w:rPr>
          <w:sz w:val="20"/>
          <w:szCs w:val="20"/>
          <w:color w:val="auto"/>
        </w:rPr>
      </w:pPr>
      <w:r>
        <w:rPr>
          <w:rFonts w:ascii="Arial" w:cs="Arial" w:eastAsia="Arial" w:hAnsi="Arial"/>
          <w:sz w:val="17"/>
          <w:szCs w:val="17"/>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117" w:lineRule="exact"/>
        <w:rPr>
          <w:sz w:val="20"/>
          <w:szCs w:val="20"/>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ind w:left="460" w:hanging="227"/>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117" w:lineRule="exact"/>
        <w:rPr>
          <w:rFonts w:ascii="Arial" w:cs="Arial" w:eastAsia="Arial" w:hAnsi="Arial"/>
          <w:sz w:val="18"/>
          <w:szCs w:val="18"/>
          <w:color w:val="auto"/>
        </w:rPr>
      </w:pPr>
    </w:p>
    <w:p>
      <w:pPr>
        <w:ind w:left="220" w:right="2060" w:firstLine="13"/>
        <w:spacing w:after="0" w:line="422" w:lineRule="auto"/>
        <w:tabs>
          <w:tab w:leader="none" w:pos="48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information as may be required by the terms of the particular Series or the Securities of a Series being redeemed. At the Company’s request, the Trustee shall give the notice of redemption in the Company’s name and at its expense.</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On or before 10:00 a.m., New York City time, on the redemption date, the Company shall deposit with the Paying Agent money sufficient to pay the redemption price of and accrued interest, if any, on all Securities to be redeemed on that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firstLine="222"/>
        <w:spacing w:after="0" w:line="293" w:lineRule="auto"/>
        <w:rPr>
          <w:sz w:val="20"/>
          <w:szCs w:val="20"/>
          <w:color w:val="auto"/>
        </w:rPr>
      </w:pPr>
      <w:r>
        <w:rPr>
          <w:rFonts w:ascii="Arial" w:cs="Arial" w:eastAsia="Arial" w:hAnsi="Arial"/>
          <w:sz w:val="16"/>
          <w:szCs w:val="16"/>
          <w:color w:val="auto"/>
        </w:rPr>
        <w:t>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57"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Corporate Existence</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Subject to Article V, the Company will do or cause to be done all things necessary to preserve and keep in full force and effect its corporate existence and rights (charter and statutory); provided, however,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62" w:lineRule="exact"/>
        <w:rPr>
          <w:sz w:val="20"/>
          <w:szCs w:val="20"/>
          <w:color w:val="auto"/>
        </w:rPr>
      </w:pPr>
    </w:p>
    <w:p>
      <w:pPr>
        <w:ind w:right="60" w:firstLine="233"/>
        <w:spacing w:after="0" w:line="264" w:lineRule="auto"/>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the Company’s obligations on the Securities and under this Indenture;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right="360" w:firstLine="222"/>
        <w:spacing w:after="0" w:line="277" w:lineRule="auto"/>
        <w:rPr>
          <w:sz w:val="20"/>
          <w:szCs w:val="20"/>
          <w:color w:val="auto"/>
        </w:rPr>
      </w:pPr>
      <w:r>
        <w:rPr>
          <w:rFonts w:ascii="Arial" w:cs="Arial" w:eastAsia="Arial" w:hAnsi="Arial"/>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Neither an Officers’ Certificate nor an Opinion of Counsel shall be required to be delivered in connection therewith.</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i w:val="1"/>
          <w:iCs w:val="1"/>
          <w:color w:val="auto"/>
        </w:rPr>
        <w:t xml:space="preserve">“Event of Default” </w:t>
      </w:r>
      <w:r>
        <w:rPr>
          <w:rFonts w:ascii="Arial" w:cs="Arial" w:eastAsia="Arial" w:hAnsi="Arial"/>
          <w:sz w:val="17"/>
          <w:szCs w:val="17"/>
          <w:color w:val="auto"/>
        </w:rPr>
        <w:t>wherever used herein with respect to Securities of any Series, means any one of the following events, unless in the establishing Board</w:t>
      </w:r>
      <w:r>
        <w:rPr>
          <w:rFonts w:ascii="Arial" w:cs="Arial" w:eastAsia="Arial" w:hAnsi="Arial"/>
          <w:sz w:val="17"/>
          <w:szCs w:val="17"/>
          <w:i w:val="1"/>
          <w:iCs w:val="1"/>
          <w:color w:val="auto"/>
        </w:rPr>
        <w:t xml:space="preserve"> </w:t>
      </w:r>
      <w:r>
        <w:rPr>
          <w:rFonts w:ascii="Arial" w:cs="Arial" w:eastAsia="Arial" w:hAnsi="Arial"/>
          <w:sz w:val="17"/>
          <w:szCs w:val="17"/>
          <w:color w:val="auto"/>
        </w:rPr>
        <w:t>Resolution, supplemental indenture or Officers’ Certificate, it is provided that such Series shall not have the benefit of said Event of Default:</w:t>
      </w:r>
    </w:p>
    <w:p>
      <w:pPr>
        <w:spacing w:after="0" w:line="38" w:lineRule="exact"/>
        <w:rPr>
          <w:sz w:val="20"/>
          <w:szCs w:val="20"/>
          <w:color w:val="auto"/>
        </w:rPr>
      </w:pPr>
    </w:p>
    <w:p>
      <w:pPr>
        <w:ind w:left="660" w:right="140" w:hanging="43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or</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130" w:lineRule="exact"/>
        <w:rPr>
          <w:rFonts w:ascii="Arial" w:cs="Arial" w:eastAsia="Arial" w:hAnsi="Arial"/>
          <w:sz w:val="18"/>
          <w:szCs w:val="18"/>
          <w:color w:val="auto"/>
        </w:rPr>
      </w:pPr>
    </w:p>
    <w:p>
      <w:pPr>
        <w:ind w:left="660" w:right="60" w:hanging="436"/>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in this Indenture (other than a covenant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93" w:lineRule="exact"/>
        <w:rPr>
          <w:rFonts w:ascii="Arial" w:cs="Arial" w:eastAsia="Arial" w:hAnsi="Arial"/>
          <w:sz w:val="18"/>
          <w:szCs w:val="18"/>
          <w:color w:val="auto"/>
        </w:rPr>
      </w:pPr>
    </w:p>
    <w:p>
      <w:pPr>
        <w:ind w:left="660" w:hanging="43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left="1120" w:hanging="437"/>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admits in writing of its inability to pay its debts generally as the same become due; or</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131" w:lineRule="exact"/>
        <w:rPr>
          <w:sz w:val="20"/>
          <w:szCs w:val="20"/>
          <w:color w:val="auto"/>
        </w:rPr>
      </w:pPr>
    </w:p>
    <w:p>
      <w:pPr>
        <w:ind w:left="660" w:right="380" w:hanging="436"/>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62" w:lineRule="exact"/>
        <w:rPr>
          <w:sz w:val="20"/>
          <w:szCs w:val="20"/>
          <w:color w:val="auto"/>
        </w:rPr>
      </w:pPr>
    </w:p>
    <w:p>
      <w:pPr>
        <w:ind w:right="840" w:firstLine="222"/>
        <w:spacing w:after="0" w:line="277" w:lineRule="auto"/>
        <w:rPr>
          <w:sz w:val="20"/>
          <w:szCs w:val="20"/>
          <w:color w:val="auto"/>
        </w:rPr>
      </w:pPr>
      <w:r>
        <w:rPr>
          <w:rFonts w:ascii="Arial" w:cs="Arial" w:eastAsia="Arial" w:hAnsi="Arial"/>
          <w:sz w:val="18"/>
          <w:szCs w:val="18"/>
          <w:color w:val="auto"/>
        </w:rPr>
        <w:t>The term “Bankruptcy Law” means Title 11 of the United States Code or any similar U.S. federal or state law for the relief of debtors. The term “Custodian” means any receiver, trustee, assignee, liquidator or similar official under any Bankruptcy Law.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71"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of the Securities of that Series which have become due solely by such declaration of acceleration, have been cured or waived as provided in Section 6.13 and the Company has paid to the Trustee all fees and expenses then owed to the Trustee hereunder.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ind w:left="24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Collection of Indebtedness and Suits for Enforcement by Trustee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660" w:right="140" w:hanging="436"/>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then</w:t>
      </w:r>
      <w:r>
        <w:rPr>
          <w:rFonts w:ascii="Arial" w:cs="Arial" w:eastAsia="Arial" w:hAnsi="Arial"/>
          <w:sz w:val="16"/>
          <w:szCs w:val="16"/>
          <w:color w:val="auto"/>
        </w:rPr>
        <w:t>, 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46"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6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p>
    <w:p>
      <w:pPr>
        <w:spacing w:after="0" w:line="117"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80" w:lineRule="exact"/>
        <w:rPr>
          <w:sz w:val="20"/>
          <w:szCs w:val="20"/>
          <w:color w:val="auto"/>
        </w:rPr>
      </w:pPr>
    </w:p>
    <w:p>
      <w:pPr>
        <w:ind w:left="660" w:right="60" w:hanging="436"/>
        <w:spacing w:after="0" w:line="31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52" w:lineRule="exact"/>
        <w:rPr>
          <w:rFonts w:ascii="Arial" w:cs="Arial" w:eastAsia="Arial" w:hAnsi="Arial"/>
          <w:sz w:val="16"/>
          <w:szCs w:val="16"/>
          <w:color w:val="auto"/>
        </w:rPr>
      </w:pPr>
    </w:p>
    <w:p>
      <w:pPr>
        <w:ind w:left="660" w:hanging="43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79" w:lineRule="exact"/>
        <w:rPr>
          <w:sz w:val="20"/>
          <w:szCs w:val="20"/>
          <w:color w:val="auto"/>
        </w:rPr>
      </w:pPr>
    </w:p>
    <w:p>
      <w:pPr>
        <w:jc w:val="both"/>
        <w:ind w:right="440" w:firstLine="225"/>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p>
    <w:p>
      <w:pPr>
        <w:spacing w:after="0" w:line="11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p>
    <w:p>
      <w:pPr>
        <w:spacing w:after="0" w:line="117" w:lineRule="exact"/>
        <w:rPr>
          <w:sz w:val="20"/>
          <w:szCs w:val="20"/>
          <w:color w:val="auto"/>
        </w:rPr>
      </w:pPr>
    </w:p>
    <w:p>
      <w:pPr>
        <w:jc w:val="both"/>
        <w:ind w:firstLine="215"/>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Third: To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660" w:hanging="43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 that Series;</w:t>
      </w:r>
    </w:p>
    <w:p>
      <w:pPr>
        <w:spacing w:after="0" w:line="142" w:lineRule="exact"/>
        <w:rPr>
          <w:rFonts w:ascii="Arial" w:cs="Arial" w:eastAsia="Arial" w:hAnsi="Arial"/>
          <w:sz w:val="17"/>
          <w:szCs w:val="17"/>
          <w:color w:val="auto"/>
        </w:rPr>
      </w:pPr>
    </w:p>
    <w:p>
      <w:pPr>
        <w:ind w:left="660" w:right="260" w:hanging="43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3" w:right="299" w:bottom="1440" w:gutter="0" w:footer="0" w:header="0"/>
        </w:sectPr>
      </w:pPr>
    </w:p>
    <w:bookmarkStart w:id="77" w:name="page78"/>
    <w:bookmarkEnd w:id="77"/>
    <w:p>
      <w:pPr>
        <w:ind w:left="660" w:right="40" w:hanging="43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30"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Restoration of Rights and Remedies</w:t>
      </w:r>
    </w:p>
    <w:p>
      <w:pPr>
        <w:spacing w:after="0" w:line="117" w:lineRule="exact"/>
        <w:rPr>
          <w:sz w:val="20"/>
          <w:szCs w:val="20"/>
          <w:color w:val="auto"/>
        </w:rPr>
      </w:pPr>
    </w:p>
    <w:p>
      <w:pPr>
        <w:jc w:val="both"/>
        <w:ind w:right="140" w:firstLine="225"/>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p>
    <w:p>
      <w:pPr>
        <w:spacing w:after="0" w:line="117"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2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660" w:hanging="4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30" w:lineRule="exact"/>
        <w:rPr>
          <w:rFonts w:ascii="Arial" w:cs="Arial" w:eastAsia="Arial" w:hAnsi="Arial"/>
          <w:sz w:val="18"/>
          <w:szCs w:val="18"/>
          <w:color w:val="auto"/>
        </w:rPr>
      </w:pPr>
    </w:p>
    <w:p>
      <w:pPr>
        <w:ind w:left="660" w:right="40" w:hanging="436"/>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Undertaking for Costs</w:t>
      </w:r>
    </w:p>
    <w:p>
      <w:pPr>
        <w:spacing w:after="0" w:line="117" w:lineRule="exact"/>
        <w:rPr>
          <w:sz w:val="20"/>
          <w:szCs w:val="20"/>
          <w:color w:val="auto"/>
        </w:rPr>
      </w:pPr>
    </w:p>
    <w:p>
      <w:pPr>
        <w:ind w:right="60" w:firstLine="215"/>
        <w:spacing w:after="0" w:line="290"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p>
    <w:p>
      <w:pPr>
        <w:spacing w:after="0" w:line="117" w:lineRule="exact"/>
        <w:rPr>
          <w:sz w:val="20"/>
          <w:szCs w:val="20"/>
          <w:color w:val="auto"/>
        </w:rPr>
      </w:pPr>
    </w:p>
    <w:p>
      <w:pPr>
        <w:ind w:left="660" w:right="20" w:hanging="43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its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t>exercise as a prudent man would exercise or use under the circumstances in the conduct of his own affairs.</w:t>
      </w:r>
    </w:p>
    <w:p>
      <w:pPr>
        <w:spacing w:after="0" w:line="131"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900" w:hanging="43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130" w:lineRule="exact"/>
        <w:rPr>
          <w:rFonts w:ascii="Arial" w:cs="Arial" w:eastAsia="Arial" w:hAnsi="Arial"/>
          <w:sz w:val="18"/>
          <w:szCs w:val="18"/>
          <w:color w:val="auto"/>
        </w:rPr>
      </w:pPr>
    </w:p>
    <w:p>
      <w:pPr>
        <w:ind w:left="900" w:right="40" w:hanging="437"/>
        <w:spacing w:after="0" w:line="25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80" w:lineRule="exact"/>
        <w:rPr>
          <w:rFonts w:ascii="Arial" w:cs="Arial" w:eastAsia="Arial" w:hAnsi="Arial"/>
          <w:sz w:val="18"/>
          <w:szCs w:val="18"/>
          <w:color w:val="auto"/>
        </w:rPr>
      </w:pPr>
    </w:p>
    <w:p>
      <w:pPr>
        <w:ind w:left="440" w:hanging="436"/>
        <w:spacing w:after="0"/>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140" w:lineRule="exact"/>
        <w:rPr>
          <w:rFonts w:ascii="Arial" w:cs="Arial" w:eastAsia="Arial" w:hAnsi="Arial"/>
          <w:sz w:val="16"/>
          <w:szCs w:val="16"/>
          <w:color w:val="auto"/>
        </w:rPr>
      </w:pPr>
    </w:p>
    <w:p>
      <w:pPr>
        <w:ind w:left="900" w:hanging="43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130" w:lineRule="exact"/>
        <w:rPr>
          <w:rFonts w:ascii="Arial" w:cs="Arial" w:eastAsia="Arial" w:hAnsi="Arial"/>
          <w:sz w:val="18"/>
          <w:szCs w:val="18"/>
          <w:color w:val="auto"/>
        </w:rPr>
      </w:pPr>
    </w:p>
    <w:p>
      <w:pPr>
        <w:ind w:left="900" w:right="120" w:hanging="437"/>
        <w:spacing w:after="0" w:line="277"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75" w:lineRule="exact"/>
        <w:rPr>
          <w:rFonts w:ascii="Arial" w:cs="Arial" w:eastAsia="Arial" w:hAnsi="Arial"/>
          <w:sz w:val="18"/>
          <w:szCs w:val="18"/>
          <w:color w:val="auto"/>
        </w:rPr>
      </w:pPr>
    </w:p>
    <w:p>
      <w:pPr>
        <w:ind w:left="900" w:right="60" w:hanging="437"/>
        <w:spacing w:after="0" w:line="279" w:lineRule="auto"/>
        <w:tabs>
          <w:tab w:leader="none" w:pos="9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63" w:lineRule="exact"/>
        <w:rPr>
          <w:rFonts w:ascii="Arial" w:cs="Arial" w:eastAsia="Arial" w:hAnsi="Arial"/>
          <w:sz w:val="17"/>
          <w:szCs w:val="17"/>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30" w:lineRule="exact"/>
        <w:rPr>
          <w:rFonts w:ascii="Arial" w:cs="Arial" w:eastAsia="Arial" w:hAnsi="Arial"/>
          <w:sz w:val="18"/>
          <w:szCs w:val="18"/>
          <w:color w:val="auto"/>
        </w:rPr>
      </w:pPr>
    </w:p>
    <w:p>
      <w:pPr>
        <w:ind w:left="440" w:right="60" w:hanging="436"/>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unless it receives indemnity satisfactory to it against any loss, liability or expense.</w:t>
      </w:r>
    </w:p>
    <w:p>
      <w:pPr>
        <w:spacing w:after="0" w:line="75" w:lineRule="exact"/>
        <w:rPr>
          <w:rFonts w:ascii="Arial" w:cs="Arial" w:eastAsia="Arial" w:hAnsi="Arial"/>
          <w:sz w:val="18"/>
          <w:szCs w:val="18"/>
          <w:color w:val="auto"/>
        </w:rPr>
      </w:pPr>
    </w:p>
    <w:p>
      <w:pPr>
        <w:ind w:left="440" w:right="40" w:hanging="436"/>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75"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6" w:right="259" w:bottom="1440" w:gutter="0" w:footer="0" w:header="0"/>
        </w:sectPr>
      </w:pPr>
    </w:p>
    <w:bookmarkStart w:id="80" w:name="page81"/>
    <w:bookmarkEnd w:id="80"/>
    <w:p>
      <w:pPr>
        <w:ind w:left="440" w:right="160" w:hanging="436"/>
        <w:spacing w:after="0" w:line="277"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immunities and standard of care as are set forth in paragraphs (a), (b) and (c) of this Section with respect to the Trustee.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p>
    <w:p>
      <w:pPr>
        <w:spacing w:after="0" w:line="117" w:lineRule="exact"/>
        <w:rPr>
          <w:sz w:val="20"/>
          <w:szCs w:val="20"/>
          <w:color w:val="auto"/>
        </w:rPr>
      </w:pPr>
    </w:p>
    <w:p>
      <w:pPr>
        <w:ind w:left="440" w:right="100" w:hanging="436"/>
        <w:spacing w:after="0" w:line="308"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51" w:lineRule="exact"/>
        <w:rPr>
          <w:rFonts w:ascii="Arial" w:cs="Arial" w:eastAsia="Arial" w:hAnsi="Arial"/>
          <w:sz w:val="17"/>
          <w:szCs w:val="17"/>
          <w:color w:val="auto"/>
        </w:rPr>
      </w:pPr>
    </w:p>
    <w:p>
      <w:pPr>
        <w:ind w:left="440" w:right="22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The Trustee shall not be liable for any action it takes or omits to take in good faith in reliance on such Officers’ Certificate or Opinion of Counsel.</w:t>
      </w:r>
    </w:p>
    <w:p>
      <w:pPr>
        <w:spacing w:after="0" w:line="75" w:lineRule="exact"/>
        <w:rPr>
          <w:rFonts w:ascii="Arial" w:cs="Arial" w:eastAsia="Arial" w:hAnsi="Arial"/>
          <w:sz w:val="18"/>
          <w:szCs w:val="18"/>
          <w:color w:val="auto"/>
        </w:rPr>
      </w:pPr>
    </w:p>
    <w:p>
      <w:pPr>
        <w:ind w:left="440" w:right="700" w:hanging="436"/>
        <w:spacing w:after="0" w:line="342"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29" w:lineRule="exact"/>
        <w:rPr>
          <w:rFonts w:ascii="Arial" w:cs="Arial" w:eastAsia="Arial" w:hAnsi="Arial"/>
          <w:sz w:val="16"/>
          <w:szCs w:val="16"/>
          <w:color w:val="auto"/>
        </w:rPr>
      </w:pPr>
    </w:p>
    <w:p>
      <w:pPr>
        <w:ind w:left="440" w:right="180" w:hanging="436"/>
        <w:spacing w:after="0" w:line="277"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75" w:lineRule="exact"/>
        <w:rPr>
          <w:rFonts w:ascii="Arial" w:cs="Arial" w:eastAsia="Arial" w:hAnsi="Arial"/>
          <w:sz w:val="18"/>
          <w:szCs w:val="18"/>
          <w:color w:val="auto"/>
        </w:rPr>
      </w:pPr>
    </w:p>
    <w:p>
      <w:pPr>
        <w:ind w:left="440" w:right="600" w:hanging="436"/>
        <w:spacing w:after="0" w:line="342"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29" w:lineRule="exact"/>
        <w:rPr>
          <w:rFonts w:ascii="Arial" w:cs="Arial" w:eastAsia="Arial" w:hAnsi="Arial"/>
          <w:sz w:val="16"/>
          <w:szCs w:val="16"/>
          <w:color w:val="auto"/>
        </w:rPr>
      </w:pPr>
    </w:p>
    <w:p>
      <w:pPr>
        <w:ind w:left="440" w:hanging="436"/>
        <w:spacing w:after="0" w:line="264"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86" w:lineRule="exact"/>
        <w:rPr>
          <w:rFonts w:ascii="Arial" w:cs="Arial" w:eastAsia="Arial" w:hAnsi="Arial"/>
          <w:sz w:val="18"/>
          <w:szCs w:val="18"/>
          <w:color w:val="auto"/>
        </w:rPr>
      </w:pPr>
    </w:p>
    <w:p>
      <w:pPr>
        <w:ind w:left="440" w:right="20" w:hanging="436"/>
        <w:spacing w:after="0" w:line="286"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70" w:lineRule="exact"/>
        <w:rPr>
          <w:rFonts w:ascii="Arial" w:cs="Arial" w:eastAsia="Arial" w:hAnsi="Arial"/>
          <w:sz w:val="17"/>
          <w:szCs w:val="17"/>
          <w:color w:val="auto"/>
        </w:rPr>
      </w:pPr>
    </w:p>
    <w:p>
      <w:pPr>
        <w:ind w:left="440" w:right="100" w:hanging="436"/>
        <w:spacing w:after="0" w:line="286"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70" w:lineRule="exact"/>
        <w:rPr>
          <w:rFonts w:ascii="Arial" w:cs="Arial" w:eastAsia="Arial" w:hAnsi="Arial"/>
          <w:sz w:val="17"/>
          <w:szCs w:val="17"/>
          <w:color w:val="auto"/>
        </w:rPr>
      </w:pPr>
    </w:p>
    <w:p>
      <w:pPr>
        <w:ind w:left="440" w:right="280" w:hanging="436"/>
        <w:spacing w:after="0" w:line="259"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an Officers’ Certificate setting forth the names of the individuals and/or titles of Officers authorized at such time to take specific actions pursuant to this Indenture, which Officers’ Certificate may be signed by any persons authorized to sign an Officers’ Certificate, including any persons specified as so authorized in any such Officers’ Certificate previously delivered and not superseded.</w:t>
      </w:r>
    </w:p>
    <w:p>
      <w:pPr>
        <w:spacing w:after="0" w:line="1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81" w:name="page82"/>
    <w:bookmarkEnd w:id="81"/>
    <w:p>
      <w:pPr>
        <w:ind w:left="660" w:hanging="43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30" w:lineRule="exact"/>
        <w:rPr>
          <w:rFonts w:ascii="Arial" w:cs="Arial" w:eastAsia="Arial" w:hAnsi="Arial"/>
          <w:sz w:val="18"/>
          <w:szCs w:val="18"/>
          <w:color w:val="auto"/>
        </w:rPr>
      </w:pPr>
    </w:p>
    <w:p>
      <w:pPr>
        <w:ind w:left="660" w:right="120" w:hanging="436"/>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enforced by, the Trustee in each of its capacities hereunder, and to each agent, custodian and other person employed to act hereunder.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p>
    <w:p>
      <w:pPr>
        <w:spacing w:after="0" w:line="117"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Within 60 days after May 15 in each year, the Trustee shall transmit by mail to all Securityholders, as their names and addresses appear on the register kept by the Registrar, a brief report dated as of such May 15, in accordance with, and to the extent required under, TIA § 313.</w:t>
      </w:r>
    </w:p>
    <w:p>
      <w:pPr>
        <w:spacing w:after="0" w:line="62" w:lineRule="exact"/>
        <w:rPr>
          <w:sz w:val="20"/>
          <w:szCs w:val="20"/>
          <w:color w:val="auto"/>
        </w:rPr>
      </w:pPr>
    </w:p>
    <w:p>
      <w:pPr>
        <w:ind w:right="660" w:firstLine="215"/>
        <w:spacing w:after="0" w:line="342" w:lineRule="auto"/>
        <w:rPr>
          <w:sz w:val="20"/>
          <w:szCs w:val="20"/>
          <w:color w:val="auto"/>
        </w:rPr>
      </w:pPr>
      <w:r>
        <w:rPr>
          <w:rFonts w:ascii="Arial" w:cs="Arial" w:eastAsia="Arial" w:hAnsi="Arial"/>
          <w:sz w:val="16"/>
          <w:szCs w:val="16"/>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p>
    <w:p>
      <w:pPr>
        <w:spacing w:after="0" w:line="117"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79"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The Company shall indemnify each of the Trustee and any predecessor Trustee (including the cost of defending itself) against any loss, liability or expense, including taxes (other than taxes based upon,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spacing w:after="0" w:line="276" w:lineRule="auto"/>
        <w:rPr>
          <w:sz w:val="20"/>
          <w:szCs w:val="20"/>
          <w:color w:val="auto"/>
        </w:rPr>
      </w:pPr>
      <w:r>
        <w:rPr>
          <w:rFonts w:ascii="Arial" w:cs="Arial" w:eastAsia="Arial" w:hAnsi="Arial"/>
          <w:sz w:val="17"/>
          <w:szCs w:val="17"/>
          <w:color w:val="auto"/>
        </w:rPr>
        <w:t>measured by or determined by the income of the Trustee) incurred by it except as set forth in the next paragraph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64"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62" w:lineRule="exact"/>
        <w:rPr>
          <w:sz w:val="20"/>
          <w:szCs w:val="20"/>
          <w:color w:val="auto"/>
        </w:rPr>
      </w:pPr>
    </w:p>
    <w:p>
      <w:pPr>
        <w:ind w:right="220" w:firstLine="222"/>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38" w:lineRule="exact"/>
        <w:rPr>
          <w:sz w:val="20"/>
          <w:szCs w:val="20"/>
          <w:color w:val="auto"/>
        </w:rPr>
      </w:pPr>
    </w:p>
    <w:p>
      <w:pPr>
        <w:ind w:right="1000" w:firstLine="222"/>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provisions of this Section shall survive the resignation or removal of the Trustee and the termination of this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p>
    <w:p>
      <w:pPr>
        <w:spacing w:after="0" w:line="117"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62" w:lineRule="exact"/>
        <w:rPr>
          <w:sz w:val="20"/>
          <w:szCs w:val="20"/>
          <w:color w:val="auto"/>
        </w:rPr>
      </w:pPr>
    </w:p>
    <w:p>
      <w:pPr>
        <w:jc w:val="both"/>
        <w:ind w:right="80" w:firstLine="222"/>
        <w:spacing w:after="0" w:line="286" w:lineRule="auto"/>
        <w:rPr>
          <w:sz w:val="20"/>
          <w:szCs w:val="20"/>
          <w:color w:val="auto"/>
        </w:rPr>
      </w:pPr>
      <w:r>
        <w:rPr>
          <w:rFonts w:ascii="Arial" w:cs="Arial" w:eastAsia="Arial" w:hAnsi="Arial"/>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57"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 Bankruptcy Law;</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7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3" w:name="page84"/>
    <w:bookmarkEnd w:id="83"/>
    <w:p>
      <w:pPr>
        <w:ind w:right="860"/>
        <w:spacing w:after="0" w:line="277" w:lineRule="auto"/>
        <w:rPr>
          <w:sz w:val="20"/>
          <w:szCs w:val="20"/>
          <w:color w:val="auto"/>
        </w:rPr>
      </w:pPr>
      <w:r>
        <w:rPr>
          <w:rFonts w:ascii="Arial" w:cs="Arial" w:eastAsia="Arial" w:hAnsi="Arial"/>
          <w:sz w:val="18"/>
          <w:szCs w:val="18"/>
          <w:color w:val="auto"/>
        </w:rPr>
        <w:t>Holders of at least a majority in principal amount of the Securities of the applicable Series may petition any court of competent jurisdiction for the appointment of a successor Trustee.</w:t>
      </w:r>
    </w:p>
    <w:p>
      <w:pPr>
        <w:spacing w:after="0" w:line="62"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Indenture shall always have a Trustee who satisfies the requirements of TIA § 310(a)(1), (2) and (5). The Trustee shall always have a combined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capital and surplus of at least $25,000,000 as set forth in its most recent published annual report of condition. The Trustee shall comply with TIA § 310(b).</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 DEFEASANCE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if so requested by the Company, shall at the expense of the Company execute proper instruments acknowledging satisfaction and discharge of this Indenture, when</w:t>
      </w:r>
    </w:p>
    <w:p>
      <w:pPr>
        <w:spacing w:after="0" w:line="73"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1120" w:right="120" w:hanging="437"/>
        <w:spacing w:after="0" w:line="259"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(1) Securities that have been destroyed, lost or stolen and that have been replaced or paid as provided in Section 2.8 and (2) Securities for whose payment money has theretofore been deposited in trust or segregated and held in trust by the Company and thereafter repaid to the Company or discharged from such trust, as provided in Section 8.5, as applicable) have been delivered to the Trustee for cancellation; or</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4" w:name="page85"/>
    <w:bookmarkEnd w:id="84"/>
    <w:p>
      <w:pPr>
        <w:ind w:left="1580" w:hanging="438"/>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30" w:lineRule="exact"/>
        <w:rPr>
          <w:rFonts w:ascii="Arial" w:cs="Arial" w:eastAsia="Arial" w:hAnsi="Arial"/>
          <w:sz w:val="18"/>
          <w:szCs w:val="18"/>
          <w:color w:val="auto"/>
        </w:rPr>
      </w:pPr>
    </w:p>
    <w:p>
      <w:pPr>
        <w:ind w:left="1580" w:hanging="438"/>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30" w:lineRule="exact"/>
        <w:rPr>
          <w:rFonts w:ascii="Arial" w:cs="Arial" w:eastAsia="Arial" w:hAnsi="Arial"/>
          <w:sz w:val="18"/>
          <w:szCs w:val="18"/>
          <w:color w:val="auto"/>
        </w:rPr>
      </w:pPr>
    </w:p>
    <w:p>
      <w:pPr>
        <w:ind w:left="1580" w:hanging="438"/>
        <w:spacing w:after="0" w:line="277" w:lineRule="auto"/>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75" w:lineRule="exact"/>
        <w:rPr>
          <w:rFonts w:ascii="Arial" w:cs="Arial" w:eastAsia="Arial" w:hAnsi="Arial"/>
          <w:sz w:val="18"/>
          <w:szCs w:val="18"/>
          <w:color w:val="auto"/>
        </w:rPr>
      </w:pPr>
    </w:p>
    <w:p>
      <w:pPr>
        <w:ind w:left="1580" w:hanging="438"/>
        <w:spacing w:after="0"/>
        <w:tabs>
          <w:tab w:leader="none" w:pos="1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and the Company, in the case of (1), (2) or (3) above, has deposited or caused to be deposited with the Trustee as trust funds in trust for such purpose, money or U.S. Government Obligations or a combination thereof sufficient (unless funds consist solely of money) in the opinion of a nationally recognized firm of independent public accountants expressed in a written certification thereof delivered to the Trustee, without consideration of any reinvestment, to pay and discharge the entire indebtedness on such Securities not theretofore delivered to the Trustee for cancellation, for principal and interest to the date of such deposit (in the case of Securities which have become due and payable) or to the Stated Maturity or Redemption Date, as the case may be;</w:t>
      </w:r>
    </w:p>
    <w:p>
      <w:pPr>
        <w:spacing w:after="0" w:line="50" w:lineRule="exact"/>
        <w:rPr>
          <w:sz w:val="20"/>
          <w:szCs w:val="20"/>
          <w:color w:val="auto"/>
        </w:rPr>
      </w:pPr>
    </w:p>
    <w:p>
      <w:pPr>
        <w:ind w:left="660" w:hanging="43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30" w:lineRule="exact"/>
        <w:rPr>
          <w:rFonts w:ascii="Arial" w:cs="Arial" w:eastAsia="Arial" w:hAnsi="Arial"/>
          <w:sz w:val="18"/>
          <w:szCs w:val="18"/>
          <w:color w:val="auto"/>
        </w:rPr>
      </w:pPr>
    </w:p>
    <w:p>
      <w:pPr>
        <w:ind w:left="660" w:right="540" w:hanging="43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62"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8.5 and 8.6 shall survive.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p>
    <w:p>
      <w:pPr>
        <w:spacing w:after="0" w:line="117" w:lineRule="exact"/>
        <w:rPr>
          <w:sz w:val="20"/>
          <w:szCs w:val="20"/>
          <w:color w:val="auto"/>
        </w:rPr>
      </w:pPr>
    </w:p>
    <w:p>
      <w:pPr>
        <w:ind w:left="660" w:right="20" w:hanging="436"/>
        <w:spacing w:after="0" w:line="272"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Subject to the provisions of Section 8.5, all money and U.S. Government Obligations deposited with the Trustee pursuant to Section 8.1, all money and U.S. Government Obligations or Foreign Government Obligations deposited with the Trustee pursuant to Sections 8.3 or 8.4 and all money received by the Trustee in respect of U.S. Government Obligations or Foreign Government Obligations deposited with the Trustee pursuant to Sections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83" w:lineRule="exact"/>
        <w:rPr>
          <w:rFonts w:ascii="Arial" w:cs="Arial" w:eastAsia="Arial" w:hAnsi="Arial"/>
          <w:sz w:val="17"/>
          <w:szCs w:val="17"/>
          <w:color w:val="auto"/>
        </w:rPr>
      </w:pPr>
    </w:p>
    <w:p>
      <w:pPr>
        <w:ind w:left="660" w:right="560" w:hanging="436"/>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shall pay and shall indemnify the Trustee against any tax, fee or other charge imposed on or assessed against U.S. Government Obligations or Foreign Government Obligations deposited pursuant to Sections 8.1, 8.3 or 8.4 or the interest 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principal received in respect of such obligations other than any payable by or on behalf of Holders.</w:t>
      </w:r>
    </w:p>
    <w:p>
      <w:pPr>
        <w:spacing w:after="0" w:line="131" w:lineRule="exact"/>
        <w:rPr>
          <w:sz w:val="20"/>
          <w:szCs w:val="20"/>
          <w:color w:val="auto"/>
        </w:rPr>
      </w:pPr>
    </w:p>
    <w:p>
      <w:pPr>
        <w:ind w:left="660" w:hanging="436"/>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Request any U.S. Government Obligations or Foreign Government Obligations or money held by it as provided in Sections 8.1,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p>
    <w:p>
      <w:pPr>
        <w:spacing w:after="0" w:line="117"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Unless this Section 8.3 is otherwise specified, pursuant to Section 2.2.22,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46" w:lineRule="exact"/>
        <w:rPr>
          <w:sz w:val="20"/>
          <w:szCs w:val="20"/>
          <w:color w:val="auto"/>
        </w:rPr>
      </w:pPr>
    </w:p>
    <w:p>
      <w:pPr>
        <w:ind w:left="660" w:hanging="436"/>
        <w:spacing w:after="0" w:line="30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59" w:lineRule="exact"/>
        <w:rPr>
          <w:rFonts w:ascii="Arial" w:cs="Arial" w:eastAsia="Arial" w:hAnsi="Arial"/>
          <w:sz w:val="16"/>
          <w:szCs w:val="16"/>
          <w:color w:val="auto"/>
        </w:rPr>
      </w:pPr>
    </w:p>
    <w:p>
      <w:pPr>
        <w:ind w:left="660" w:hanging="43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117" w:lineRule="exact"/>
        <w:rPr>
          <w:sz w:val="20"/>
          <w:szCs w:val="20"/>
          <w:color w:val="auto"/>
        </w:rPr>
      </w:pPr>
    </w:p>
    <w:p>
      <w:pPr>
        <w:ind w:left="660" w:right="100" w:hanging="436"/>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(except as provided in Section 8.2(c)) with the Trustee as trust funds in trust for the purpose of making the following payments, specifically pledged as security for and dedicated solely to the benefit of the Holders of such Securities</w:t>
      </w:r>
    </w:p>
    <w:p>
      <w:pPr>
        <w:ind w:left="660" w:right="120"/>
        <w:spacing w:after="0" w:line="288" w:lineRule="auto"/>
        <w:rPr>
          <w:rFonts w:ascii="Arial" w:cs="Arial" w:eastAsia="Arial" w:hAnsi="Arial"/>
          <w:sz w:val="16"/>
          <w:szCs w:val="16"/>
          <w:color w:val="auto"/>
        </w:rPr>
      </w:pPr>
      <w:r>
        <w:rPr>
          <w:rFonts w:ascii="Arial" w:cs="Arial" w:eastAsia="Arial" w:hAnsi="Arial"/>
          <w:sz w:val="16"/>
          <w:szCs w:val="16"/>
          <w:color w:val="auto"/>
        </w:rPr>
        <w:t>(i)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6" w:name="page87"/>
    <w:bookmarkEnd w:id="86"/>
    <w:p>
      <w:pPr>
        <w:ind w:left="660" w:right="60" w:hanging="43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75" w:lineRule="exact"/>
        <w:rPr>
          <w:rFonts w:ascii="Arial" w:cs="Arial" w:eastAsia="Arial" w:hAnsi="Arial"/>
          <w:sz w:val="18"/>
          <w:szCs w:val="18"/>
          <w:color w:val="auto"/>
        </w:rPr>
      </w:pPr>
    </w:p>
    <w:p>
      <w:pPr>
        <w:ind w:left="660" w:right="420" w:hanging="43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75" w:lineRule="exact"/>
        <w:rPr>
          <w:rFonts w:ascii="Arial" w:cs="Arial" w:eastAsia="Arial" w:hAnsi="Arial"/>
          <w:sz w:val="18"/>
          <w:szCs w:val="18"/>
          <w:color w:val="auto"/>
        </w:rPr>
      </w:pPr>
    </w:p>
    <w:p>
      <w:pPr>
        <w:ind w:left="660" w:hanging="436"/>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83" w:lineRule="exact"/>
        <w:rPr>
          <w:rFonts w:ascii="Arial" w:cs="Arial" w:eastAsia="Arial" w:hAnsi="Arial"/>
          <w:sz w:val="17"/>
          <w:szCs w:val="17"/>
          <w:color w:val="auto"/>
        </w:rPr>
      </w:pPr>
    </w:p>
    <w:p>
      <w:pPr>
        <w:ind w:left="660" w:right="40" w:hanging="436"/>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86" w:lineRule="exact"/>
        <w:rPr>
          <w:rFonts w:ascii="Arial" w:cs="Arial" w:eastAsia="Arial" w:hAnsi="Arial"/>
          <w:sz w:val="18"/>
          <w:szCs w:val="18"/>
          <w:color w:val="auto"/>
        </w:rPr>
      </w:pPr>
    </w:p>
    <w:p>
      <w:pPr>
        <w:ind w:left="660" w:right="560" w:hanging="436"/>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p>
    <w:p>
      <w:pPr>
        <w:spacing w:after="0" w:line="117" w:lineRule="exact"/>
        <w:rPr>
          <w:sz w:val="20"/>
          <w:szCs w:val="20"/>
          <w:color w:val="auto"/>
        </w:rPr>
      </w:pPr>
    </w:p>
    <w:p>
      <w:pPr>
        <w:ind w:right="200" w:firstLine="225"/>
        <w:spacing w:after="0" w:line="272" w:lineRule="auto"/>
        <w:rPr>
          <w:sz w:val="20"/>
          <w:szCs w:val="20"/>
          <w:color w:val="auto"/>
        </w:rPr>
      </w:pPr>
      <w:r>
        <w:rPr>
          <w:rFonts w:ascii="Arial" w:cs="Arial" w:eastAsia="Arial" w:hAnsi="Arial"/>
          <w:sz w:val="17"/>
          <w:szCs w:val="17"/>
          <w:color w:val="auto"/>
        </w:rPr>
        <w:t>Unless this Section 8.4 is otherwise specified pursuant to Section 2.2.22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70" w:lineRule="exact"/>
        <w:rPr>
          <w:sz w:val="20"/>
          <w:szCs w:val="20"/>
          <w:color w:val="auto"/>
        </w:rPr>
      </w:pPr>
    </w:p>
    <w:p>
      <w:pPr>
        <w:ind w:left="660" w:right="180" w:hanging="436"/>
        <w:spacing w:after="0" w:line="29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deposited or caused to be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left="660"/>
        <w:spacing w:after="0" w:line="259" w:lineRule="auto"/>
        <w:rPr>
          <w:sz w:val="20"/>
          <w:szCs w:val="20"/>
          <w:color w:val="auto"/>
        </w:rPr>
      </w:pPr>
      <w:r>
        <w:rPr>
          <w:rFonts w:ascii="Arial" w:cs="Arial" w:eastAsia="Arial" w:hAnsi="Arial"/>
          <w:sz w:val="18"/>
          <w:szCs w:val="18"/>
          <w:color w:val="auto"/>
        </w:rPr>
        <w:t>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92" w:lineRule="exact"/>
        <w:rPr>
          <w:sz w:val="20"/>
          <w:szCs w:val="20"/>
          <w:color w:val="auto"/>
        </w:rPr>
      </w:pPr>
    </w:p>
    <w:p>
      <w:pPr>
        <w:ind w:left="660" w:right="40" w:hanging="436"/>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Default or Event of Default with respect to the Securities of such Series shall have occurred and be continuing on the date of such deposit;</w:t>
      </w:r>
    </w:p>
    <w:p>
      <w:pPr>
        <w:spacing w:after="0" w:line="142" w:lineRule="exact"/>
        <w:rPr>
          <w:rFonts w:ascii="Arial" w:cs="Arial" w:eastAsia="Arial" w:hAnsi="Arial"/>
          <w:sz w:val="17"/>
          <w:szCs w:val="17"/>
          <w:color w:val="auto"/>
        </w:rPr>
      </w:pPr>
    </w:p>
    <w:p>
      <w:pPr>
        <w:jc w:val="both"/>
        <w:ind w:left="660" w:right="40" w:hanging="436"/>
        <w:spacing w:after="0" w:line="340"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36" w:lineRule="exact"/>
        <w:rPr>
          <w:rFonts w:ascii="Arial" w:cs="Arial" w:eastAsia="Arial" w:hAnsi="Arial"/>
          <w:sz w:val="15"/>
          <w:szCs w:val="15"/>
          <w:color w:val="auto"/>
        </w:rPr>
      </w:pPr>
    </w:p>
    <w:p>
      <w:pPr>
        <w:ind w:left="660" w:right="40" w:hanging="43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86" w:lineRule="exact"/>
        <w:rPr>
          <w:rFonts w:ascii="Arial" w:cs="Arial" w:eastAsia="Arial" w:hAnsi="Arial"/>
          <w:sz w:val="18"/>
          <w:szCs w:val="18"/>
          <w:color w:val="auto"/>
        </w:rPr>
      </w:pPr>
    </w:p>
    <w:p>
      <w:pPr>
        <w:ind w:left="660" w:right="500" w:hanging="436"/>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p>
    <w:p>
      <w:pPr>
        <w:spacing w:after="0" w:line="117"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p>
    <w:p>
      <w:pPr>
        <w:spacing w:after="0" w:line="117" w:lineRule="exact"/>
        <w:rPr>
          <w:sz w:val="20"/>
          <w:szCs w:val="20"/>
          <w:color w:val="auto"/>
        </w:rPr>
      </w:pPr>
    </w:p>
    <w:p>
      <w:pPr>
        <w:ind w:right="220" w:firstLine="225"/>
        <w:spacing w:after="0" w:line="272" w:lineRule="auto"/>
        <w:rPr>
          <w:sz w:val="20"/>
          <w:szCs w:val="20"/>
          <w:color w:val="auto"/>
        </w:rPr>
      </w:pPr>
      <w:r>
        <w:rPr>
          <w:rFonts w:ascii="Arial" w:cs="Arial" w:eastAsia="Arial" w:hAnsi="Arial"/>
          <w:sz w:val="17"/>
          <w:szCs w:val="17"/>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provided, however, that if the Company has made any payment of principal of or interest on any Securities because of the reinstatement of its obligations, the Company shall be subrogated to the rights of the Holders of such Securities to receive such payment from the money held by the Trustee or Paying Agent.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AND WAIVERS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Securityholder:</w:t>
      </w:r>
    </w:p>
    <w:p>
      <w:pPr>
        <w:spacing w:after="0" w:line="140"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for a supplemental indenture as set forth in Article V;</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 Indenture;</w:t>
      </w:r>
    </w:p>
    <w:p>
      <w:pPr>
        <w:spacing w:after="0" w:line="142" w:lineRule="exact"/>
        <w:rPr>
          <w:rFonts w:ascii="Arial" w:cs="Arial" w:eastAsia="Arial" w:hAnsi="Arial"/>
          <w:sz w:val="17"/>
          <w:szCs w:val="17"/>
          <w:color w:val="auto"/>
        </w:rPr>
      </w:pPr>
    </w:p>
    <w:p>
      <w:pPr>
        <w:jc w:val="both"/>
        <w:ind w:left="660" w:right="80" w:hanging="436"/>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p>
    <w:p>
      <w:pPr>
        <w:spacing w:after="0" w:line="117"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Limitations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9" w:name="page90"/>
    <w:bookmarkEnd w:id="89"/>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130" w:lineRule="exact"/>
        <w:rPr>
          <w:rFonts w:ascii="Arial" w:cs="Arial" w:eastAsia="Arial" w:hAnsi="Arial"/>
          <w:sz w:val="18"/>
          <w:szCs w:val="18"/>
          <w:color w:val="auto"/>
        </w:rPr>
      </w:pPr>
    </w:p>
    <w:p>
      <w:pPr>
        <w:ind w:left="660" w:right="520" w:hanging="43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130" w:lineRule="exact"/>
        <w:rPr>
          <w:rFonts w:ascii="Arial" w:cs="Arial" w:eastAsia="Arial" w:hAnsi="Arial"/>
          <w:sz w:val="18"/>
          <w:szCs w:val="18"/>
          <w:color w:val="auto"/>
        </w:rPr>
      </w:pPr>
    </w:p>
    <w:p>
      <w:pPr>
        <w:ind w:left="660" w:right="200" w:hanging="436"/>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 or</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46" w:lineRule="exact"/>
        <w:rPr>
          <w:sz w:val="20"/>
          <w:szCs w:val="20"/>
          <w:color w:val="auto"/>
        </w:rPr>
      </w:pPr>
    </w:p>
    <w:p>
      <w:pPr>
        <w:ind w:right="100" w:firstLine="215"/>
        <w:spacing w:after="0" w:line="286" w:lineRule="auto"/>
        <w:rPr>
          <w:sz w:val="20"/>
          <w:szCs w:val="20"/>
          <w:color w:val="auto"/>
        </w:rPr>
      </w:pPr>
      <w:r>
        <w:rPr>
          <w:rFonts w:ascii="Arial" w:cs="Arial" w:eastAsia="Arial" w:hAnsi="Arial"/>
          <w:sz w:val="17"/>
          <w:szCs w:val="17"/>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p>
    <w:p>
      <w:pPr>
        <w:spacing w:after="0" w:line="117"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ind w:right="100" w:firstLine="225"/>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in addition to the documents required by Section 10.04 and (subject to Section 7.1) shall be fully protected in relying upon, an Opinion of Counsel and Officers’ Certificate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p>
    <w:p>
      <w:pPr>
        <w:spacing w:after="0" w:line="117"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Telephone: (781) 329-4700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222 Berkeley Street, 2nd Floor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Global Corporate Trust/Corporate Finance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Telephone: (617) 536-3473</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129"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73"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Securityholder receives it.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the Company mails a notice or communication to Securityholders, it shall mail a copy to the Trustee and each Agent at the same time.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1" w:name="page92"/>
    <w:bookmarkEnd w:id="91"/>
    <w:p>
      <w:pPr>
        <w:ind w:left="2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Certificate and Opinion as to Conditions Precedent</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that requires as a condition precedent the furnishing of an Officers’ Certificate or an Opinion of Counsel, the Company shall furnish to the Trustee as appropriate:</w:t>
      </w:r>
    </w:p>
    <w:p>
      <w:pPr>
        <w:spacing w:after="0" w:line="62" w:lineRule="exact"/>
        <w:rPr>
          <w:sz w:val="20"/>
          <w:szCs w:val="20"/>
          <w:color w:val="auto"/>
        </w:rPr>
      </w:pPr>
    </w:p>
    <w:p>
      <w:pPr>
        <w:ind w:left="660" w:right="580" w:hanging="43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p>
    <w:p>
      <w:pPr>
        <w:spacing w:after="0" w:line="117"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62" w:lineRule="exact"/>
        <w:rPr>
          <w:sz w:val="20"/>
          <w:szCs w:val="20"/>
          <w:color w:val="auto"/>
        </w:rPr>
      </w:pPr>
    </w:p>
    <w:p>
      <w:pPr>
        <w:ind w:left="660" w:hanging="43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30"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75"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right="20" w:firstLine="215"/>
        <w:spacing w:after="0" w:line="286" w:lineRule="auto"/>
        <w:rPr>
          <w:sz w:val="20"/>
          <w:szCs w:val="20"/>
          <w:color w:val="auto"/>
        </w:rPr>
      </w:pPr>
      <w:r>
        <w:rPr>
          <w:rFonts w:ascii="Arial" w:cs="Arial" w:eastAsia="Arial" w:hAnsi="Arial"/>
          <w:sz w:val="17"/>
          <w:szCs w:val="17"/>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60" w:firstLine="222"/>
        <w:spacing w:after="0" w:line="27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Governing Laws</w:t>
      </w:r>
    </w:p>
    <w:p>
      <w:pPr>
        <w:spacing w:after="0" w:line="117"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THIS INDENTURE AND THE SECURITIES SHALL BE GOVERNED BY THE LAWS OF THE STATE OF NEW YORK APPLICABLE TO AGREEMENTS MADE AND TO BE PERFORMED IN SUCH STATE, WITHOUT REGARD TO THE CONFLICT OF LAWS PROVISIONS THEREOF.</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p>
    <w:p>
      <w:pPr>
        <w:spacing w:after="0" w:line="117"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p>
    <w:p>
      <w:pPr>
        <w:spacing w:after="0" w:line="117" w:lineRule="exact"/>
        <w:rPr>
          <w:sz w:val="20"/>
          <w:szCs w:val="20"/>
          <w:color w:val="auto"/>
        </w:rPr>
      </w:pPr>
    </w:p>
    <w:p>
      <w:pPr>
        <w:ind w:right="240" w:firstLine="215"/>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p>
    <w:p>
      <w:pPr>
        <w:spacing w:after="0" w:line="117" w:lineRule="exact"/>
        <w:rPr>
          <w:sz w:val="20"/>
          <w:szCs w:val="20"/>
          <w:color w:val="auto"/>
        </w:rPr>
      </w:pPr>
    </w:p>
    <w:p>
      <w:pPr>
        <w:ind w:right="740" w:firstLine="225"/>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p>
    <w:p>
      <w:pPr>
        <w:spacing w:after="0" w:line="117"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right="20"/>
        <w:spacing w:after="0" w:line="255" w:lineRule="auto"/>
        <w:rPr>
          <w:sz w:val="20"/>
          <w:szCs w:val="20"/>
          <w:color w:val="auto"/>
        </w:rPr>
      </w:pPr>
      <w:r>
        <w:rPr>
          <w:rFonts w:ascii="Arial" w:cs="Arial" w:eastAsia="Arial" w:hAnsi="Arial"/>
          <w:sz w:val="18"/>
          <w:szCs w:val="18"/>
          <w:color w:val="auto"/>
        </w:rPr>
        <w:t>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81" w:lineRule="exact"/>
        <w:rPr>
          <w:sz w:val="20"/>
          <w:szCs w:val="20"/>
          <w:color w:val="auto"/>
        </w:rPr>
      </w:pPr>
    </w:p>
    <w:p>
      <w:pPr>
        <w:ind w:right="600" w:firstLine="215"/>
        <w:spacing w:after="0" w:line="264"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Judgment Currency</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“mandatory sinking fund payment” and any other amount provided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right="80"/>
        <w:spacing w:after="0" w:line="264" w:lineRule="auto"/>
        <w:rPr>
          <w:sz w:val="20"/>
          <w:szCs w:val="20"/>
          <w:color w:val="auto"/>
        </w:rPr>
      </w:pPr>
      <w:r>
        <w:rPr>
          <w:rFonts w:ascii="Arial" w:cs="Arial" w:eastAsia="Arial" w:hAnsi="Arial"/>
          <w:sz w:val="18"/>
          <w:szCs w:val="18"/>
          <w:color w:val="auto"/>
        </w:rPr>
        <w:t>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Satisfaction of Sinking Fund Payments with Securities</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 however ,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ectPr>
          <w:pgSz w:w="11900" w:h="16838" w:orient="portrait"/>
          <w:cols w:equalWidth="0" w:num="1">
            <w:col w:w="9979"/>
          </w:cols>
          <w:pgMar w:left="480" w:top="935" w:right="1440" w:bottom="1440" w:gutter="0" w:footer="0" w:header="0"/>
        </w:sectPr>
      </w:pPr>
    </w:p>
    <w:p>
      <w:pPr>
        <w:spacing w:after="0" w:line="24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6"/>
          <w:szCs w:val="16"/>
          <w:color w:val="auto"/>
        </w:rPr>
        <w:t>Title:</w:t>
        <w:tab/>
        <w:t>Vice President and Chief Financial Officer</w:t>
      </w: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The Bank of New York Mellon Trust Company, N.A.</w:t>
      </w:r>
    </w:p>
    <w:p>
      <w:pPr>
        <w:spacing w:after="0" w:line="23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Peter M. Murphy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Peter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-130810</wp:posOffset>
            </wp:positionV>
            <wp:extent cx="27616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220"/>
        <w:spacing w:after="0"/>
        <w:tabs>
          <w:tab w:leader="none" w:pos="578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979"/>
          </w:cols>
          <w:pgMar w:left="480" w:top="935" w:right="1440"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ANALOG DEVICES,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Second Amendment to the 2006 Stock Incentive Plan,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2006 Stock Incentive Plan (the “Plan”) of Analog Devices, Inc. (the “Corporation”), is hereby amended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the second paragraph of Section 4(a) of the 2006 Plan be deleted in its entirety and replaced with the following:</w:t>
      </w:r>
    </w:p>
    <w:p>
      <w:pPr>
        <w:spacing w:after="0" w:line="117" w:lineRule="exact"/>
        <w:rPr>
          <w:sz w:val="20"/>
          <w:szCs w:val="20"/>
          <w:color w:val="auto"/>
        </w:rPr>
      </w:pPr>
    </w:p>
    <w:p>
      <w:pPr>
        <w:ind w:left="240" w:right="180"/>
        <w:spacing w:after="0" w:line="289" w:lineRule="auto"/>
        <w:rPr>
          <w:sz w:val="20"/>
          <w:szCs w:val="20"/>
          <w:color w:val="auto"/>
        </w:rPr>
      </w:pPr>
      <w:r>
        <w:rPr>
          <w:rFonts w:ascii="Arial" w:cs="Arial" w:eastAsia="Arial" w:hAnsi="Arial"/>
          <w:sz w:val="16"/>
          <w:szCs w:val="16"/>
          <w:color w:val="auto"/>
        </w:rPr>
        <w:t>If any Award issued under this Plan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is settled in cash or otherwise results in any Common Stock not being issued, the unused Common Stock covered by such Award shall again be available for the grant of Awards under the Plan. However, in the case of Incentive Stock Options (as hereinafter defined), the foregoing provisions shall be subject to any limitations under the Code. Notwithstanding anything to the contrary herein,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and (iii) shares subject to options surrendered for cancellation and exchange as part of a shareholder-approved option exchange program that are not awarded under new Options issued in such approved option exchange. Shares issued under the Plan may consist in whole or in part of authorized but unissued shares or treasury shares.</w:t>
      </w:r>
    </w:p>
    <w:p>
      <w:pPr>
        <w:spacing w:after="0" w:line="5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Except to the extent amended hereby, all of the terms, provisions and conditions set forth in the Plan are hereby ratified and confirmed and shall remain in full force and effect. The Plan and this amendment shall be read and construed together as a single instrument.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Approved by the Board of Directors on June 3, 2009</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Zinsner, certify that:</w:t>
      </w:r>
    </w:p>
    <w:p>
      <w:pPr>
        <w:spacing w:after="0" w:line="117" w:lineRule="exact"/>
        <w:rPr>
          <w:sz w:val="20"/>
          <w:szCs w:val="20"/>
          <w:color w:val="auto"/>
        </w:rPr>
      </w:pPr>
    </w:p>
    <w:p>
      <w:pPr>
        <w:ind w:left="660" w:hanging="43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1, 2009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August 1, 2009 as filed with the Securities and Exchange Commission on the date hereof (the “Report”), the undersigned, David Zinsner,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August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2"/>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6"/>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lowerLetter"/>
      <w:start w:val="1"/>
    </w:lvl>
    <w:lvl w:ilvl="1">
      <w:lvlJc w:val="left"/>
      <w:lvlText w:val="(%2)"/>
      <w:numFmt w:val="lowerRoman"/>
      <w:start w:val="1"/>
    </w:lvl>
  </w:abstractNum>
  <w:abstractNum w:abstractNumId="25">
    <w:nsid w:val="3855585C"/>
    <w:multiLevelType w:val="hybridMultilevel"/>
    <w:lvl w:ilvl="0">
      <w:lvlJc w:val="left"/>
      <w:lvlText w:val="%1"/>
      <w:numFmt w:val="lowerLetter"/>
      <w:start w:val="1"/>
    </w:lvl>
    <w:lvl w:ilvl="1">
      <w:lvlJc w:val="left"/>
      <w:lvlText w:val="(%2)"/>
      <w:numFmt w:val="lowerRoman"/>
      <w:start w:val="4"/>
    </w:lvl>
  </w:abstractNum>
  <w:abstractNum w:abstractNumId="26">
    <w:nsid w:val="70A64E2A"/>
    <w:multiLevelType w:val="hybridMultilevel"/>
    <w:lvl w:ilvl="0">
      <w:lvlJc w:val="left"/>
      <w:lvlText w:val="(%1)"/>
      <w:numFmt w:val="lowerLetter"/>
      <w:start w:val="5"/>
    </w:lvl>
    <w:lvl w:ilvl="1">
      <w:lvlJc w:val="left"/>
      <w:lvlText w:val="(%2)"/>
      <w:numFmt w:val="lowerRoman"/>
      <w:start w:val="1"/>
    </w:lvl>
  </w:abstractNum>
  <w:abstractNum w:abstractNumId="27">
    <w:nsid w:val="6A2342EC"/>
    <w:multiLevelType w:val="hybridMultilevel"/>
    <w:lvl w:ilvl="0">
      <w:lvlJc w:val="left"/>
      <w:lvlText w:val="(%1)"/>
      <w:numFmt w:val="lowerLetter"/>
      <w:start w:val="6"/>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lowerLetter"/>
      <w:start w:val="3"/>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2"/>
    </w:lvl>
    <w:lvl w:ilvl="1">
      <w:lvlJc w:val="left"/>
      <w:lvlText w:val="(%2)"/>
      <w:numFmt w:val="lowerRoman"/>
      <w:start w:val="1"/>
    </w:lvl>
  </w:abstractNum>
  <w:abstractNum w:abstractNumId="35">
    <w:nsid w:val="542289EC"/>
    <w:multiLevelType w:val="hybridMultilevel"/>
    <w:lvl w:ilvl="0">
      <w:lvlJc w:val="left"/>
      <w:lvlText w:val="(%1)"/>
      <w:numFmt w:val="lowerLetter"/>
      <w:start w:val="8"/>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10"/>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lvl w:ilvl="1">
      <w:lvlJc w:val="left"/>
      <w:lvlText w:val="(%2)"/>
      <w:numFmt w:val="lowerRoman"/>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3"/>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4"/>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2"/>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2019-12-09T21:24:07Z</dcterms:created>
  <dcterms:modified xsi:type="dcterms:W3CDTF">2019-12-09T21:24:07Z</dcterms:modified>
</cp:coreProperties>
</file>