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February 18, 2026, Analog Devices, Inc. (the “Registrant”) announced its financial results for its fiscal first quarter ended January 31, 2026. The full text of the press release issued by the Registrant concerning the foregoing results is furnished herewith as Exhibit 99.1.</w:t>
      </w:r>
    </w:p>
    <w:p>
      <w:pPr>
        <w:spacing w:after="0" w:line="40"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accompanying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Item 2.02,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On February 17, 2026, the Registrant announced that its Board of Directors declared a quarterly cash dividend of $1.10 per outstanding share of common stock, an increase from the previously paid quarterly dividend of $0.99 per outstanding share of common stock. The dividend will be paid on March 17, 2026 to all shareholders of record at the close of business on March 3, 2026.</w:t>
      </w:r>
    </w:p>
    <w:p>
      <w:pPr>
        <w:spacing w:after="0" w:line="54" w:lineRule="exact"/>
        <w:rPr>
          <w:sz w:val="20"/>
          <w:szCs w:val="20"/>
          <w:color w:val="auto"/>
        </w:rPr>
      </w:pPr>
    </w:p>
    <w:p>
      <w:pPr>
        <w:ind w:right="560" w:firstLine="405"/>
        <w:spacing w:after="0" w:line="352" w:lineRule="auto"/>
        <w:rPr>
          <w:sz w:val="20"/>
          <w:szCs w:val="20"/>
          <w:color w:val="auto"/>
        </w:rPr>
      </w:pPr>
      <w:r>
        <w:rPr>
          <w:rFonts w:ascii="Times New Roman" w:cs="Times New Roman" w:eastAsia="Times New Roman" w:hAnsi="Times New Roman"/>
          <w:sz w:val="18"/>
          <w:szCs w:val="18"/>
          <w:color w:val="auto"/>
        </w:rPr>
        <w:t xml:space="preserve">A copy of the Registrant's press release is attached as Exhibit 99.2 to this Current Report on Form 8-K and is incorporated herein by reference. </w:t>
      </w:r>
      <w:r>
        <w:rPr>
          <w:rFonts w:ascii="Times New Roman" w:cs="Times New Roman" w:eastAsia="Times New Roman" w:hAnsi="Times New Roman"/>
          <w:sz w:val="18"/>
          <w:szCs w:val="18"/>
          <w:b w:val="1"/>
          <w:bCs w:val="1"/>
          <w:color w:val="auto"/>
        </w:rPr>
        <w:t>Item 9.01. Financial Statements and Exhibits</w:t>
      </w: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February 18, 2026</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09"/>
        </w:trPr>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5"/>
              </w:rPr>
              <w:t>99.2</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February 17, 2026</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6"/>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30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5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92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9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Fiscal First Quarter 2026 Financial Results</w:t>
      </w:r>
    </w:p>
    <w:p>
      <w:pPr>
        <w:spacing w:after="0" w:line="8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Revenue of $3.16 billion, with year-over-year growth across all end markets, led by Industrial and Communications</w:t>
      </w:r>
    </w:p>
    <w:p>
      <w:pPr>
        <w:spacing w:after="0" w:line="84" w:lineRule="exact"/>
        <w:rPr>
          <w:rFonts w:ascii="Arial" w:cs="Arial" w:eastAsia="Arial" w:hAnsi="Arial"/>
          <w:sz w:val="20"/>
          <w:szCs w:val="20"/>
          <w:color w:val="auto"/>
        </w:rPr>
      </w:pPr>
    </w:p>
    <w:p>
      <w:pPr>
        <w:ind w:left="660" w:right="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$5.1 billion and free cash flow of $4.6 billion on a trailing twelve-month basis or 43% and 39% of revenue, respectively</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$1.0 billion to shareholders via dividends and share repurchases in the first quarter</w:t>
      </w:r>
    </w:p>
    <w:p>
      <w:pPr>
        <w:spacing w:after="0" w:line="13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Raised quarterly dividend 11% to $1.10, marking twenty-two consecutive years of increases</w:t>
      </w:r>
    </w:p>
    <w:p>
      <w:pPr>
        <w:spacing w:after="0" w:line="121"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22"/>
          <w:szCs w:val="22"/>
          <w:b w:val="1"/>
          <w:bCs w:val="1"/>
          <w:color w:val="auto"/>
        </w:rPr>
        <w:t>WILMINGTON, Mass.--February 18, 2026</w:t>
      </w:r>
      <w:r>
        <w:rPr>
          <w:rFonts w:ascii="Times New Roman" w:cs="Times New Roman" w:eastAsia="Times New Roman" w:hAnsi="Times New Roman"/>
          <w:sz w:val="22"/>
          <w:szCs w:val="22"/>
          <w:color w:val="auto"/>
        </w:rPr>
        <w:t>--Analog Devices, Inc. (Nasdaq: ADI), a global semiconductor leader,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financial results for its fiscal first quarter 2026, which ended January 31, 2026.</w:t>
      </w:r>
    </w:p>
    <w:p>
      <w:pPr>
        <w:spacing w:after="0" w:line="87"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2"/>
          <w:szCs w:val="22"/>
          <w:color w:val="auto"/>
        </w:rPr>
        <w:t>“ADI’s robust first quarter built upon the strong position and momentum with which we entered the year,” said Vincent Roche, CEO and Chair. “Our success continues to be the result of relentless innovation to solve our customers toughest problems and deliver enduring business impact. Our investments in R&amp;D and the customer experience from design to delivery continue to position us to create outstanding value for shareholders and customers alike.”</w:t>
      </w:r>
    </w:p>
    <w:p>
      <w:pPr>
        <w:spacing w:after="0" w:line="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“During our first quarter, bookings growth continued, driven by broad strength in Industrial and record orders for our Data Center segment. While the macro and geopolitical backdrop remains challenging, our revenue outlook for the second quarter reflects a new high watermark for ADI, underscoring our strong execution against cyclical and secular growth tailwinds,” said Richard Puccio, CFO.</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for the First Quarter of Fiscal 2026</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23"/>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16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 1, 2025</w:t>
            </w: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bps</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 bps</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57"/>
        </w:trPr>
        <w:tc>
          <w:tcPr>
            <w:tcW w:w="5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line="231" w:lineRule="auto"/>
        <w:rPr>
          <w:sz w:val="20"/>
          <w:szCs w:val="20"/>
          <w:color w:val="auto"/>
        </w:rPr>
      </w:pPr>
      <w:r>
        <w:rPr>
          <w:rFonts w:ascii="Times New Roman" w:cs="Times New Roman" w:eastAsia="Times New Roman" w:hAnsi="Times New Roman"/>
          <w:sz w:val="22"/>
          <w:szCs w:val="22"/>
          <w:b w:val="1"/>
          <w:bCs w:val="1"/>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17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71.2 %</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7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45.5 %</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31, 2026</w:t>
            </w:r>
          </w:p>
        </w:tc>
        <w:tc>
          <w:tcPr>
            <w:tcW w:w="300" w:type="dxa"/>
            <w:vAlign w:val="bottom"/>
          </w:tcPr>
          <w:p>
            <w:pPr>
              <w:spacing w:after="0"/>
              <w:rPr>
                <w:sz w:val="17"/>
                <w:szCs w:val="17"/>
                <w:color w:val="auto"/>
              </w:rPr>
            </w:pPr>
          </w:p>
        </w:tc>
        <w:tc>
          <w:tcPr>
            <w:tcW w:w="168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31,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Return</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31, 2026</w:t>
            </w:r>
          </w:p>
        </w:tc>
        <w:tc>
          <w:tcPr>
            <w:tcW w:w="300" w:type="dxa"/>
            <w:vAlign w:val="bottom"/>
          </w:tcPr>
          <w:p>
            <w:pPr>
              <w:spacing w:after="0"/>
              <w:rPr>
                <w:sz w:val="17"/>
                <w:szCs w:val="17"/>
                <w:color w:val="auto"/>
              </w:rPr>
            </w:pPr>
          </w:p>
        </w:tc>
        <w:tc>
          <w:tcPr>
            <w:tcW w:w="168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31, 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7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27" w:lineRule="exact"/>
        <w:rPr>
          <w:rFonts w:ascii="Times New Roman" w:cs="Times New Roman" w:eastAsia="Times New Roman" w:hAnsi="Times New Roman"/>
          <w:sz w:val="18"/>
          <w:szCs w:val="18"/>
          <w:color w:val="auto"/>
        </w:rPr>
      </w:pPr>
    </w:p>
    <w:p>
      <w:pPr>
        <w:ind w:left="20" w:right="500" w:firstLine="6"/>
        <w:spacing w:after="0" w:line="245"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Second Quarter of Fiscal Year 2026</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For the second quarter of fiscal 2026, we are forecasting revenue of $3.5 billion, +/- $100 million. At the midpoint of this revenue outlook, we expect reported operating margin of approximately 36.4%, +/-150 bps, and adjusted operating margin of approximately 47.5%, +/-100 bps. We are planning for reported EPS to be $2.19, +/-$0.15, and adjusted EPS to be $2.88, +/-$0.15.</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Our second quarter fiscal 2026 outlook is based on current expectations and actual results may differ materially as a result of, among other things, the important factors discussed at the end of this release. The statements about our second quarter fiscal 2026 outlook supersede all prior statements regarding our business outlook set forth in prior ADI news releases, and ADI disclaims any obligation to update these forward-looking statements.</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64"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The ADI Board of Directors has declared a quarterly cash dividend of $1.10 per outstanding share of common stock. The dividend will be paid on March 17, 2026 to all shareholders of record at the close of business on March 3,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Wednesday, February 18, 2026 at 10:00 am ET</w:t>
      </w:r>
    </w:p>
    <w:p>
      <w:pPr>
        <w:spacing w:after="0" w:line="25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first quarter fiscal 2026 results and short-term outlook today, beginning at 10:00 am ET. Investors may join via webcast, accessible at investor.analog.com.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w:t>
      </w:r>
    </w:p>
    <w:p>
      <w:pPr>
        <w:sectPr>
          <w:pgSz w:w="11900" w:h="16838" w:orient="portrait"/>
          <w:cols w:equalWidth="0" w:num="1">
            <w:col w:w="11240"/>
          </w:cols>
          <w:pgMar w:left="320" w:top="891" w:right="339" w:bottom="1440" w:gutter="0" w:footer="0" w:header="0"/>
        </w:sectPr>
      </w:pPr>
    </w:p>
    <w:bookmarkStart w:id="6" w:name="page7"/>
    <w:bookmarkEnd w:id="6"/>
    <w:p>
      <w:pPr>
        <w:ind w:right="20"/>
        <w:spacing w:after="0" w:line="250" w:lineRule="auto"/>
        <w:rPr>
          <w:sz w:val="20"/>
          <w:szCs w:val="20"/>
          <w:color w:val="auto"/>
        </w:rPr>
      </w:pPr>
      <w:r>
        <w:rPr>
          <w:rFonts w:ascii="Times New Roman" w:cs="Times New Roman" w:eastAsia="Times New Roman" w:hAnsi="Times New Roman"/>
          <w:sz w:val="22"/>
          <w:szCs w:val="22"/>
          <w:color w:val="auto"/>
        </w:rPr>
        <w:t>useful to investors because it provides investors with the operating results that management uses to manage the Company and enables investors and analysts to evaluate the Company’s core business. Management also believes that free cash flow, a non-GAAP liquidity measure, is useful both internally and to investors because it is indicative of the Company's ability to pay dividends, purchase common stock, make investments and fund acquisitions and, in the absence of refinancings, to repay its debt obligations.</w:t>
      </w:r>
    </w:p>
    <w:p>
      <w:pPr>
        <w:spacing w:after="0" w:line="5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35"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jc w:val="both"/>
        <w:ind w:right="80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 represents adjusted operating expenses divided by revenue.</w:t>
      </w:r>
    </w:p>
    <w:p>
      <w:pPr>
        <w:spacing w:after="0" w:line="67" w:lineRule="exact"/>
        <w:rPr>
          <w:sz w:val="20"/>
          <w:szCs w:val="20"/>
          <w:color w:val="auto"/>
        </w:rPr>
      </w:pPr>
    </w:p>
    <w:p>
      <w:pPr>
        <w:jc w:val="both"/>
        <w:ind w:right="60"/>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 Adjusted operating margin represents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divided by revenue.</w:t>
      </w:r>
    </w:p>
    <w:p>
      <w:pPr>
        <w:spacing w:after="0" w:line="7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860"/>
        <w:spacing w:after="0" w:line="253"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which are described further below.</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2"/>
          <w:szCs w:val="22"/>
          <w:color w:val="auto"/>
        </w:rPr>
        <w:t xml:space="preserve">Adjusted diluted EPS is defined as diluted EPS,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tax related items</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44" w:lineRule="exact"/>
        <w:rPr>
          <w:sz w:val="20"/>
          <w:szCs w:val="20"/>
          <w:color w:val="auto"/>
        </w:rPr>
      </w:pPr>
    </w:p>
    <w:p>
      <w:pPr>
        <w:ind w:left="660" w:right="80"/>
        <w:spacing w:after="0" w:line="236" w:lineRule="auto"/>
        <w:rPr>
          <w:sz w:val="20"/>
          <w:szCs w:val="20"/>
          <w:color w:val="auto"/>
        </w:rPr>
      </w:pP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2"/>
          <w:szCs w:val="22"/>
          <w:color w:val="auto"/>
        </w:rPr>
        <w:t>: Expenses incurred as a result of current and prior period acquisitions and primarily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expenses associated with the fair value adjustments to debt, property, plant and equipment and amortization of acquisition related intangibles, which include acquired intangibles such as purchased technology and customer relationships. We excluded these costs from our non-GAAP measures because they relate to specific transactions and are not reflective of our ongoing financial performance.</w:t>
      </w:r>
    </w:p>
    <w:p>
      <w:pPr>
        <w:spacing w:after="0" w:line="69" w:lineRule="exact"/>
        <w:rPr>
          <w:sz w:val="20"/>
          <w:szCs w:val="20"/>
          <w:color w:val="auto"/>
        </w:rPr>
      </w:pPr>
    </w:p>
    <w:p>
      <w:pPr>
        <w:ind w:left="660" w:right="600"/>
        <w:spacing w:after="0" w:line="235"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in connection with facility closures, consolidation of manufacturing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facilities, severance, other accelerated stock-based compensation expense and other cost reduction efforts or reorganizational initiatives. We excluded these expenses from our</w:t>
      </w:r>
    </w:p>
    <w:p>
      <w:pPr>
        <w:sectPr>
          <w:pgSz w:w="11900" w:h="16838" w:orient="portrait"/>
          <w:cols w:equalWidth="0" w:num="1">
            <w:col w:w="11180"/>
          </w:cols>
          <w:pgMar w:left="320" w:top="990" w:right="399" w:bottom="1440" w:gutter="0" w:footer="0" w:header="0"/>
        </w:sectPr>
      </w:pPr>
    </w:p>
    <w:bookmarkStart w:id="7" w:name="page8"/>
    <w:bookmarkEnd w:id="7"/>
    <w:p>
      <w:pPr>
        <w:ind w:left="660"/>
        <w:spacing w:after="0" w:line="271" w:lineRule="auto"/>
        <w:rPr>
          <w:sz w:val="20"/>
          <w:szCs w:val="20"/>
          <w:color w:val="auto"/>
        </w:rPr>
      </w:pPr>
      <w:r>
        <w:rPr>
          <w:rFonts w:ascii="Times New Roman" w:cs="Times New Roman" w:eastAsia="Times New Roman" w:hAnsi="Times New Roman"/>
          <w:sz w:val="22"/>
          <w:szCs w:val="22"/>
          <w:color w:val="auto"/>
        </w:rPr>
        <w:t>non-GAAP measures because apart from ongoing expense savings as a result of such items, these expenses have no direct correlation to the operation of our business in the future.</w:t>
      </w:r>
    </w:p>
    <w:p>
      <w:pPr>
        <w:spacing w:after="0" w:line="29" w:lineRule="exact"/>
        <w:rPr>
          <w:sz w:val="20"/>
          <w:szCs w:val="20"/>
          <w:color w:val="auto"/>
        </w:rPr>
      </w:pPr>
    </w:p>
    <w:p>
      <w:pPr>
        <w:ind w:left="660" w:right="6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 xml:space="preserve">Tax Related </w:t>
      </w:r>
      <w:r>
        <w:rPr>
          <w:rFonts w:ascii="Times New Roman" w:cs="Times New Roman" w:eastAsia="Times New Roman" w:hAnsi="Times New Roman"/>
          <w:sz w:val="22"/>
          <w:szCs w:val="22"/>
          <w:color w:val="auto"/>
        </w:rPr>
        <w:t>Items: Income tax effect of the non-GAAP items discussed above. We excluded the income tax effect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these tax related items from our non-GAAP measures because they are not associated with the tax expense on our current operating results.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10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www.analog.com and on LinkedIn and X (formerly Twitter).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which address a variety of subjects including, for example, our statements regarding future financial performance; impacts related to tariffs and other trade restrictions; economic uncertainty; macroeconomic, geopolitical, demand and other market conditions, business cycles, and supply chains; our capital allocation strategy, including future dividends, share repurchases, capital expenditures, investments, and free cash flow returns; expected revenue, operating margin, nonoperating expenses, tax rate, earnings per share, and other financial results; expected market and technology trends and acceleration of those trends; market size, market share gains, market position, and growth opportunities; expected product solutions, offerings, technologies, capabilities, and applications; the value and importance of, and other benefits related to, our product solutions, offerings, and technologies to our customers;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that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w:t>
      </w:r>
    </w:p>
    <w:p>
      <w:pPr>
        <w:spacing w:after="0" w:line="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i w:val="1"/>
          <w:iCs w:val="1"/>
          <w:color w:val="auto"/>
        </w:rPr>
        <w:t>10-K. Forward-looking statements represent management’s current expectations and are inherently uncertain. Except as required by law, we do not</w:t>
      </w:r>
    </w:p>
    <w:p>
      <w:pPr>
        <w:sectPr>
          <w:pgSz w:w="11900" w:h="16838" w:orient="portrait"/>
          <w:cols w:equalWidth="0" w:num="1">
            <w:col w:w="11200"/>
          </w:cols>
          <w:pgMar w:left="320" w:top="99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i w:val="1"/>
          <w:iCs w:val="1"/>
          <w:color w:val="auto"/>
        </w:rPr>
        <w:t>undertake any obligation to update forward-looking statements made by us to reflect subsequent events or circumstances.</w:t>
      </w:r>
    </w:p>
    <w:p>
      <w:pPr>
        <w:spacing w:after="0" w:line="11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0500"/>
          </w:cols>
          <w:pgMar w:left="320" w:top="959" w:right="10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7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 1, 2025</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2,423,174</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992,871</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1,430,303</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402,892</w:t>
            </w:r>
          </w:p>
        </w:tc>
      </w:tr>
      <w:tr>
        <w:trPr>
          <w:trHeight w:val="22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284,796</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r>
      <w:tr>
        <w:trPr>
          <w:trHeight w:val="229"/>
        </w:trPr>
        <w:tc>
          <w:tcPr>
            <w:tcW w:w="7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Special charges, net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491,313</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r>
      <w:tr>
        <w:trPr>
          <w:trHeight w:val="230"/>
        </w:trPr>
        <w:tc>
          <w:tcPr>
            <w:tcW w:w="7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435,576</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391,316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498,668</w:t>
            </w:r>
          </w:p>
        </w:tc>
      </w:tr>
      <w:tr>
        <w:trPr>
          <w:trHeight w:val="270"/>
        </w:trPr>
        <w:tc>
          <w:tcPr>
            <w:tcW w:w="7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bl>
    <w:p>
      <w:pPr>
        <w:sectPr>
          <w:pgSz w:w="11900" w:h="16838" w:orient="portrait"/>
          <w:cols w:equalWidth="0" w:num="1">
            <w:col w:w="11200"/>
          </w:cols>
          <w:pgMar w:left="340" w:top="88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2,905,860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1,142,987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1,656,323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363,342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7,602,526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7,108,061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3,248,983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8,013,815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1,867,102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805,655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742,858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40,388,664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40,884,651</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47,991,190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1,583,794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1,645,032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4,330,623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3,245,801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8,145,066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2,163,281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9,873,308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10,931,156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488,204,157 shares outstanding</w:t>
            </w: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(489,654,097 on November 1, 2025)</w:t>
            </w: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22,968,224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23,349,185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10,886,107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10,539,541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33,787,259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33,815,755</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47,991,190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 1, 2025</w:t>
            </w:r>
          </w:p>
        </w:tc>
        <w:tc>
          <w:tcPr>
            <w:tcW w:w="0" w:type="dxa"/>
            <w:vAlign w:val="bottom"/>
          </w:tcPr>
          <w:p>
            <w:pPr>
              <w:spacing w:after="0"/>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391,316</w:t>
            </w:r>
          </w:p>
        </w:tc>
        <w:tc>
          <w:tcPr>
            <w:tcW w:w="0" w:type="dxa"/>
            <w:vAlign w:val="bottom"/>
          </w:tcPr>
          <w:p>
            <w:pPr>
              <w:spacing w:after="0"/>
              <w:rPr>
                <w:sz w:val="1"/>
                <w:szCs w:val="1"/>
                <w:color w:val="auto"/>
              </w:rPr>
            </w:pPr>
          </w:p>
        </w:tc>
      </w:tr>
      <w:tr>
        <w:trPr>
          <w:trHeight w:val="230"/>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98,447</w:t>
            </w:r>
          </w:p>
        </w:tc>
        <w:tc>
          <w:tcPr>
            <w:tcW w:w="0" w:type="dxa"/>
            <w:vAlign w:val="bottom"/>
          </w:tcPr>
          <w:p>
            <w:pPr>
              <w:spacing w:after="0"/>
              <w:rPr>
                <w:sz w:val="1"/>
                <w:szCs w:val="1"/>
                <w:color w:val="auto"/>
              </w:rPr>
            </w:pPr>
          </w:p>
        </w:tc>
      </w:tr>
      <w:tr>
        <w:trPr>
          <w:trHeight w:val="229"/>
        </w:trPr>
        <w:tc>
          <w:tcPr>
            <w:tcW w:w="8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417,156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77,574</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202,569</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735,493</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1,126,809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Maturities of short-term available-for-sale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(148,978)</w:t>
            </w:r>
          </w:p>
        </w:tc>
        <w:tc>
          <w:tcPr>
            <w:tcW w:w="0" w:type="dxa"/>
            <w:vAlign w:val="bottom"/>
          </w:tcPr>
          <w:p>
            <w:pPr>
              <w:spacing w:after="0"/>
              <w:rPr>
                <w:sz w:val="1"/>
                <w:szCs w:val="1"/>
                <w:color w:val="auto"/>
              </w:rPr>
            </w:pPr>
          </w:p>
        </w:tc>
      </w:tr>
      <w:tr>
        <w:trPr>
          <w:trHeight w:val="230"/>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for acquisitions, net of cash acquired</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(194,301)</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1,969,276</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(1,968,611)</w:t>
            </w:r>
          </w:p>
        </w:tc>
        <w:tc>
          <w:tcPr>
            <w:tcW w:w="0" w:type="dxa"/>
            <w:vAlign w:val="bottom"/>
          </w:tcPr>
          <w:p>
            <w:pPr>
              <w:spacing w:after="0"/>
              <w:rPr>
                <w:sz w:val="1"/>
                <w:szCs w:val="1"/>
                <w:color w:val="auto"/>
              </w:rPr>
            </w:pPr>
          </w:p>
        </w:tc>
      </w:tr>
      <w:tr>
        <w:trPr>
          <w:trHeight w:val="230"/>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(160,368)</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(456,338)</w:t>
            </w:r>
          </w:p>
        </w:tc>
        <w:tc>
          <w:tcPr>
            <w:tcW w:w="0" w:type="dxa"/>
            <w:vAlign w:val="bottom"/>
          </w:tcPr>
          <w:p>
            <w:pPr>
              <w:spacing w:after="0"/>
              <w:rPr>
                <w:sz w:val="1"/>
                <w:szCs w:val="1"/>
                <w:color w:val="auto"/>
              </w:rPr>
            </w:pPr>
          </w:p>
        </w:tc>
      </w:tr>
      <w:tr>
        <w:trPr>
          <w:trHeight w:val="230"/>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(573,856)</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358,652</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1,991,342</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2,349,994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The assignment of products to end markets may change over time. When this occurs, we reclassify revenue by end market for prior periods. Such reclassifications typically do not materially change the sizing of, or the underlying trends of results within, each end market.</w:t>
      </w: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63"/>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1,489,256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7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794,402</w:t>
            </w:r>
          </w:p>
        </w:tc>
        <w:tc>
          <w:tcPr>
            <w:tcW w:w="100" w:type="dxa"/>
            <w:vAlign w:val="bottom"/>
          </w:tcPr>
          <w:p>
            <w:pPr>
              <w:spacing w:after="0"/>
              <w:rPr>
                <w:sz w:val="23"/>
                <w:szCs w:val="23"/>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735,646</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292,186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399,808</w:t>
            </w:r>
          </w:p>
        </w:tc>
        <w:tc>
          <w:tcPr>
            <w:tcW w:w="100" w:type="dxa"/>
            <w:vAlign w:val="bottom"/>
          </w:tcPr>
          <w:p>
            <w:pPr>
              <w:spacing w:after="0"/>
              <w:rPr>
                <w:sz w:val="19"/>
                <w:szCs w:val="19"/>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6"/>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314,692</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21"/>
        </w:trPr>
        <w:tc>
          <w:tcPr>
            <w:tcW w:w="2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3,160,263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center"/>
              <w:ind w:left="130"/>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2"/>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2,423,174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0"/>
        </w:trPr>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 31, 2026</w:t>
            </w:r>
          </w:p>
        </w:tc>
        <w:tc>
          <w:tcPr>
            <w:tcW w:w="280" w:type="dxa"/>
            <w:vAlign w:val="bottom"/>
          </w:tcPr>
          <w:p>
            <w:pPr>
              <w:spacing w:after="0"/>
              <w:rPr>
                <w:sz w:val="18"/>
                <w:szCs w:val="18"/>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Feb. 1, 2025</w:t>
            </w:r>
          </w:p>
        </w:tc>
      </w:tr>
      <w:tr>
        <w:trPr>
          <w:trHeight w:val="225"/>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2,044,976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1,430,303</w:t>
            </w:r>
          </w:p>
        </w:tc>
      </w:tr>
      <w:tr>
        <w:trPr>
          <w:trHeight w:val="230"/>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margin percentage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204,748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237,832</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2,249,724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1,668,135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gross margin percentage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57"/>
        </w:trPr>
        <w:tc>
          <w:tcPr>
            <w:tcW w:w="7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1,047,950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938,990</w:t>
            </w:r>
          </w:p>
        </w:tc>
      </w:tr>
      <w:tr>
        <w:trPr>
          <w:trHeight w:val="229"/>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(187,913)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(188,015)</w:t>
            </w:r>
          </w:p>
        </w:tc>
      </w:tr>
      <w:tr>
        <w:trPr>
          <w:trHeight w:val="229"/>
        </w:trPr>
        <w:tc>
          <w:tcPr>
            <w:tcW w:w="7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(63,887)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812,055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687,088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Adjusted operating expenses percentage</w:t>
            </w:r>
          </w:p>
        </w:tc>
        <w:tc>
          <w:tcPr>
            <w:tcW w:w="2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28.4 %</w:t>
            </w:r>
          </w:p>
        </w:tc>
      </w:tr>
      <w:tr>
        <w:trPr>
          <w:trHeight w:val="257"/>
        </w:trPr>
        <w:tc>
          <w:tcPr>
            <w:tcW w:w="7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997,026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491,313</w:t>
            </w:r>
          </w:p>
        </w:tc>
      </w:tr>
      <w:tr>
        <w:trPr>
          <w:trHeight w:val="22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392,661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425,847</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63,887</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1,437,669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981,047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56"/>
        </w:trPr>
        <w:tc>
          <w:tcPr>
            <w:tcW w:w="7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55,737</w:t>
            </w:r>
          </w:p>
        </w:tc>
      </w:tr>
      <w:tr>
        <w:trPr>
          <w:trHeight w:val="230"/>
        </w:trPr>
        <w:tc>
          <w:tcPr>
            <w:tcW w:w="7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nonoperating expense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57,887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945,871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435,576</w:t>
            </w: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390,511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423,697</w:t>
            </w: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Special charges, net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47,982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63,887</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1,384,364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923,160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115,045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44,260</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9"/>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related items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60,449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65,062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109,322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tax rate</w:t>
            </w:r>
          </w:p>
        </w:tc>
        <w:tc>
          <w:tcPr>
            <w:tcW w:w="2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11.8 %</w:t>
            </w:r>
          </w:p>
        </w:tc>
      </w:tr>
      <w:tr>
        <w:trPr>
          <w:trHeight w:val="270"/>
        </w:trPr>
        <w:tc>
          <w:tcPr>
            <w:tcW w:w="7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0.85</w:t>
            </w: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2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Tax related items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individual per share amounts may not equal the total due to rounding.</w:t>
      </w:r>
    </w:p>
    <w:p>
      <w:pPr>
        <w:sectPr>
          <w:pgSz w:w="11900" w:h="16838" w:orient="portrait"/>
          <w:cols w:equalWidth="0" w:num="1">
            <w:col w:w="11220"/>
          </w:cols>
          <w:pgMar w:left="320" w:top="684"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5"/>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4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Jan. 31, 2026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 31, 2026</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1, 2025</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 2, 2025</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11,756,796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3,160,263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2,880,348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2,640,068</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5,053,908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1,368,515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1,700,810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1,165,105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819,478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(493,887)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(109,313)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(215,153)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(79,153)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(90,268)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4,560,021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1,259,202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1,485,657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729,210</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Three Months Ending May 2, 2026</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 - 13%</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 - 13% (2)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 (3)</w:t>
            </w:r>
          </w:p>
        </w:tc>
      </w:tr>
      <w:tr>
        <w:trPr>
          <w:trHeight w:val="229"/>
        </w:trPr>
        <w:tc>
          <w:tcPr>
            <w:tcW w:w="458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$0.15)</w:t>
            </w:r>
          </w:p>
        </w:tc>
      </w:tr>
    </w:tbl>
    <w:p>
      <w:pPr>
        <w:spacing w:after="0" w:line="319" w:lineRule="exact"/>
        <w:rPr>
          <w:sz w:val="20"/>
          <w:szCs w:val="20"/>
          <w:color w:val="auto"/>
        </w:rPr>
      </w:pPr>
    </w:p>
    <w:p>
      <w:pPr>
        <w:ind w:right="18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$391 million of adjustments related to acquisition related expenses as previously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 million of tax effects associated with the adjustment for acquisition related expenses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$0.69 of adjustments related to the net impact of acquisition related expenses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Ambrosi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Analog Devices, Inc.</w:t>
      </w:r>
    </w:p>
    <w:p>
      <w:pPr>
        <w:spacing w:after="0" w:line="218" w:lineRule="auto"/>
        <w:rPr>
          <w:sz w:val="20"/>
          <w:szCs w:val="20"/>
          <w:color w:val="auto"/>
        </w:rPr>
      </w:pPr>
      <w:r>
        <w:rPr>
          <w:rFonts w:ascii="Times New Roman" w:cs="Times New Roman" w:eastAsia="Times New Roman" w:hAnsi="Times New Roman"/>
          <w:sz w:val="22"/>
          <w:szCs w:val="22"/>
          <w:color w:val="auto"/>
        </w:rPr>
        <w:t>781-461-3282</w:t>
      </w: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ectPr>
          <w:pgSz w:w="11900" w:h="16838" w:orient="portrait"/>
          <w:cols w:equalWidth="0" w:num="1">
            <w:col w:w="11220"/>
          </w:cols>
          <w:pgMar w:left="320" w:top="887" w:right="3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Raises Quarterly Dividend by 11%</w:t>
      </w:r>
    </w:p>
    <w:p>
      <w:pPr>
        <w:spacing w:after="0" w:line="23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WILMINGTON, Mass.--Feb. 17, 2026--Analog Devices, Inc. (NASDAQ: ADI), a global semiconductor leader, today announced that its Board of Directors voted to increase its quarterly dividend by 11% to $1.10 per outstanding share of common stock, marking 22 consecutive years of higher dividends.</w:t>
      </w:r>
    </w:p>
    <w:p>
      <w:pPr>
        <w:spacing w:after="0" w:line="20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“ADI has executed its powerful and resilient business model to deliver positive free cash flow for 29 consecutive years,” said Vincent Roche, CEO and Chair. “Since the inception of our capital return program 22 years ago, we have returned more than $32 billion to shareholders via dividends and share repurchases. We continue to strategically target our R&amp;D investments to the most attractive opportunities driving strong growth and generating exceptional free cash flow, 100% of which we have committed to return to shareholders over the long term.”</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dividend increase is effective with the dividend payable on March 17, 2026, to shareholders of record as of the close of business on March 3, 2026.</w:t>
      </w:r>
    </w:p>
    <w:p>
      <w:pPr>
        <w:spacing w:after="0" w:line="18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About Analog Devices, Inc. </w:t>
      </w:r>
      <w:r>
        <w:rPr>
          <w:rFonts w:ascii="Times New Roman" w:cs="Times New Roman" w:eastAsia="Times New Roman" w:hAnsi="Times New Roman"/>
          <w:sz w:val="21"/>
          <w:szCs w:val="21"/>
          <w:color w:val="auto"/>
        </w:rPr>
        <w:t>Analog Devices, Inc. (NASDAQ: ADI) is a global semiconductor leader that bridges the physical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www.analog.com and on LinkedIn and X (formerly Twitter).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5"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regarding, among other things, the timing and amount of cash dividends and share repurchases, return of free cash flow, R&amp;D and other business investments, and our financial position in the future.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that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w:t>
      </w:r>
    </w:p>
    <w:p>
      <w:pPr>
        <w:sectPr>
          <w:pgSz w:w="11900" w:h="16838" w:orient="portrait"/>
          <w:cols w:equalWidth="0" w:num="1">
            <w:col w:w="11240"/>
          </w:cols>
          <w:pgMar w:left="320" w:top="114" w:right="339" w:bottom="1440" w:gutter="0" w:footer="0" w:header="0"/>
        </w:sectPr>
      </w:pPr>
    </w:p>
    <w:bookmarkStart w:id="17" w:name="page18"/>
    <w:bookmarkEnd w:id="17"/>
    <w:p>
      <w:pPr>
        <w:spacing w:after="0" w:line="237" w:lineRule="auto"/>
        <w:rPr>
          <w:sz w:val="20"/>
          <w:szCs w:val="20"/>
          <w:color w:val="auto"/>
        </w:rPr>
      </w:pPr>
      <w:r>
        <w:rPr>
          <w:rFonts w:ascii="Times New Roman" w:cs="Times New Roman" w:eastAsia="Times New Roman" w:hAnsi="Times New Roman"/>
          <w:sz w:val="22"/>
          <w:szCs w:val="22"/>
          <w:i w:val="1"/>
          <w:iCs w:val="1"/>
          <w:color w:val="auto"/>
        </w:rPr>
        <w:t>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Ambrosi</w:t>
      </w:r>
    </w:p>
    <w:p>
      <w:pPr>
        <w:spacing w:after="0" w:line="230" w:lineRule="auto"/>
        <w:rPr>
          <w:sz w:val="20"/>
          <w:szCs w:val="20"/>
          <w:color w:val="auto"/>
        </w:rPr>
      </w:pPr>
      <w:r>
        <w:rPr>
          <w:rFonts w:ascii="Times New Roman" w:cs="Times New Roman" w:eastAsia="Times New Roman" w:hAnsi="Times New Roman"/>
          <w:sz w:val="22"/>
          <w:szCs w:val="22"/>
          <w:color w:val="auto"/>
        </w:rPr>
        <w:t>Senior Director,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Analog Devices, Inc.</w:t>
      </w:r>
    </w:p>
    <w:p>
      <w:pPr>
        <w:spacing w:after="0" w:line="230" w:lineRule="auto"/>
        <w:rPr>
          <w:sz w:val="20"/>
          <w:szCs w:val="20"/>
          <w:color w:val="auto"/>
        </w:rPr>
      </w:pPr>
      <w:r>
        <w:rPr>
          <w:rFonts w:ascii="Times New Roman" w:cs="Times New Roman" w:eastAsia="Times New Roman" w:hAnsi="Times New Roman"/>
          <w:sz w:val="22"/>
          <w:szCs w:val="22"/>
          <w:color w:val="auto"/>
        </w:rPr>
        <w:t>781-461-3282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sectPr>
      <w:pgSz w:w="11900" w:h="16838" w:orient="portrait"/>
      <w:cols w:equalWidth="0" w:num="1">
        <w:col w:w="11120"/>
      </w:cols>
      <w:pgMar w:left="320" w:top="14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2026-02-18T06:06:46Z</dcterms:created>
  <dcterms:modified xsi:type="dcterms:W3CDTF">2026-02-18T06:06:46Z</dcterms:modified>
</cp:coreProperties>
</file>