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_________________________________________________________________________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UNITED STATES </w:t>
      </w:r>
    </w:p>
    <w:p>
      <w:pPr>
        <w:pStyle w:val="TextBody"/>
        <w:bidi w:val="0"/>
        <w:spacing w:lineRule="auto" w:line="288" w:before="0" w:after="0"/>
        <w:jc w:val="center"/>
        <w:rPr/>
      </w:pPr>
      <w:r>
        <w:rPr>
          <w:rFonts w:ascii="Times New Roman;sans-serif" w:hAnsi="Times New Roman;sans-serif"/>
          <w:b/>
          <w:color w:val="000000"/>
          <w:sz w:val="28"/>
        </w:rPr>
        <w:t>SECURITIES AND EXCHANGE COMMISSION</w:t>
      </w:r>
      <w:r>
        <w:rPr>
          <w:color w:val="000000"/>
        </w:rPr>
        <w:t xml:space="preserve">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CURRENT REPORT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March 12,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_____________________________________________________________________________________________________</w:t>
      </w:r>
    </w:p>
    <w:tbl>
      <w:tblPr>
        <w:tblW w:w="4635" w:type="dxa"/>
        <w:jc w:val="center"/>
        <w:tblInd w:w="0" w:type="dxa"/>
        <w:tblLayout w:type="fixed"/>
        <w:tblCellMar>
          <w:top w:w="28" w:type="dxa"/>
          <w:left w:w="28" w:type="dxa"/>
          <w:bottom w:w="28" w:type="dxa"/>
          <w:right w:w="28" w:type="dxa"/>
        </w:tblCellMar>
      </w:tblPr>
      <w:tblGrid>
        <w:gridCol w:w="1483"/>
        <w:gridCol w:w="1304"/>
        <w:gridCol w:w="1848"/>
      </w:tblGrid>
      <w:tr>
        <w:trPr/>
        <w:tc>
          <w:tcPr>
            <w:tcW w:w="1483"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48"/>
              </w:rPr>
            </w:pPr>
            <w:r>
              <w:rPr>
                <w:rFonts w:ascii="Times New Roman;sans-serif" w:hAnsi="Times New Roman;sans-serif"/>
                <w:b/>
                <w:color w:val="000000"/>
                <w:sz w:val="48"/>
              </w:rPr>
              <w:t>Analog Devices, Inc.</w:t>
            </w:r>
          </w:p>
        </w:tc>
      </w:tr>
      <w:tr>
        <w:trPr/>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c>
      </w:tr>
      <w:tr>
        <w:trPr/>
        <w:tc>
          <w:tcPr>
            <w:tcW w:w="46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______________________________________________________________________________________________________</w:t>
      </w:r>
    </w:p>
    <w:tbl>
      <w:tblPr>
        <w:tblW w:w="5872" w:type="dxa"/>
        <w:jc w:val="center"/>
        <w:tblInd w:w="0" w:type="dxa"/>
        <w:tblLayout w:type="fixed"/>
        <w:tblCellMar>
          <w:top w:w="28" w:type="dxa"/>
          <w:left w:w="28" w:type="dxa"/>
          <w:bottom w:w="28" w:type="dxa"/>
          <w:right w:w="28" w:type="dxa"/>
        </w:tblCellMar>
      </w:tblPr>
      <w:tblGrid>
        <w:gridCol w:w="847"/>
        <w:gridCol w:w="746"/>
        <w:gridCol w:w="747"/>
        <w:gridCol w:w="109"/>
        <w:gridCol w:w="109"/>
        <w:gridCol w:w="109"/>
        <w:gridCol w:w="408"/>
        <w:gridCol w:w="408"/>
        <w:gridCol w:w="413"/>
        <w:gridCol w:w="109"/>
        <w:gridCol w:w="109"/>
        <w:gridCol w:w="109"/>
        <w:gridCol w:w="481"/>
        <w:gridCol w:w="481"/>
        <w:gridCol w:w="687"/>
      </w:tblGrid>
      <w:tr>
        <w:trPr/>
        <w:tc>
          <w:tcPr>
            <w:tcW w:w="84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1-7819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04-2348234</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w:t>
              <w:br/>
              <w:t xml:space="preserve">of Incorporation)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(IRS Employer </w:t>
              <w:br/>
              <w:t>Identification No.)</w:t>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bl>
    <w:tbl>
      <w:tblPr>
        <w:tblW w:w="4391" w:type="dxa"/>
        <w:jc w:val="center"/>
        <w:tblInd w:w="0" w:type="dxa"/>
        <w:tblLayout w:type="fixed"/>
        <w:tblCellMar>
          <w:top w:w="28" w:type="dxa"/>
          <w:left w:w="28" w:type="dxa"/>
          <w:bottom w:w="28" w:type="dxa"/>
          <w:right w:w="28" w:type="dxa"/>
        </w:tblCellMar>
      </w:tblPr>
      <w:tblGrid>
        <w:gridCol w:w="612"/>
        <w:gridCol w:w="539"/>
        <w:gridCol w:w="543"/>
        <w:gridCol w:w="407"/>
        <w:gridCol w:w="407"/>
        <w:gridCol w:w="409"/>
        <w:gridCol w:w="146"/>
        <w:gridCol w:w="146"/>
        <w:gridCol w:w="147"/>
        <w:gridCol w:w="303"/>
        <w:gridCol w:w="303"/>
        <w:gridCol w:w="429"/>
      </w:tblGrid>
      <w:tr>
        <w:trPr/>
        <w:tc>
          <w:tcPr>
            <w:tcW w:w="6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439"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One Analog Way,</w:t>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Wilmington,</w:t>
            </w:r>
          </w:p>
        </w:tc>
        <w:tc>
          <w:tcPr>
            <w:tcW w:w="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01887</w:t>
            </w:r>
          </w:p>
        </w:tc>
      </w:tr>
      <w:tr>
        <w:trPr/>
        <w:tc>
          <w:tcPr>
            <w:tcW w:w="33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439"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(781) 935-5565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 Applicable</w:t>
      </w:r>
    </w:p>
    <w:tbl>
      <w:tblPr>
        <w:tblW w:w="5355" w:type="dxa"/>
        <w:jc w:val="center"/>
        <w:tblInd w:w="0" w:type="dxa"/>
        <w:tblLayout w:type="fixed"/>
        <w:tblCellMar>
          <w:top w:w="28" w:type="dxa"/>
          <w:left w:w="28" w:type="dxa"/>
          <w:bottom w:w="28" w:type="dxa"/>
          <w:right w:w="28" w:type="dxa"/>
        </w:tblCellMar>
      </w:tblPr>
      <w:tblGrid>
        <w:gridCol w:w="1712"/>
        <w:gridCol w:w="1503"/>
        <w:gridCol w:w="2140"/>
      </w:tblGrid>
      <w:tr>
        <w:trPr/>
        <w:tc>
          <w:tcPr>
            <w:tcW w:w="171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______________________________________________________________________________________________________</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20"/>
        </w:rPr>
        <w:t xml:space="preserve">Written communications pursuant to Rule 425 under the Securities Act (17 CFR 230.425) </w:t>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20"/>
        </w:rPr>
        <w:t xml:space="preserve">Soliciting material pursuant to Rule 14a-12 under the Exchange Act (17 CFR 240.14a-12) </w:t>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20"/>
        </w:rPr>
        <w:t xml:space="preserve">Pre-commencement communications pursuant to Rule 14d-2(b) under the Exchange Act (17 CFR 240.14d-2(b)) </w:t>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20"/>
        </w:rPr>
        <w:t xml:space="preserve">Pre-commencement communications pursuant to Rule 13e-4(c) under the Exchange Act (17 CFR 240.13e-4(c))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7228" w:type="dxa"/>
        <w:jc w:val="left"/>
        <w:tblInd w:w="0" w:type="dxa"/>
        <w:tblLayout w:type="fixed"/>
        <w:tblCellMar>
          <w:top w:w="28" w:type="dxa"/>
          <w:left w:w="28" w:type="dxa"/>
          <w:bottom w:w="28" w:type="dxa"/>
          <w:right w:w="28" w:type="dxa"/>
        </w:tblCellMar>
      </w:tblPr>
      <w:tblGrid>
        <w:gridCol w:w="1360"/>
        <w:gridCol w:w="1195"/>
        <w:gridCol w:w="1209"/>
        <w:gridCol w:w="314"/>
        <w:gridCol w:w="314"/>
        <w:gridCol w:w="316"/>
        <w:gridCol w:w="736"/>
        <w:gridCol w:w="736"/>
        <w:gridCol w:w="1048"/>
      </w:tblGrid>
      <w:tr>
        <w:trPr/>
        <w:tc>
          <w:tcPr>
            <w:tcW w:w="136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Trading </w:t>
              <w:br/>
              <w:t>Symbol(s)</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Name of each exchange </w:t>
              <w:br/>
              <w:t>on which registered</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$0.16 2/3 par value per share</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ADI</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color w:val="000000"/>
          <w:sz w:val="20"/>
        </w:rPr>
        <w:t>Item 5.07. Submission of Matters to a Vote of Security Holders.</w:t>
      </w:r>
      <w:r>
        <w:rPr>
          <w:color w:val="000000"/>
        </w:rPr>
        <w:t xml:space="preserve"> </w:t>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At the annual meeting of shareholders of Analog Devices, Inc. (the “Company”) held on Wednesday, March 12, 2025, the proposals listed below were submitted to a vote of the Company’s shareholders</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0"/>
        </w:rPr>
        <w:t>The proposals are described in the Company’s definitive proxy statement on Schedule 14A (the “Proxy Statement”), as filed with the Securities and Exchange Commission on January 27, 2025.</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Proposal 1 – The election of eleven nominees to the Company’s Board of Directors each for a term expiring at the next annual meeting of shareholders.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eleven nominees named in the Proxy Statement were elected to serve as directors until the Company’s next annual meeting of shareholders. Information as to the vote on each director standing for election is provided below:</w:t>
      </w:r>
    </w:p>
    <w:tbl>
      <w:tblPr>
        <w:tblW w:w="7424" w:type="dxa"/>
        <w:jc w:val="left"/>
        <w:tblInd w:w="0" w:type="dxa"/>
        <w:tblLayout w:type="fixed"/>
        <w:tblCellMar>
          <w:top w:w="28" w:type="dxa"/>
          <w:left w:w="28" w:type="dxa"/>
          <w:bottom w:w="28" w:type="dxa"/>
          <w:right w:w="28" w:type="dxa"/>
        </w:tblCellMar>
      </w:tblPr>
      <w:tblGrid>
        <w:gridCol w:w="657"/>
        <w:gridCol w:w="577"/>
        <w:gridCol w:w="581"/>
        <w:gridCol w:w="379"/>
        <w:gridCol w:w="379"/>
        <w:gridCol w:w="383"/>
        <w:gridCol w:w="419"/>
        <w:gridCol w:w="419"/>
        <w:gridCol w:w="421"/>
        <w:gridCol w:w="509"/>
        <w:gridCol w:w="509"/>
        <w:gridCol w:w="511"/>
        <w:gridCol w:w="492"/>
        <w:gridCol w:w="492"/>
        <w:gridCol w:w="696"/>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Nominee</w:t>
            </w:r>
          </w:p>
        </w:tc>
        <w:tc>
          <w:tcPr>
            <w:tcW w:w="114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Votes For</w:t>
            </w:r>
          </w:p>
        </w:tc>
        <w:tc>
          <w:tcPr>
            <w:tcW w:w="125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Votes Against</w:t>
            </w:r>
          </w:p>
        </w:tc>
        <w:tc>
          <w:tcPr>
            <w:tcW w:w="152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Votes Abstaining</w:t>
            </w:r>
          </w:p>
        </w:tc>
        <w:tc>
          <w:tcPr>
            <w:tcW w:w="16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Broker Non-Votes</w:t>
            </w:r>
          </w:p>
        </w:tc>
      </w:tr>
      <w:tr>
        <w:trPr/>
        <w:tc>
          <w:tcPr>
            <w:tcW w:w="1815" w:type="dxa"/>
            <w:gridSpan w:val="3"/>
            <w:tcBorders>
              <w:top w:val="single" w:sz="8" w:space="0" w:color="0094FF"/>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Vincent Roche</w:t>
            </w:r>
          </w:p>
        </w:tc>
        <w:tc>
          <w:tcPr>
            <w:tcW w:w="1141" w:type="dxa"/>
            <w:gridSpan w:val="3"/>
            <w:tcBorders>
              <w:top w:val="single" w:sz="8" w:space="0" w:color="0094FF"/>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394,079,828</w:t>
            </w:r>
          </w:p>
        </w:tc>
        <w:tc>
          <w:tcPr>
            <w:tcW w:w="1259" w:type="dxa"/>
            <w:gridSpan w:val="3"/>
            <w:tcBorders>
              <w:top w:val="single" w:sz="8" w:space="0" w:color="0094FF"/>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22,825,878</w:t>
            </w:r>
          </w:p>
        </w:tc>
        <w:tc>
          <w:tcPr>
            <w:tcW w:w="1529" w:type="dxa"/>
            <w:gridSpan w:val="3"/>
            <w:tcBorders>
              <w:top w:val="single" w:sz="8" w:space="0" w:color="0094FF"/>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964,144</w:t>
            </w:r>
          </w:p>
        </w:tc>
        <w:tc>
          <w:tcPr>
            <w:tcW w:w="1680" w:type="dxa"/>
            <w:gridSpan w:val="3"/>
            <w:tcBorders>
              <w:top w:val="single" w:sz="8" w:space="0" w:color="0094FF"/>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29,360,652</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Stephen M. Jennings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409,592,925</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7,635,785</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641,140</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29,360,652</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André Andonian</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410,547,435</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6,673,472</w:t>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648,943</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29,360,652</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Edward H. Frank</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402,327,614</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14,894,700</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647,536</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29,360,652</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Laurie H. Glimcher</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410,196,656</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7,018,050</w:t>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655,144</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29,360,652</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Karen M. Golz</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409,590,181</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7,624,355</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655,314</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29,360,652</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B. Henry</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415,478,750</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1,741,086</w:t>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650,014</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29,360,652</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Mercedes Johnson</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415,411,795</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1,812,007</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646,048</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29,360,652</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Ray Stata</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413,571,891</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3,659,658</w:t>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638,301</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29,360,652</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Andrea F. Wainer</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416,143,070</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1,081,128</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645,652</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29,360,652</w:t>
            </w:r>
          </w:p>
        </w:tc>
      </w:tr>
      <w:tr>
        <w:trPr/>
        <w:tc>
          <w:tcPr>
            <w:tcW w:w="1815" w:type="dxa"/>
            <w:gridSpan w:val="3"/>
            <w:tcBorders>
              <w:bottom w:val="single" w:sz="8" w:space="0" w:color="0094FF"/>
            </w:tcBorders>
            <w:shd w:fill="CCEEFF" w:val="clear"/>
            <w:tcMar>
              <w:top w:w="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Susie Wee</w:t>
            </w:r>
          </w:p>
        </w:tc>
        <w:tc>
          <w:tcPr>
            <w:tcW w:w="1141" w:type="dxa"/>
            <w:gridSpan w:val="3"/>
            <w:tcBorders>
              <w:bottom w:val="single" w:sz="8" w:space="0" w:color="0094FF"/>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414,623,707</w:t>
            </w:r>
          </w:p>
        </w:tc>
        <w:tc>
          <w:tcPr>
            <w:tcW w:w="1259" w:type="dxa"/>
            <w:gridSpan w:val="3"/>
            <w:tcBorders>
              <w:bottom w:val="single" w:sz="8" w:space="0" w:color="0094FF"/>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2,607,813</w:t>
            </w:r>
          </w:p>
        </w:tc>
        <w:tc>
          <w:tcPr>
            <w:tcW w:w="1529" w:type="dxa"/>
            <w:gridSpan w:val="3"/>
            <w:tcBorders>
              <w:bottom w:val="single" w:sz="8" w:space="0" w:color="0094FF"/>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638,330</w:t>
            </w:r>
          </w:p>
        </w:tc>
        <w:tc>
          <w:tcPr>
            <w:tcW w:w="1680" w:type="dxa"/>
            <w:gridSpan w:val="3"/>
            <w:tcBorders>
              <w:bottom w:val="single" w:sz="8" w:space="0" w:color="0094FF"/>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29,360,652</w:t>
            </w:r>
          </w:p>
        </w:tc>
      </w:tr>
    </w:tbl>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Proposal 2 – The approval, by non-binding “say-on-pay” vote, of the compensation of the Company’s named executive officers, as described in the Compensation Discussion and Analysis, executive compensation tables and accompanying narrative disclosure in the Proxy Statement.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shareholders approved, on an advisory basis, the compensation of the Company’s named executive officers. The voting results were as follows:</w:t>
      </w:r>
    </w:p>
    <w:tbl>
      <w:tblPr>
        <w:tblW w:w="5624" w:type="dxa"/>
        <w:jc w:val="left"/>
        <w:tblInd w:w="0" w:type="dxa"/>
        <w:tblLayout w:type="fixed"/>
        <w:tblCellMar>
          <w:top w:w="28" w:type="dxa"/>
          <w:left w:w="28" w:type="dxa"/>
          <w:bottom w:w="28" w:type="dxa"/>
          <w:right w:w="28" w:type="dxa"/>
        </w:tblCellMar>
      </w:tblPr>
      <w:tblGrid>
        <w:gridCol w:w="418"/>
        <w:gridCol w:w="366"/>
        <w:gridCol w:w="372"/>
        <w:gridCol w:w="419"/>
        <w:gridCol w:w="419"/>
        <w:gridCol w:w="421"/>
        <w:gridCol w:w="509"/>
        <w:gridCol w:w="509"/>
        <w:gridCol w:w="511"/>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Votes For</w:t>
            </w:r>
          </w:p>
        </w:tc>
        <w:tc>
          <w:tcPr>
            <w:tcW w:w="125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Votes Against</w:t>
            </w:r>
          </w:p>
        </w:tc>
        <w:tc>
          <w:tcPr>
            <w:tcW w:w="152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Votes Abstaining</w:t>
            </w:r>
          </w:p>
        </w:tc>
        <w:tc>
          <w:tcPr>
            <w:tcW w:w="16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Broker Non-Votes</w:t>
            </w:r>
          </w:p>
        </w:tc>
      </w:tr>
      <w:tr>
        <w:trPr/>
        <w:tc>
          <w:tcPr>
            <w:tcW w:w="1156" w:type="dxa"/>
            <w:gridSpan w:val="3"/>
            <w:tcBorders>
              <w:top w:val="single" w:sz="8" w:space="0" w:color="0094FF"/>
              <w:bottom w:val="single" w:sz="8" w:space="0" w:color="0094FF"/>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378,705,444</w:t>
            </w:r>
          </w:p>
        </w:tc>
        <w:tc>
          <w:tcPr>
            <w:tcW w:w="1259" w:type="dxa"/>
            <w:gridSpan w:val="3"/>
            <w:tcBorders>
              <w:top w:val="single" w:sz="8" w:space="0" w:color="0094FF"/>
              <w:bottom w:val="single" w:sz="8" w:space="0" w:color="0094FF"/>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38,337,019</w:t>
            </w:r>
          </w:p>
        </w:tc>
        <w:tc>
          <w:tcPr>
            <w:tcW w:w="1529" w:type="dxa"/>
            <w:gridSpan w:val="3"/>
            <w:tcBorders>
              <w:top w:val="single" w:sz="8" w:space="0" w:color="0094FF"/>
              <w:bottom w:val="single" w:sz="8" w:space="0" w:color="0094FF"/>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827,387</w:t>
            </w:r>
          </w:p>
        </w:tc>
        <w:tc>
          <w:tcPr>
            <w:tcW w:w="1680" w:type="dxa"/>
            <w:gridSpan w:val="3"/>
            <w:tcBorders>
              <w:top w:val="single" w:sz="8" w:space="0" w:color="0094FF"/>
              <w:bottom w:val="single" w:sz="8" w:space="0" w:color="0094FF"/>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29,360,652</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Proposal 3 – The ratification of the selection of Ernst &amp; Young LLP as the Company’s independent registered public accounting firm for the fiscal year ending November 1, 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shareholders ratified the Company’s selection of Ernst &amp; Young LLP as the Company’s independent registered public accounting firm for the fiscal year ending November 1, 2025. The voting results were as follows:</w:t>
      </w:r>
    </w:p>
    <w:tbl>
      <w:tblPr>
        <w:tblW w:w="3990" w:type="dxa"/>
        <w:jc w:val="left"/>
        <w:tblInd w:w="0" w:type="dxa"/>
        <w:tblLayout w:type="fixed"/>
        <w:tblCellMar>
          <w:top w:w="28" w:type="dxa"/>
          <w:left w:w="28" w:type="dxa"/>
          <w:bottom w:w="28" w:type="dxa"/>
          <w:right w:w="28" w:type="dxa"/>
        </w:tblCellMar>
      </w:tblPr>
      <w:tblGrid>
        <w:gridCol w:w="418"/>
        <w:gridCol w:w="366"/>
        <w:gridCol w:w="372"/>
        <w:gridCol w:w="419"/>
        <w:gridCol w:w="419"/>
        <w:gridCol w:w="421"/>
        <w:gridCol w:w="461"/>
        <w:gridCol w:w="461"/>
        <w:gridCol w:w="653"/>
      </w:tblGrid>
      <w:tr>
        <w:trPr/>
        <w:tc>
          <w:tcPr>
            <w:tcW w:w="4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Votes For</w:t>
            </w:r>
          </w:p>
        </w:tc>
        <w:tc>
          <w:tcPr>
            <w:tcW w:w="125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Votes Against</w:t>
            </w:r>
          </w:p>
        </w:tc>
        <w:tc>
          <w:tcPr>
            <w:tcW w:w="157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Votes Abstaining</w:t>
            </w:r>
          </w:p>
        </w:tc>
      </w:tr>
      <w:tr>
        <w:trPr/>
        <w:tc>
          <w:tcPr>
            <w:tcW w:w="1156" w:type="dxa"/>
            <w:gridSpan w:val="3"/>
            <w:tcBorders>
              <w:top w:val="single" w:sz="8" w:space="0" w:color="0094FF"/>
              <w:bottom w:val="single" w:sz="8" w:space="0" w:color="0094FF"/>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418,794,598</w:t>
            </w:r>
          </w:p>
        </w:tc>
        <w:tc>
          <w:tcPr>
            <w:tcW w:w="1259" w:type="dxa"/>
            <w:gridSpan w:val="3"/>
            <w:tcBorders>
              <w:top w:val="single" w:sz="8" w:space="0" w:color="0094FF"/>
              <w:bottom w:val="single" w:sz="8" w:space="0" w:color="0094FF"/>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27,513,130</w:t>
            </w:r>
          </w:p>
        </w:tc>
        <w:tc>
          <w:tcPr>
            <w:tcW w:w="1575" w:type="dxa"/>
            <w:gridSpan w:val="3"/>
            <w:tcBorders>
              <w:top w:val="single" w:sz="8" w:space="0" w:color="0094FF"/>
              <w:bottom w:val="single" w:sz="8" w:space="0" w:color="0094FF"/>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922,774</w:t>
            </w:r>
          </w:p>
        </w:tc>
      </w:tr>
    </w:tbl>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i/>
          <w:color w:val="000000"/>
          <w:sz w:val="20"/>
          <w:u w:val="single"/>
        </w:rPr>
        <w:t xml:space="preserve">Proposal 4 – The approval of </w:t>
      </w:r>
      <w:r>
        <w:rPr>
          <w:rFonts w:ascii="Times New Roman;sans-serif" w:hAnsi="Times New Roman;sans-serif"/>
          <w:b w:val="false"/>
          <w:i/>
          <w:color w:val="000000"/>
          <w:sz w:val="22"/>
          <w:u w:val="single"/>
        </w:rPr>
        <w:t>certain amendments to the Company's Articles of Organization to lower the voting requirement for certain matters from a supermajority to a simple majority standard.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shareholders approved the amendments to the Company's Articles of Organization lowering the voting requirement for certain matters from a supermajority to a simple majority standard. The voting results were as follows:</w:t>
      </w:r>
    </w:p>
    <w:tbl>
      <w:tblPr>
        <w:tblW w:w="5624" w:type="dxa"/>
        <w:jc w:val="left"/>
        <w:tblInd w:w="0" w:type="dxa"/>
        <w:tblLayout w:type="fixed"/>
        <w:tblCellMar>
          <w:top w:w="28" w:type="dxa"/>
          <w:left w:w="28" w:type="dxa"/>
          <w:bottom w:w="28" w:type="dxa"/>
          <w:right w:w="28" w:type="dxa"/>
        </w:tblCellMar>
      </w:tblPr>
      <w:tblGrid>
        <w:gridCol w:w="418"/>
        <w:gridCol w:w="366"/>
        <w:gridCol w:w="372"/>
        <w:gridCol w:w="419"/>
        <w:gridCol w:w="419"/>
        <w:gridCol w:w="421"/>
        <w:gridCol w:w="509"/>
        <w:gridCol w:w="509"/>
        <w:gridCol w:w="511"/>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Votes For</w:t>
            </w:r>
          </w:p>
        </w:tc>
        <w:tc>
          <w:tcPr>
            <w:tcW w:w="125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Votes Against</w:t>
            </w:r>
          </w:p>
        </w:tc>
        <w:tc>
          <w:tcPr>
            <w:tcW w:w="152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Votes Abstaining</w:t>
            </w:r>
          </w:p>
        </w:tc>
        <w:tc>
          <w:tcPr>
            <w:tcW w:w="16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Broker Non-Votes</w:t>
            </w:r>
          </w:p>
        </w:tc>
      </w:tr>
      <w:tr>
        <w:trPr/>
        <w:tc>
          <w:tcPr>
            <w:tcW w:w="1156" w:type="dxa"/>
            <w:gridSpan w:val="3"/>
            <w:tcBorders>
              <w:top w:val="single" w:sz="8" w:space="0" w:color="0094FF"/>
              <w:bottom w:val="single" w:sz="8" w:space="0" w:color="0094FF"/>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415,526,330</w:t>
            </w:r>
          </w:p>
        </w:tc>
        <w:tc>
          <w:tcPr>
            <w:tcW w:w="1259" w:type="dxa"/>
            <w:gridSpan w:val="3"/>
            <w:tcBorders>
              <w:top w:val="single" w:sz="8" w:space="0" w:color="0094FF"/>
              <w:bottom w:val="single" w:sz="8" w:space="0" w:color="0094FF"/>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1,608,806</w:t>
            </w:r>
          </w:p>
        </w:tc>
        <w:tc>
          <w:tcPr>
            <w:tcW w:w="1529" w:type="dxa"/>
            <w:gridSpan w:val="3"/>
            <w:tcBorders>
              <w:top w:val="single" w:sz="8" w:space="0" w:color="0094FF"/>
              <w:bottom w:val="single" w:sz="8" w:space="0" w:color="0094FF"/>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734,714</w:t>
            </w:r>
          </w:p>
        </w:tc>
        <w:tc>
          <w:tcPr>
            <w:tcW w:w="1680" w:type="dxa"/>
            <w:gridSpan w:val="3"/>
            <w:tcBorders>
              <w:top w:val="single" w:sz="8" w:space="0" w:color="0094FF"/>
              <w:bottom w:val="single" w:sz="8" w:space="0" w:color="0094FF"/>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29,360,652</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8549"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246"/>
        <w:gridCol w:w="246"/>
        <w:gridCol w:w="246"/>
        <w:gridCol w:w="915"/>
        <w:gridCol w:w="915"/>
        <w:gridCol w:w="915"/>
        <w:gridCol w:w="915"/>
        <w:gridCol w:w="915"/>
        <w:gridCol w:w="915"/>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13, 2025</w:t>
            </w:r>
          </w:p>
        </w:tc>
        <w:tc>
          <w:tcPr>
            <w:tcW w:w="622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ANALOG DEVICES, INC.</w:t>
              <w:b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549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Janene I. Asgeirsson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9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Janene I. Asgeirsson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Legal Officer and Corporate Secretary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ind w:left="0" w:right="0" w:firstLine="7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787</Words>
  <Characters>5127</Characters>
  <CharactersWithSpaces>5813</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