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9" w:lineRule="exact"/>
        <w:rPr>
          <w:sz w:val="24"/>
          <w:szCs w:val="24"/>
          <w:color w:val="auto"/>
        </w:rPr>
      </w:pPr>
    </w:p>
    <w:p>
      <w:pPr>
        <w:jc w:val="right"/>
        <w:ind w:left="540" w:right="2319"/>
        <w:spacing w:after="0" w:line="470" w:lineRule="auto"/>
        <w:rPr>
          <w:sz w:val="20"/>
          <w:szCs w:val="20"/>
          <w:color w:val="auto"/>
        </w:rPr>
      </w:pPr>
      <w:r>
        <w:rPr>
          <w:rFonts w:ascii="Courier New" w:cs="Courier New" w:eastAsia="Courier New" w:hAnsi="Courier New"/>
          <w:sz w:val="18"/>
          <w:szCs w:val="18"/>
          <w:color w:val="auto"/>
        </w:rPr>
        <w:t>AS FILED WITH THE SECURITIES AND EXCHANGE COMMISSION ON APRIL 15, 1997 Registration No. 333-17651</w:t>
      </w:r>
    </w:p>
    <w:p>
      <w:pPr>
        <w:spacing w:after="0" w:line="1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POST-EFFECTIVE AMENDMENT NO. 1</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FORM S-3</w:t>
      </w:r>
    </w:p>
    <w:p>
      <w:pPr>
        <w:spacing w:after="0" w:line="200" w:lineRule="exact"/>
        <w:rPr>
          <w:sz w:val="24"/>
          <w:szCs w:val="24"/>
          <w:color w:val="auto"/>
        </w:rPr>
      </w:pP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ectPr>
          <w:pgSz w:w="11900" w:h="16853" w:orient="portrait"/>
          <w:cols w:equalWidth="0" w:num="1">
            <w:col w:w="10219"/>
          </w:cols>
          <w:pgMar w:left="240" w:top="244" w:right="1440" w:bottom="0" w:gutter="0" w:footer="0" w:header="0"/>
        </w:sectPr>
      </w:pP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diction of Incorpora-</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04-2348234</w:t>
      </w:r>
    </w:p>
    <w:p>
      <w:pPr>
        <w:spacing w:after="0" w:line="238" w:lineRule="auto"/>
        <w:rPr>
          <w:sz w:val="20"/>
          <w:szCs w:val="20"/>
          <w:color w:val="auto"/>
        </w:rPr>
      </w:pPr>
      <w:r>
        <w:rPr>
          <w:rFonts w:ascii="Courier New" w:cs="Courier New" w:eastAsia="Courier New" w:hAnsi="Courier New"/>
          <w:sz w:val="18"/>
          <w:szCs w:val="18"/>
          <w:color w:val="auto"/>
        </w:rPr>
        <w:t>(I.R.S.Employer.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7" w:lineRule="exact"/>
        <w:rPr>
          <w:sz w:val="24"/>
          <w:szCs w:val="24"/>
          <w:color w:val="auto"/>
        </w:rPr>
      </w:pPr>
    </w:p>
    <w:p>
      <w:pPr>
        <w:sectPr>
          <w:pgSz w:w="11900" w:h="16853" w:orient="portrait"/>
          <w:cols w:equalWidth="0" w:num="2">
            <w:col w:w="4880" w:space="720"/>
            <w:col w:w="4619"/>
          </w:cols>
          <w:pgMar w:left="240" w:top="244" w:right="1440" w:bottom="0" w:gutter="0" w:footer="0" w:header="0"/>
          <w:type w:val="continuous"/>
        </w:sectPr>
      </w:pPr>
    </w:p>
    <w:p>
      <w:pPr>
        <w:ind w:left="540"/>
        <w:spacing w:after="0" w:line="238" w:lineRule="auto"/>
        <w:rPr>
          <w:sz w:val="20"/>
          <w:szCs w:val="20"/>
          <w:color w:val="auto"/>
        </w:rPr>
      </w:pPr>
      <w:r>
        <w:rPr>
          <w:rFonts w:ascii="Courier New" w:cs="Courier New" w:eastAsia="Courier New" w:hAnsi="Courier New"/>
          <w:sz w:val="18"/>
          <w:szCs w:val="18"/>
          <w:color w:val="auto"/>
        </w:rPr>
        <w:t>tion or Organization)</w:t>
      </w:r>
    </w:p>
    <w:p>
      <w:pPr>
        <w:ind w:left="3280"/>
        <w:spacing w:after="0"/>
        <w:rPr>
          <w:sz w:val="20"/>
          <w:szCs w:val="20"/>
          <w:color w:val="auto"/>
        </w:rPr>
      </w:pPr>
      <w:r>
        <w:rPr>
          <w:rFonts w:ascii="Courier New" w:cs="Courier New" w:eastAsia="Courier New" w:hAnsi="Courier New"/>
          <w:sz w:val="18"/>
          <w:szCs w:val="18"/>
          <w:color w:val="auto"/>
        </w:rPr>
        <w:t>ONE TECHNOLOGY WAY</w:t>
      </w:r>
    </w:p>
    <w:p>
      <w:pPr>
        <w:ind w:left="2540"/>
        <w:spacing w:after="0" w:line="237" w:lineRule="auto"/>
        <w:rPr>
          <w:sz w:val="20"/>
          <w:szCs w:val="20"/>
          <w:color w:val="auto"/>
        </w:rPr>
      </w:pPr>
      <w:r>
        <w:rPr>
          <w:rFonts w:ascii="Courier New" w:cs="Courier New" w:eastAsia="Courier New" w:hAnsi="Courier New"/>
          <w:sz w:val="18"/>
          <w:szCs w:val="18"/>
          <w:color w:val="auto"/>
        </w:rPr>
        <w:t>NORWOOD, MASSACHUSETTS 02062-9106</w:t>
      </w:r>
    </w:p>
    <w:p>
      <w:pPr>
        <w:ind w:left="3480"/>
        <w:spacing w:after="0" w:line="238" w:lineRule="auto"/>
        <w:rPr>
          <w:sz w:val="20"/>
          <w:szCs w:val="20"/>
          <w:color w:val="auto"/>
        </w:rPr>
      </w:pPr>
      <w:r>
        <w:rPr>
          <w:rFonts w:ascii="Courier New" w:cs="Courier New" w:eastAsia="Courier New" w:hAnsi="Courier New"/>
          <w:sz w:val="18"/>
          <w:szCs w:val="18"/>
          <w:color w:val="auto"/>
        </w:rPr>
        <w:t>(617) 329-4700</w:t>
      </w:r>
    </w:p>
    <w:p>
      <w:pPr>
        <w:ind w:left="2540"/>
        <w:spacing w:after="0"/>
        <w:rPr>
          <w:sz w:val="20"/>
          <w:szCs w:val="20"/>
          <w:color w:val="auto"/>
        </w:rPr>
      </w:pPr>
      <w:r>
        <w:rPr>
          <w:rFonts w:ascii="Courier New" w:cs="Courier New" w:eastAsia="Courier New" w:hAnsi="Courier New"/>
          <w:sz w:val="18"/>
          <w:szCs w:val="18"/>
          <w:color w:val="auto"/>
        </w:rPr>
        <w:t>(Address, Including Zip Code, and</w:t>
      </w:r>
    </w:p>
    <w:p>
      <w:pPr>
        <w:ind w:left="2220"/>
        <w:spacing w:after="0" w:line="237" w:lineRule="auto"/>
        <w:rPr>
          <w:sz w:val="20"/>
          <w:szCs w:val="20"/>
          <w:color w:val="auto"/>
        </w:rPr>
      </w:pPr>
      <w:r>
        <w:rPr>
          <w:rFonts w:ascii="Courier New" w:cs="Courier New" w:eastAsia="Courier New" w:hAnsi="Courier New"/>
          <w:sz w:val="18"/>
          <w:szCs w:val="18"/>
          <w:color w:val="auto"/>
        </w:rPr>
        <w:t>Telephone Number, Including Area Code,</w:t>
      </w:r>
    </w:p>
    <w:p>
      <w:pPr>
        <w:ind w:left="2960"/>
        <w:spacing w:after="0"/>
        <w:rPr>
          <w:sz w:val="20"/>
          <w:szCs w:val="20"/>
          <w:color w:val="auto"/>
        </w:rPr>
      </w:pPr>
      <w:r>
        <w:rPr>
          <w:rFonts w:ascii="Courier New" w:cs="Courier New" w:eastAsia="Courier New" w:hAnsi="Courier New"/>
          <w:sz w:val="18"/>
          <w:szCs w:val="18"/>
          <w:color w:val="auto"/>
        </w:rPr>
        <w:t>of Registrant's Principal</w:t>
      </w:r>
    </w:p>
    <w:p>
      <w:pPr>
        <w:ind w:left="3280"/>
        <w:spacing w:after="0" w:line="237" w:lineRule="auto"/>
        <w:rPr>
          <w:sz w:val="20"/>
          <w:szCs w:val="20"/>
          <w:color w:val="auto"/>
        </w:rPr>
      </w:pPr>
      <w:r>
        <w:rPr>
          <w:rFonts w:ascii="Courier New" w:cs="Courier New" w:eastAsia="Courier New" w:hAnsi="Courier New"/>
          <w:sz w:val="18"/>
          <w:szCs w:val="18"/>
          <w:color w:val="auto"/>
        </w:rPr>
        <w:t>Executive Offices)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PAUL P. BROUNTAS, ESQ.</w:t>
      </w:r>
    </w:p>
    <w:p>
      <w:pPr>
        <w:jc w:val="center"/>
        <w:ind w:right="1659"/>
        <w:spacing w:after="0" w:line="238" w:lineRule="auto"/>
        <w:rPr>
          <w:sz w:val="20"/>
          <w:szCs w:val="20"/>
          <w:color w:val="auto"/>
        </w:rPr>
      </w:pPr>
      <w:r>
        <w:rPr>
          <w:rFonts w:ascii="Courier New" w:cs="Courier New" w:eastAsia="Courier New" w:hAnsi="Courier New"/>
          <w:sz w:val="18"/>
          <w:szCs w:val="18"/>
          <w:color w:val="auto"/>
        </w:rPr>
        <w:t>HALE AND DORR</w:t>
      </w:r>
    </w:p>
    <w:p>
      <w:pPr>
        <w:jc w:val="center"/>
        <w:ind w:right="1659"/>
        <w:spacing w:after="0"/>
        <w:rPr>
          <w:sz w:val="20"/>
          <w:szCs w:val="20"/>
          <w:color w:val="auto"/>
        </w:rPr>
      </w:pPr>
      <w:r>
        <w:rPr>
          <w:rFonts w:ascii="Courier New" w:cs="Courier New" w:eastAsia="Courier New" w:hAnsi="Courier New"/>
          <w:sz w:val="18"/>
          <w:szCs w:val="18"/>
          <w:color w:val="auto"/>
        </w:rPr>
        <w:t>60 STATE STREET</w:t>
      </w:r>
    </w:p>
    <w:p>
      <w:pPr>
        <w:ind w:left="2860"/>
        <w:spacing w:after="0" w:line="237" w:lineRule="auto"/>
        <w:rPr>
          <w:sz w:val="20"/>
          <w:szCs w:val="20"/>
          <w:color w:val="auto"/>
        </w:rPr>
      </w:pPr>
      <w:r>
        <w:rPr>
          <w:rFonts w:ascii="Courier New" w:cs="Courier New" w:eastAsia="Courier New" w:hAnsi="Courier New"/>
          <w:sz w:val="18"/>
          <w:szCs w:val="18"/>
          <w:color w:val="auto"/>
        </w:rPr>
        <w:t>BOSTON, MASSACHUSETTS 02109</w:t>
      </w:r>
    </w:p>
    <w:p>
      <w:pPr>
        <w:ind w:left="3480"/>
        <w:spacing w:after="0" w:line="238" w:lineRule="auto"/>
        <w:rPr>
          <w:sz w:val="20"/>
          <w:szCs w:val="20"/>
          <w:color w:val="auto"/>
        </w:rPr>
      </w:pPr>
      <w:r>
        <w:rPr>
          <w:rFonts w:ascii="Courier New" w:cs="Courier New" w:eastAsia="Courier New" w:hAnsi="Courier New"/>
          <w:sz w:val="18"/>
          <w:szCs w:val="18"/>
          <w:color w:val="auto"/>
        </w:rPr>
        <w:t>(617) 526-6000</w:t>
      </w:r>
    </w:p>
    <w:p>
      <w:pPr>
        <w:ind w:left="2220"/>
        <w:spacing w:after="0"/>
        <w:rPr>
          <w:sz w:val="20"/>
          <w:szCs w:val="20"/>
          <w:color w:val="auto"/>
        </w:rPr>
      </w:pPr>
      <w:r>
        <w:rPr>
          <w:rFonts w:ascii="Courier New" w:cs="Courier New" w:eastAsia="Courier New" w:hAnsi="Courier New"/>
          <w:sz w:val="18"/>
          <w:szCs w:val="18"/>
          <w:color w:val="auto"/>
        </w:rPr>
        <w:t>(Name, Address, Including Zip Code, and</w:t>
      </w:r>
    </w:p>
    <w:p>
      <w:pPr>
        <w:ind w:left="2220"/>
        <w:spacing w:after="0" w:line="237" w:lineRule="auto"/>
        <w:rPr>
          <w:sz w:val="20"/>
          <w:szCs w:val="20"/>
          <w:color w:val="auto"/>
        </w:rPr>
      </w:pPr>
      <w:r>
        <w:rPr>
          <w:rFonts w:ascii="Courier New" w:cs="Courier New" w:eastAsia="Courier New" w:hAnsi="Courier New"/>
          <w:sz w:val="18"/>
          <w:szCs w:val="18"/>
          <w:color w:val="auto"/>
        </w:rPr>
        <w:t>Telephone Number, Including Area Code,</w:t>
      </w:r>
    </w:p>
    <w:p>
      <w:pPr>
        <w:ind w:left="3160"/>
        <w:spacing w:after="0"/>
        <w:rPr>
          <w:sz w:val="20"/>
          <w:szCs w:val="20"/>
          <w:color w:val="auto"/>
        </w:rPr>
      </w:pPr>
      <w:r>
        <w:rPr>
          <w:rFonts w:ascii="Courier New" w:cs="Courier New" w:eastAsia="Courier New" w:hAnsi="Courier New"/>
          <w:sz w:val="18"/>
          <w:szCs w:val="18"/>
          <w:color w:val="auto"/>
        </w:rPr>
        <w:t>of Agent for Service)</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left="540" w:right="2099" w:firstLine="527"/>
        <w:spacing w:after="0" w:line="290"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THIS REGISTRATION STATEMENT BECOMES EFFECTIVE.</w:t>
      </w:r>
    </w:p>
    <w:p>
      <w:pPr>
        <w:spacing w:after="0" w:line="170" w:lineRule="exact"/>
        <w:rPr>
          <w:sz w:val="24"/>
          <w:szCs w:val="24"/>
          <w:color w:val="auto"/>
        </w:rPr>
      </w:pPr>
    </w:p>
    <w:p>
      <w:pPr>
        <w:ind w:left="540" w:right="1779" w:firstLine="527"/>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left="540" w:right="1879" w:firstLine="527"/>
        <w:spacing w:after="0" w:line="275"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82" w:lineRule="exact"/>
        <w:rPr>
          <w:sz w:val="24"/>
          <w:szCs w:val="24"/>
          <w:color w:val="auto"/>
        </w:rPr>
      </w:pPr>
    </w:p>
    <w:p>
      <w:pPr>
        <w:ind w:left="540" w:right="1999" w:firstLine="527"/>
        <w:spacing w:after="0" w:line="237" w:lineRule="auto"/>
        <w:rPr>
          <w:sz w:val="20"/>
          <w:szCs w:val="20"/>
          <w:color w:val="auto"/>
        </w:rPr>
      </w:pPr>
      <w:r>
        <w:rPr>
          <w:rFonts w:ascii="Courier New" w:cs="Courier New" w:eastAsia="Courier New" w:hAnsi="Courier New"/>
          <w:sz w:val="18"/>
          <w:szCs w:val="18"/>
          <w:color w:val="auto"/>
        </w:rPr>
        <w:t>If this form is registering additional securities pursuant to Rule 462(b) under the Securities Act, please check the following box and list the Securities Act registration statement number of the earlier effective registration statement for the same offering. / /</w:t>
      </w:r>
    </w:p>
    <w:p>
      <w:pPr>
        <w:spacing w:after="0" w:line="207" w:lineRule="exact"/>
        <w:rPr>
          <w:sz w:val="24"/>
          <w:szCs w:val="24"/>
          <w:color w:val="auto"/>
        </w:rPr>
      </w:pPr>
    </w:p>
    <w:p>
      <w:pPr>
        <w:ind w:left="540" w:right="2319" w:firstLine="527"/>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ind w:left="540" w:right="2199" w:firstLine="527"/>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Rule 434, please check the following box. / /</w:t>
      </w:r>
    </w:p>
    <w:p>
      <w:pPr>
        <w:sectPr>
          <w:pgSz w:w="11900" w:h="16853" w:orient="portrait"/>
          <w:cols w:equalWidth="0" w:num="1">
            <w:col w:w="10219"/>
          </w:cols>
          <w:pgMar w:left="240" w:top="244" w:right="1440" w:bottom="0" w:gutter="0" w:footer="0" w:header="0"/>
          <w:type w:val="continuous"/>
        </w:sectPr>
      </w:pPr>
    </w:p>
    <w:bookmarkStart w:id="1" w:name="page2"/>
    <w:bookmarkEnd w:id="1"/>
    <w:p>
      <w:pPr>
        <w:ind w:left="24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w:t>
      </w:r>
    </w:p>
    <w:p>
      <w:pPr>
        <w:spacing w:after="0" w:line="200" w:lineRule="exact"/>
        <w:rPr>
          <w:sz w:val="20"/>
          <w:szCs w:val="20"/>
          <w:color w:val="auto"/>
        </w:rPr>
      </w:pPr>
    </w:p>
    <w:p>
      <w:pPr>
        <w:spacing w:after="0" w:line="208"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prospectus included herein relates to shares of Common Stock, $.16 2/3 par value per share (the "Common Stock") of Analog Devices, Inc. ("Analog" or the "Company") which may be issued by the Company from time to time to the trust (the "Trust") established by the Company and Boatmens' Trust Company (the "Trustee") pursuant to the Company's Deferred Compensation Plan. At the time that this registration statement, File No. 333-17651 (the "Registration Statement"), was originally filed, only a portion of the shares (only those shares that represented the gain that would otherwise be realized upon exercise of an option) issuable upon the exercise of non-statutory stock options held by eligible participants (the "Gain Shares") were to be issued to the Trust pursuant to prior irrevocable elections made by such participants. Subsequently, on March 11, 1997, the Board of Directors of the Company authorized (pursuant to prior irrevocable elections) (i) the issuance to the Trust of up to all shares of Common Stock issuable upon the exercise of non-statutory stock options held by such participants, not just the Gain Shares; and (ii) the transfer from certain employees to the Trust of shares of restricted stock. The number of shares of Common Stock registered pursuant to the Registration Statement shall remain the same, this Amendment No. 1 to the Registration Statement has been filed merely to amend the disclosure, as described in the previous sentence, in the prospectus included herein. ===========================================================================</w:t>
      </w:r>
    </w:p>
    <w:p>
      <w:pPr>
        <w:sectPr>
          <w:pgSz w:w="11900" w:h="16838" w:orient="portrait"/>
          <w:cols w:equalWidth="0" w:num="1">
            <w:col w:w="9679"/>
          </w:cols>
          <w:pgMar w:left="780" w:top="541"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200" w:lineRule="exact"/>
        <w:rPr>
          <w:sz w:val="20"/>
          <w:szCs w:val="20"/>
          <w:color w:val="auto"/>
        </w:rPr>
      </w:pPr>
    </w:p>
    <w:p>
      <w:pPr>
        <w:spacing w:after="0" w:line="38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SUBJECT TO COMPLETION, DATED APRIL 15, 1997</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1,000,000 Shares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shares of Common Stock, $.16 2/3 par value per share (the "Common Stock") of Analog Devices, Inc. ("Analog" or the "Company") covered by this Prospectus may be issued, or transferred, by the Company from time to time to the trust (the "Trust") established by the Company and Boatmens' Trust Company (the "Trustee") pursuant to the Company's Deferred Compensation Plan. All of the shares covered by this Prospectus may be offered and sold for the account of the Trust, and the proceeds of the sale of the shares will be held by the Trustee separate and apart from other funds of the Company and applied for the uses and purposes of participants in the Company's Deferred Compensation Plan. See "Deferred Compensation Plan" and "Use of Proceeds."</w:t>
      </w:r>
    </w:p>
    <w:p>
      <w:pPr>
        <w:spacing w:after="0" w:line="200" w:lineRule="exact"/>
        <w:rPr>
          <w:sz w:val="20"/>
          <w:szCs w:val="20"/>
          <w:color w:val="auto"/>
        </w:rPr>
      </w:pPr>
    </w:p>
    <w:p>
      <w:pPr>
        <w:spacing w:after="0" w:line="2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1879"/>
        <w:spacing w:after="0" w:line="26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w:t>
      </w:r>
    </w:p>
    <w:p>
      <w:pPr>
        <w:jc w:val="center"/>
        <w:ind w:right="1879"/>
        <w:spacing w:after="0" w:line="234" w:lineRule="auto"/>
        <w:rPr>
          <w:sz w:val="20"/>
          <w:szCs w:val="20"/>
          <w:color w:val="auto"/>
        </w:rPr>
      </w:pPr>
      <w:r>
        <w:rPr>
          <w:rFonts w:ascii="Courier New" w:cs="Courier New" w:eastAsia="Courier New" w:hAnsi="Courier New"/>
          <w:sz w:val="18"/>
          <w:szCs w:val="18"/>
          <w:color w:val="auto"/>
        </w:rPr>
        <w:t>OR ADEQUACY OF THIS PROSPECTUS. ANY REPRESENTATION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THE CONTRARY IS A CRIMINAL OFFENSE.</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0"/>
        <w:spacing w:after="0"/>
        <w:tabs>
          <w:tab w:leader="none" w:pos="5880" w:val="left"/>
        </w:tabs>
        <w:rPr>
          <w:sz w:val="20"/>
          <w:szCs w:val="20"/>
          <w:color w:val="auto"/>
        </w:rPr>
      </w:pPr>
      <w:r>
        <w:rPr>
          <w:rFonts w:ascii="Courier New" w:cs="Courier New" w:eastAsia="Courier New" w:hAnsi="Courier New"/>
          <w:sz w:val="18"/>
          <w:szCs w:val="18"/>
          <w:color w:val="auto"/>
        </w:rPr>
        <w:t>The date of this Prospectus is April</w:t>
      </w:r>
      <w:r>
        <w:rPr>
          <w:sz w:val="20"/>
          <w:szCs w:val="20"/>
          <w:color w:val="auto"/>
        </w:rPr>
        <w:tab/>
      </w:r>
      <w:r>
        <w:rPr>
          <w:rFonts w:ascii="Courier New" w:cs="Courier New" w:eastAsia="Courier New" w:hAnsi="Courier New"/>
          <w:sz w:val="16"/>
          <w:szCs w:val="16"/>
          <w:color w:val="auto"/>
        </w:rPr>
        <w:t>, 1997.</w:t>
      </w:r>
    </w:p>
    <w:p>
      <w:pPr>
        <w:sectPr>
          <w:pgSz w:w="11900" w:h="16838" w:orient="portrait"/>
          <w:cols w:equalWidth="0" w:num="1">
            <w:col w:w="10219"/>
          </w:cols>
          <w:pgMar w:left="24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AVAILABLE INFORMATION</w:t>
      </w:r>
    </w:p>
    <w:p>
      <w:pPr>
        <w:spacing w:after="0" w:line="200" w:lineRule="exact"/>
        <w:rPr>
          <w:sz w:val="20"/>
          <w:szCs w:val="20"/>
          <w:color w:val="auto"/>
        </w:rPr>
      </w:pPr>
    </w:p>
    <w:p>
      <w:pPr>
        <w:spacing w:after="0" w:line="209" w:lineRule="exact"/>
        <w:rPr>
          <w:sz w:val="20"/>
          <w:szCs w:val="20"/>
          <w:color w:val="auto"/>
        </w:rPr>
      </w:pPr>
    </w:p>
    <w:p>
      <w:pPr>
        <w:ind w:left="220" w:right="1779" w:firstLine="527"/>
        <w:spacing w:after="0" w:line="238" w:lineRule="auto"/>
        <w:rPr>
          <w:sz w:val="20"/>
          <w:szCs w:val="20"/>
          <w:color w:val="auto"/>
        </w:rPr>
      </w:pPr>
      <w:r>
        <w:rPr>
          <w:rFonts w:ascii="Courier New" w:cs="Courier New" w:eastAsia="Courier New" w:hAnsi="Courier New"/>
          <w:sz w:val="18"/>
          <w:szCs w:val="18"/>
          <w:color w:val="auto"/>
        </w:rPr>
        <w:t>The Company is subject to the informational requirements of the Securities Exchange Act of 1934, as amended (the "Exchange Act"), and in accordance therewith files reports and other information with the Securities and Exchange Commission (the "Commission"). Reports, proxy materials and other information filed by the Company with the Commission, pursuant to the informational requirements of the Exchange Act, may be inspected and copied at the public reference facilities maintained by the Commission at 450 Fifth Street, N.W., Washington, D.C. 20549, and at the Commission's regional offices located at Seven World Trade Center, 13th Floor, New York, New York 10048, and at Citicorp Center, 500 West Madison Street, Suite 1400, Chicago, Illinois 60661. Copies of such materials also may be obtained from the Public Reference Section of the Commission at 450 Fifth Street, N.W., Washington, D.C. 20549 at prescribed rates. In addition, the Company is required to file electronic versions of these documents with the Commission through the Commission's Electronic Data Gathering, Analysis and Retrieval (EDGAR) system. The Commission maintains a World Wide Web site at http://www.sec.gov that contains reports, proxy and information statements and other information regarding registrants that file electronically with the Commission. The Common Stock of the Company is listed on the New York Stock Exchange and traded under the symbol "ADI." Reports, proxy materials and other information concerning the Company may also be inspected at the offices of the New York Stock Exchange, 20 Broad Street, New York, New York 10005.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right="1779" w:firstLine="527"/>
        <w:spacing w:after="0" w:line="270" w:lineRule="auto"/>
        <w:rPr>
          <w:sz w:val="20"/>
          <w:szCs w:val="20"/>
          <w:color w:val="auto"/>
        </w:rPr>
      </w:pPr>
      <w:r>
        <w:rPr>
          <w:rFonts w:ascii="Courier New" w:cs="Courier New" w:eastAsia="Courier New" w:hAnsi="Courier New"/>
          <w:sz w:val="16"/>
          <w:szCs w:val="16"/>
          <w:color w:val="auto"/>
        </w:rPr>
        <w:t>The Company has filed with the Commission a Registration Statement (as amended by Post-Effective Amendment No. 1 thereto) on Form S-3 (the "Registration Statement") under the Securities Act of 1933, as amended (the "Securities Act"), with respect to the shares of Common Stock offered hereby. This Prospectus does not contain all the information set forth in the Registration Statement and the exhibits and schedules thereto, certain portions of which are omitted as permitted by the rules and regulations of the Commission. For further information with respect to the Company and the shares of Common Stock offered hereby, reference is made to the Registration Statement, including the exhibits and schedules thereto, which may be inspected, without charge, at the Commission's principal office at 450 Fifth Street, N.W., Washington, D.C. 20549, and also at the regional offices of the Commission listed above. Copies of such materials may also be obtained from the Commission upon the payment of prescribed rates.</w:t>
      </w:r>
    </w:p>
    <w:p>
      <w:pPr>
        <w:spacing w:after="0" w:line="200" w:lineRule="exact"/>
        <w:rPr>
          <w:sz w:val="20"/>
          <w:szCs w:val="20"/>
          <w:color w:val="auto"/>
        </w:rPr>
      </w:pPr>
    </w:p>
    <w:p>
      <w:pPr>
        <w:spacing w:after="0" w:line="390"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Statements contained in this Prospectus as to any contracts, agreements or other documents filed as an exhibit to the Registration Statement are not necessarily complete, and in each instance reference is hereby made to the copy of such contract, agreement or other document filed as an exhibit to the Registration Statement for a full statement of the provisions thereof, and each such statement in this Prospectus is qualified in all respects by such reference.</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left="220" w:right="1999" w:firstLine="527"/>
        <w:spacing w:after="0" w:line="235" w:lineRule="auto"/>
        <w:rPr>
          <w:sz w:val="20"/>
          <w:szCs w:val="20"/>
          <w:color w:val="auto"/>
        </w:rPr>
      </w:pPr>
      <w:r>
        <w:rPr>
          <w:rFonts w:ascii="Courier New" w:cs="Courier New" w:eastAsia="Courier New" w:hAnsi="Courier New"/>
          <w:sz w:val="18"/>
          <w:szCs w:val="18"/>
          <w:color w:val="auto"/>
        </w:rPr>
        <w:t>The following documents filed by the Company with the Commission are incorporated herein by reference:</w:t>
      </w:r>
    </w:p>
    <w:p>
      <w:pPr>
        <w:spacing w:after="0" w:line="200" w:lineRule="exact"/>
        <w:rPr>
          <w:sz w:val="20"/>
          <w:szCs w:val="20"/>
          <w:color w:val="auto"/>
        </w:rPr>
      </w:pPr>
    </w:p>
    <w:p>
      <w:pPr>
        <w:spacing w:after="0" w:line="211" w:lineRule="exact"/>
        <w:rPr>
          <w:sz w:val="20"/>
          <w:szCs w:val="20"/>
          <w:color w:val="auto"/>
        </w:rPr>
      </w:pPr>
    </w:p>
    <w:p>
      <w:pPr>
        <w:ind w:left="220" w:right="1779" w:firstLine="521"/>
        <w:spacing w:after="0" w:line="235" w:lineRule="auto"/>
        <w:tabs>
          <w:tab w:leader="none" w:pos="116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November 2, 1996;</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20" w:right="1879" w:firstLine="521"/>
        <w:spacing w:after="0" w:line="235" w:lineRule="auto"/>
        <w:tabs>
          <w:tab w:leader="none" w:pos="116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February 1, 1997;</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1160" w:hanging="419"/>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Registration Statement on Form 8-A (File No.</w:t>
      </w:r>
    </w:p>
    <w:p>
      <w:pPr>
        <w:ind w:left="220"/>
        <w:spacing w:after="0" w:line="238" w:lineRule="auto"/>
        <w:rPr>
          <w:sz w:val="20"/>
          <w:szCs w:val="20"/>
          <w:color w:val="auto"/>
        </w:rPr>
      </w:pPr>
      <w:r>
        <w:rPr>
          <w:rFonts w:ascii="Courier New" w:cs="Courier New" w:eastAsia="Courier New" w:hAnsi="Courier New"/>
          <w:sz w:val="18"/>
          <w:szCs w:val="18"/>
          <w:color w:val="auto"/>
        </w:rPr>
        <w:t>0-4407) filed with the Commission on March 2, 1970; and</w:t>
      </w:r>
    </w:p>
    <w:p>
      <w:pPr>
        <w:spacing w:after="0" w:line="200" w:lineRule="exact"/>
        <w:rPr>
          <w:sz w:val="20"/>
          <w:szCs w:val="20"/>
          <w:color w:val="auto"/>
        </w:rPr>
      </w:pPr>
    </w:p>
    <w:p>
      <w:pPr>
        <w:spacing w:after="0" w:line="210" w:lineRule="exact"/>
        <w:rPr>
          <w:sz w:val="20"/>
          <w:szCs w:val="20"/>
          <w:color w:val="auto"/>
        </w:rPr>
      </w:pPr>
    </w:p>
    <w:p>
      <w:pPr>
        <w:ind w:left="220" w:right="2099" w:firstLine="521"/>
        <w:spacing w:after="0" w:line="236" w:lineRule="auto"/>
        <w:tabs>
          <w:tab w:leader="none" w:pos="11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the Company pursuant to Section 13(a), 13(c), 14 or 15(d) of the Exchange Act after April 15, 1997 and prior to the date of this Prospectus.</w:t>
      </w:r>
    </w:p>
    <w:p>
      <w:pPr>
        <w:spacing w:after="0" w:line="200" w:lineRule="exact"/>
        <w:rPr>
          <w:sz w:val="20"/>
          <w:szCs w:val="20"/>
          <w:color w:val="auto"/>
        </w:rPr>
      </w:pPr>
    </w:p>
    <w:p>
      <w:pPr>
        <w:spacing w:after="0" w:line="211" w:lineRule="exact"/>
        <w:rPr>
          <w:sz w:val="20"/>
          <w:szCs w:val="20"/>
          <w:color w:val="auto"/>
        </w:rPr>
      </w:pPr>
    </w:p>
    <w:p>
      <w:pPr>
        <w:ind w:left="220" w:right="1779" w:firstLine="527"/>
        <w:spacing w:after="0" w:line="238" w:lineRule="auto"/>
        <w:rPr>
          <w:sz w:val="20"/>
          <w:szCs w:val="20"/>
          <w:color w:val="auto"/>
        </w:rPr>
      </w:pPr>
      <w:r>
        <w:rPr>
          <w:rFonts w:ascii="Courier New" w:cs="Courier New" w:eastAsia="Courier New" w:hAnsi="Courier New"/>
          <w:sz w:val="18"/>
          <w:szCs w:val="18"/>
          <w:color w:val="auto"/>
        </w:rPr>
        <w:t>All documents filed by the Company pursuant to Section 13(a), 13(c), 14 or 15(d) of the Exchange Act after the date of this Prospectus and before the termination of the offering of the Common Stock offered hereby shall be deemed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as so modified or superseded shall not be deemed, except as so modified or superseded, to constitute a part of this Prospectus.</w:t>
      </w:r>
    </w:p>
    <w:p>
      <w:pPr>
        <w:spacing w:after="0" w:line="207"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This Prospectus may contain and/or incorporate by reference forward-looking statements within the "safe harbor" provisions of the Private Securities Litigation Reform Act of 1995. For this purpose, any statements contained herein or incorporated herein by reference that are not statements of material fact may be deemed to be forward-looking statements. Without limiting the foregoing, the words "believes," "anticipates," "plans," "expects" and similar expressions are intended to identify forward-looking statements. Reference is made in particular to the discussion set forth under "Management's Discussion and Analysis of Financial Condition and Results of Operations" in the Company's Annual Report on Form 10-K for the fiscal year ended November 2, 1996 (the "Form</w:t>
      </w:r>
    </w:p>
    <w:p>
      <w:pPr>
        <w:spacing w:after="0" w:line="13" w:lineRule="exact"/>
        <w:rPr>
          <w:sz w:val="20"/>
          <w:szCs w:val="20"/>
          <w:color w:val="auto"/>
        </w:rPr>
      </w:pPr>
    </w:p>
    <w:p>
      <w:pPr>
        <w:ind w:left="220" w:right="1779"/>
        <w:spacing w:after="0" w:line="237" w:lineRule="auto"/>
        <w:rPr>
          <w:sz w:val="20"/>
          <w:szCs w:val="20"/>
          <w:color w:val="auto"/>
        </w:rPr>
      </w:pPr>
      <w:r>
        <w:rPr>
          <w:rFonts w:ascii="Courier New" w:cs="Courier New" w:eastAsia="Courier New" w:hAnsi="Courier New"/>
          <w:sz w:val="18"/>
          <w:szCs w:val="18"/>
          <w:color w:val="auto"/>
        </w:rPr>
        <w:t>10-K") and the Quarterly Report on Form 10-Q for the quarter ended February 1, 1997, incorporated in this Prospectus by reference. Such statements are based on current expectations that involve a number of uncertainties. Actual results could differ materially from those projected in any such forward looking statements.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to whom this Prospectus is delivered, upon the request of such person, a copy of any or all of the above documents incorporated herein by reference (without exhibits to such documents other than exhibits specifically incorporated by reference into the documents that this Prospectus incorporates). Requests for such copies should be directed to Joseph E. McDonough, Vice President-Finance of Analog Devices, Inc., One Technology Way, Norwood, MA 02062-9106; telephone number (617) 329-4700.</w:t>
      </w:r>
    </w:p>
    <w:p>
      <w:pPr>
        <w:spacing w:after="0" w:line="212" w:lineRule="exact"/>
        <w:rPr>
          <w:sz w:val="20"/>
          <w:szCs w:val="20"/>
          <w:color w:val="auto"/>
        </w:rPr>
      </w:pPr>
    </w:p>
    <w:p>
      <w:pPr>
        <w:ind w:left="220" w:right="1779" w:firstLine="527"/>
        <w:spacing w:after="0" w:line="238" w:lineRule="auto"/>
        <w:rPr>
          <w:sz w:val="20"/>
          <w:szCs w:val="20"/>
          <w:color w:val="auto"/>
        </w:rPr>
      </w:pPr>
      <w:r>
        <w:rPr>
          <w:rFonts w:ascii="Courier New" w:cs="Courier New" w:eastAsia="Courier New" w:hAnsi="Courier New"/>
          <w:sz w:val="18"/>
          <w:szCs w:val="18"/>
          <w:color w:val="auto"/>
        </w:rPr>
        <w:t>NO DEALER, SALESMAN OR ANY OTHER PERSON HAS BEEN AUTHORIZED TO GIVE ANY INFORMATION OR TO MAKE ANY REPRESENTATION IN CONNECTION WITH THIS OFFERING OTHER THAN THOSE CONTAINED IN THIS PROSPECTUS, AND ANY INFORMATION OR REPRESENTATION NOT CONTAINED HEREIN MUST NOT BE RELIED UPON AS HAVING BEEN AUTHORIZED BY THE COMPANY. THIS PROSPECTUS DOES NOT CONSTITUTE AN OFFER TO SELL, OR A SOLICITATION OF AN OFFER TO BUY, ANY SECURITIES OTHER THAN THE REGISTERED SECURITIES TO WHICH IT RELATES OR AN OFFER TO, OR SOLICITATION OF, ANY PERSON IN ANY JURISDICTION WHERE SUCH AN OFFER OR SOLICITATION WOULD BE UNLAWFUL. NEITHER THE DELIVERY OF THIS PROSPECTUS NOR ANY SALE MADE HEREUNDER SHALL, UNDER ANY CIRCUMSTANCE, CREATE ANY IMPLICATION THAT THERE HAS BEEN NO CHANGE IN THE AFFAIRS OF THE COMPANY SINCE THE DATE HEREOF OR THAT THE INFORMATION CONTAINED HEREIN IS CORRECT AS OF ANY DATE SUBSEQUENT TO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left="220" w:right="2099" w:firstLine="527"/>
        <w:spacing w:after="0" w:line="237" w:lineRule="auto"/>
        <w:rPr>
          <w:sz w:val="20"/>
          <w:szCs w:val="20"/>
          <w:color w:val="auto"/>
        </w:rPr>
      </w:pPr>
      <w:r>
        <w:rPr>
          <w:rFonts w:ascii="Courier New" w:cs="Courier New" w:eastAsia="Courier New" w:hAnsi="Courier New"/>
          <w:sz w:val="18"/>
          <w:szCs w:val="18"/>
          <w:color w:val="auto"/>
        </w:rPr>
        <w:t>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special-purpose linear and mixed-signal ICs ("SPLICs") and digital signal processing ICs ("DSP ICs"). The Company also manufactures and markets devices using assembled product technology.</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DEFERRED COMPENSATION PLAN</w:t>
      </w:r>
    </w:p>
    <w:p>
      <w:pPr>
        <w:spacing w:after="0" w:line="200" w:lineRule="exact"/>
        <w:rPr>
          <w:sz w:val="20"/>
          <w:szCs w:val="20"/>
          <w:color w:val="auto"/>
        </w:rPr>
      </w:pPr>
    </w:p>
    <w:p>
      <w:pPr>
        <w:spacing w:after="0" w:line="209" w:lineRule="exact"/>
        <w:rPr>
          <w:sz w:val="20"/>
          <w:szCs w:val="20"/>
          <w:color w:val="auto"/>
        </w:rPr>
      </w:pPr>
    </w:p>
    <w:p>
      <w:pPr>
        <w:ind w:left="220" w:right="1779" w:firstLine="527"/>
        <w:spacing w:after="0" w:line="270" w:lineRule="auto"/>
        <w:rPr>
          <w:sz w:val="20"/>
          <w:szCs w:val="20"/>
          <w:color w:val="auto"/>
        </w:rPr>
      </w:pPr>
      <w:r>
        <w:rPr>
          <w:rFonts w:ascii="Courier New" w:cs="Courier New" w:eastAsia="Courier New" w:hAnsi="Courier New"/>
          <w:sz w:val="16"/>
          <w:szCs w:val="16"/>
          <w:color w:val="auto"/>
        </w:rPr>
        <w:t>The Company has established the Analog Devices, Inc. Deferred Compensation Plan (the "Plan") to provide (i) certain management and highly compensated employees of the Company and (ii) the non-employee directors of the Company with the opportunity to defer receipt of portions of their compensation payable for services rendered to the Company. The obligations of the Company under such deferral arrangements (the "Obligations") are unfunded and unsecured general obligations of the Company to pay in the future the value of the deferred compensation adjusted to reflect the performance, whether positive or negative, of selected investment measurement options chosen by each participant during the deferral period in accordance with the terms of the Plan. Eligible participants in the Plan ("Eligible Participants") are the Company's non-employee directors and certain Company employees designated from time to time, by name, group or description by the Administrative Committee for the Plan.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right="1879" w:firstLine="527"/>
        <w:spacing w:after="0" w:line="237" w:lineRule="auto"/>
        <w:rPr>
          <w:sz w:val="20"/>
          <w:szCs w:val="20"/>
          <w:color w:val="auto"/>
        </w:rPr>
      </w:pPr>
      <w:r>
        <w:rPr>
          <w:rFonts w:ascii="Courier New" w:cs="Courier New" w:eastAsia="Courier New" w:hAnsi="Courier New"/>
          <w:sz w:val="18"/>
          <w:szCs w:val="18"/>
          <w:color w:val="auto"/>
        </w:rPr>
        <w:t>The Plan was adopted on November 3, 1995 and amended on December 3, 1996 and March 11, 1997, and permits Eligible Participants to defer (i) salary and bonuses, (ii) in the case of non-employee directors, director fees and meeting fees and (iii) the gains that would otherwise be recognized upon the exercise of non-statutory stock options held by Eligible Participants ("Deferred Option Gains") and gains that would otherwise be recognized upon the lapse or termination of the restrictions and forfeiture provisions applicable to grants of restricted stock held by Eligible Participants.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right="1779" w:firstLine="527"/>
        <w:spacing w:after="0" w:line="269" w:lineRule="auto"/>
        <w:rPr>
          <w:sz w:val="20"/>
          <w:szCs w:val="20"/>
          <w:color w:val="auto"/>
        </w:rPr>
      </w:pPr>
      <w:r>
        <w:rPr>
          <w:rFonts w:ascii="Courier New" w:cs="Courier New" w:eastAsia="Courier New" w:hAnsi="Courier New"/>
          <w:sz w:val="16"/>
          <w:szCs w:val="16"/>
          <w:color w:val="auto"/>
        </w:rPr>
        <w:t>Ordinarily, upon the exercise of non-statutory stock options, Eligible Participants would be required to recognize, for federal income tax purposes, an amount equal to the difference between the option exercise price and the fair market value of the Company's Common Stock issued upon the option exercise. To defer the Deferred Option Gains, Eligible Participants are required to deliver an irrevocable election to the Company prior to the option exercise. The Eligible Participant must specify at the time the irrevocable election is made whether such election relates to (i) all the shares issuable pursuant to a specified option or (ii) only those shares issuable pursuant to the specified option which, based on the then fair market value, represents the gain that would otherwise be realized upon the option exercise (the "Gain Shares"). After the deferral election has been delivered and the option is exercised, the Company will issue to the Trust (established for the Plan by a Trust Agreement between the Company and the Trustee), in accordance with the prior election, either (i) all of the shares issuable upon the exercise of such option or (ii) the Gain Shares, as the case may be.</w:t>
      </w:r>
    </w:p>
    <w:p>
      <w:pPr>
        <w:spacing w:after="0" w:line="396" w:lineRule="exact"/>
        <w:rPr>
          <w:sz w:val="20"/>
          <w:szCs w:val="20"/>
          <w:color w:val="auto"/>
        </w:rPr>
      </w:pPr>
    </w:p>
    <w:p>
      <w:pPr>
        <w:ind w:left="220" w:right="1779" w:firstLine="527"/>
        <w:spacing w:after="0" w:line="270" w:lineRule="auto"/>
        <w:rPr>
          <w:sz w:val="20"/>
          <w:szCs w:val="20"/>
          <w:color w:val="auto"/>
        </w:rPr>
      </w:pPr>
      <w:r>
        <w:rPr>
          <w:rFonts w:ascii="Courier New" w:cs="Courier New" w:eastAsia="Courier New" w:hAnsi="Courier New"/>
          <w:sz w:val="16"/>
          <w:szCs w:val="16"/>
          <w:color w:val="auto"/>
        </w:rPr>
        <w:t>From time to time, certain employees of the Company are granted stock awards ("Restricted Stock Awards") that are subject to certain restrictions and/or risks of forfeiture (collectively, "Restrictions"). Ordinarily, upon the lapse or termination of such Restrictions, such employees would realize income for Federal Tax purposes in an amount equal to the difference between the price paid for the shares granted pursuant to the Restricted Stock Award, which is ordinarily a nominal amount, and the fair market value of the stock on the date the Restrictions lapse or terminate. The Plan allows Eligible Participants to defer the payment of the taxes which would otherwise be due at the time the Restrictions lapse or terminate ("Restricted Stock Gains"). In order to defer Restricted Stock Gains ("Deferred Restricted Stock Gains"), Eligible Participants must deliver an irrevocable election to the Company prior to the date that the Restrictions on such shares lapse or terminate. After such an election has been made, the holders of such restricted shares will cause the Company to transfer</w:t>
      </w:r>
    </w:p>
    <w:p>
      <w:pPr>
        <w:sectPr>
          <w:pgSz w:w="11900" w:h="16838" w:orient="portrait"/>
          <w:cols w:equalWidth="0" w:num="1">
            <w:col w:w="9899"/>
          </w:cols>
          <w:pgMar w:left="560" w:top="31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such shares to the Trust.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79"/>
          </w:cols>
          <w:pgMar w:left="780" w:top="13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left="220" w:right="1999" w:firstLine="527"/>
        <w:spacing w:after="0" w:line="268" w:lineRule="auto"/>
        <w:rPr>
          <w:sz w:val="20"/>
          <w:szCs w:val="20"/>
          <w:color w:val="auto"/>
        </w:rPr>
      </w:pPr>
      <w:r>
        <w:rPr>
          <w:rFonts w:ascii="Courier New" w:cs="Courier New" w:eastAsia="Courier New" w:hAnsi="Courier New"/>
          <w:sz w:val="16"/>
          <w:szCs w:val="16"/>
          <w:color w:val="auto"/>
        </w:rPr>
        <w:t>The Trust is considered to be a grantor trust for federal income tax purposes. Shares issued to the Trust in connection with Deferred Option Gains and shares transferred to the Trust in connection with Deferred Restricted Stock Gains, are held by the Trustee together with any</w:t>
      </w:r>
    </w:p>
    <w:p>
      <w:pPr>
        <w:spacing w:after="0" w:line="1" w:lineRule="exact"/>
        <w:rPr>
          <w:sz w:val="20"/>
          <w:szCs w:val="20"/>
          <w:color w:val="auto"/>
        </w:rPr>
      </w:pPr>
    </w:p>
    <w:p>
      <w:pPr>
        <w:jc w:val="both"/>
        <w:ind w:left="220" w:right="1779"/>
        <w:spacing w:after="0" w:line="268" w:lineRule="auto"/>
        <w:rPr>
          <w:sz w:val="20"/>
          <w:szCs w:val="20"/>
          <w:color w:val="auto"/>
        </w:rPr>
      </w:pPr>
      <w:r>
        <w:rPr>
          <w:rFonts w:ascii="Courier New" w:cs="Courier New" w:eastAsia="Courier New" w:hAnsi="Courier New"/>
          <w:sz w:val="16"/>
          <w:szCs w:val="16"/>
          <w:color w:val="auto"/>
        </w:rPr>
        <w:t>other funds or assets deposited with the Trustee by the Company pursuant to the terms of the Plan and the Trust Agreement. The assets of the Trust, and any earnings thereon, are held separate and apart from other funds of</w:t>
      </w:r>
    </w:p>
    <w:p>
      <w:pPr>
        <w:spacing w:after="0" w:line="1" w:lineRule="exact"/>
        <w:rPr>
          <w:sz w:val="20"/>
          <w:szCs w:val="20"/>
          <w:color w:val="auto"/>
        </w:rPr>
      </w:pPr>
    </w:p>
    <w:p>
      <w:pPr>
        <w:ind w:left="220" w:right="1779"/>
        <w:spacing w:after="0" w:line="237" w:lineRule="auto"/>
        <w:rPr>
          <w:sz w:val="20"/>
          <w:szCs w:val="20"/>
          <w:color w:val="auto"/>
        </w:rPr>
      </w:pPr>
      <w:r>
        <w:rPr>
          <w:rFonts w:ascii="Courier New" w:cs="Courier New" w:eastAsia="Courier New" w:hAnsi="Courier New"/>
          <w:sz w:val="18"/>
          <w:szCs w:val="18"/>
          <w:color w:val="auto"/>
        </w:rPr>
        <w:t>the Company for the uses and purposes of Plan participants. The Company's obligations with respect to an Eligible Participant's Deferred Option Gains and/or Deferred Restricted Stock Gains are unfunded and unsecured promises by the Company to pay in the future the value of the Deferred Option Gains and/or Deferred Restricted Stock Gains, adjusted either up or down to reflect the performance of selected investment measurement options available to each participant during the deferral period in accordance with the Plan and the Trust Agreement.</w:t>
      </w:r>
    </w:p>
    <w:p>
      <w:pPr>
        <w:spacing w:after="0" w:line="212"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Shares of the Company's Common Stock issued with respect to Deferred Option Gains and Deferred Restricted Stock Gains shall be sold from time to time in the open market for the account of the Trust when an Eligible Participant advises the Company to change his/her investment from Analog Common Stock to one or more of the several investment measurement options available to Plan participants. After such shares are sold, investment earnings credited to the Eligible Participant's account will be indexed to the mutual funds or indices selected by the Eligible Participant. The Company is not actually required to invest the deferred compensation in the types of funds specified by a Plan participant. However, such use of the Trust may assist the Company in meeting its future Obligations.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right="1779" w:firstLine="527"/>
        <w:spacing w:after="0" w:line="236" w:lineRule="auto"/>
        <w:rPr>
          <w:sz w:val="20"/>
          <w:szCs w:val="20"/>
          <w:color w:val="auto"/>
        </w:rPr>
      </w:pPr>
      <w:r>
        <w:rPr>
          <w:rFonts w:ascii="Courier New" w:cs="Courier New" w:eastAsia="Courier New" w:hAnsi="Courier New"/>
          <w:sz w:val="18"/>
          <w:szCs w:val="18"/>
          <w:color w:val="auto"/>
        </w:rPr>
        <w:t>The Company has filed with the Commission a Registration Statement on Form S-8 under the Securities Act with respect to the Company's Obligations under the Plan (Registration Statement No. 33-64849).</w:t>
      </w:r>
    </w:p>
    <w:p>
      <w:pPr>
        <w:spacing w:after="0" w:line="209" w:lineRule="exact"/>
        <w:rPr>
          <w:sz w:val="20"/>
          <w:szCs w:val="20"/>
          <w:color w:val="auto"/>
        </w:rPr>
      </w:pPr>
    </w:p>
    <w:p>
      <w:pPr>
        <w:ind w:left="220" w:right="1779" w:firstLine="527"/>
        <w:spacing w:after="0" w:line="235" w:lineRule="auto"/>
        <w:rPr>
          <w:sz w:val="20"/>
          <w:szCs w:val="20"/>
          <w:color w:val="auto"/>
        </w:rPr>
      </w:pPr>
      <w:r>
        <w:rPr>
          <w:rFonts w:ascii="Courier New" w:cs="Courier New" w:eastAsia="Courier New" w:hAnsi="Courier New"/>
          <w:sz w:val="18"/>
          <w:szCs w:val="18"/>
          <w:color w:val="auto"/>
        </w:rPr>
        <w:t>The address of the Trustee is Boatmens' Trust Company, Attention: John Bascio, LBT 970, P.O. Box 14737, St. Louis, MO 63178-4737.</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As set forth under "Deferred Compensation Plan," the proceeds from the sale of any shares of Company Common Stock shall be held by the Trustee separate and apart from other funds of the Company and applied for the use and purposes of participants in the Plan. Such proceeds, together with other assets held by the Trust, shall be subject to the claims of the Company's general creditors under federal and state laws in the event of the Company's insolvency.</w:t>
      </w:r>
    </w:p>
    <w:p>
      <w:pPr>
        <w:spacing w:after="0" w:line="211"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The Company cannot determine the number of shares of Common Stock which will be sold pursuant to this Prospectus because that number is dependent upon the extent to which Eligible Participants elect to defer the recognition of gains from their exercise of stock options and Restricted Stock Awards granted by the Company.</w:t>
      </w:r>
    </w:p>
    <w:p>
      <w:pPr>
        <w:spacing w:after="0" w:line="200" w:lineRule="exact"/>
        <w:rPr>
          <w:sz w:val="20"/>
          <w:szCs w:val="20"/>
          <w:color w:val="auto"/>
        </w:rPr>
      </w:pPr>
    </w:p>
    <w:p>
      <w:pPr>
        <w:spacing w:after="0" w:line="206"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left="220" w:right="1999" w:firstLine="527"/>
        <w:spacing w:after="0" w:line="236" w:lineRule="auto"/>
        <w:rPr>
          <w:sz w:val="20"/>
          <w:szCs w:val="20"/>
          <w:color w:val="auto"/>
        </w:rPr>
      </w:pPr>
      <w:r>
        <w:rPr>
          <w:rFonts w:ascii="Courier New" w:cs="Courier New" w:eastAsia="Courier New" w:hAnsi="Courier New"/>
          <w:sz w:val="18"/>
          <w:szCs w:val="18"/>
          <w:color w:val="auto"/>
        </w:rPr>
        <w:t>Shares of Common Stock covered hereby may be offered and sold by the Company for the account of the Trust. Such sales may be made on the New York Stock Exchange 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open market transactions including one or more of the following methods:</w:t>
      </w:r>
    </w:p>
    <w:p>
      <w:pPr>
        <w:spacing w:after="0" w:line="4" w:lineRule="exact"/>
        <w:rPr>
          <w:sz w:val="20"/>
          <w:szCs w:val="20"/>
          <w:color w:val="auto"/>
        </w:rPr>
      </w:pPr>
    </w:p>
    <w:p>
      <w:pPr>
        <w:ind w:left="220" w:right="1779" w:hanging="5"/>
        <w:spacing w:after="0" w:line="271" w:lineRule="auto"/>
        <w:tabs>
          <w:tab w:leader="none" w:pos="64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broker-dealer as principal for resale on the open market by such broker or dealer for its account pursuant to this Prospectus; (b) ordinary open market brokerage transactions and open market transactions in which a broker solicits purchasers; and (c) block trades in which a broker-dealer so engaged will attempt to sell on the open market the shares as agent but may position and resell a portion of the block as principal to facilitate the transaction. In effecting sales, broker-dealers engaged to sell the shares may arrange for other broker-dealers to participate. Broker-dealers will receive commissions or discounts from the Company in amounts to be negotiated immediately prior to the sale.</w:t>
      </w:r>
    </w:p>
    <w:p>
      <w:pPr>
        <w:spacing w:after="0" w:line="386"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In offering the shares of Common Stock covered hereby, any broker-dealers and any other participating broker-dealers who execute sales may be deemed to be "underwriters" within the meaning of the Securities Act in connection with such sales, and the compensation of such broker-dealers may be deemed to be underwriting discounts and commissions.</w:t>
      </w:r>
    </w:p>
    <w:p>
      <w:pPr>
        <w:spacing w:after="0" w:line="209" w:lineRule="exact"/>
        <w:rPr>
          <w:sz w:val="20"/>
          <w:szCs w:val="20"/>
          <w:color w:val="auto"/>
        </w:rPr>
      </w:pPr>
    </w:p>
    <w:p>
      <w:pPr>
        <w:ind w:left="220" w:right="1999" w:firstLine="527"/>
        <w:spacing w:after="0" w:line="235" w:lineRule="auto"/>
        <w:rPr>
          <w:sz w:val="20"/>
          <w:szCs w:val="20"/>
          <w:color w:val="auto"/>
        </w:rPr>
      </w:pPr>
      <w:r>
        <w:rPr>
          <w:rFonts w:ascii="Courier New" w:cs="Courier New" w:eastAsia="Courier New" w:hAnsi="Courier New"/>
          <w:sz w:val="18"/>
          <w:szCs w:val="18"/>
          <w:color w:val="auto"/>
        </w:rPr>
        <w:t>This offering will terminate on the date on which all shares offered hereby have been sold.</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INDEMNIFICATION MATTERS</w:t>
      </w:r>
    </w:p>
    <w:p>
      <w:pPr>
        <w:spacing w:after="0" w:line="207"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The Restated Articles of Organization of the Company, as amended (the "Articles of Organization") provide that the directors and officers of the Company shall be indemnified by the Company to the fullest extent authorized by Massachusetts law, as it now exists or may in the future be amended, against all liabilities and expenses incurred in connection with service for or on behalf of the Company. In addition, the Articles of Organization provide that the directors of the Company will not be personally liable for monetary damages to the Company for breaches of their fiduciary duty as directors.</w:t>
      </w:r>
    </w:p>
    <w:p>
      <w:pPr>
        <w:spacing w:after="0" w:line="214" w:lineRule="exact"/>
        <w:rPr>
          <w:sz w:val="20"/>
          <w:szCs w:val="20"/>
          <w:color w:val="auto"/>
        </w:rPr>
      </w:pPr>
    </w:p>
    <w:p>
      <w:pPr>
        <w:ind w:left="220" w:right="1999" w:firstLine="527"/>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spacing w:after="0" w:line="20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left="220" w:right="1879" w:firstLine="527"/>
        <w:spacing w:after="0" w:line="235" w:lineRule="auto"/>
        <w:rPr>
          <w:sz w:val="20"/>
          <w:szCs w:val="20"/>
          <w:color w:val="auto"/>
        </w:rPr>
      </w:pPr>
      <w:r>
        <w:rPr>
          <w:rFonts w:ascii="Courier New" w:cs="Courier New" w:eastAsia="Courier New" w:hAnsi="Courier New"/>
          <w:sz w:val="18"/>
          <w:szCs w:val="18"/>
          <w:color w:val="auto"/>
        </w:rPr>
        <w:t>The validity of the shares offered hereby will be passed upon for the Company by Hale and Dorr LLP, Boston, Massachusetts.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Analog Devices, Inc. appearing in Analog Devices, Inc.'s Annual Report (Form 10-K) for the year ended November 2, 1996 have been audited by Ernst &amp; Young LLP, independent auditors, as set forth in their report thereon included therein and incorporated herein by reference. Such financial statements and schedule are incorporated herein by reference in reliance upon such report given upon the authority of such firm as experts in accounting and auditing.</w:t>
      </w: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0" w:lineRule="exact"/>
        <w:rPr>
          <w:sz w:val="20"/>
          <w:szCs w:val="20"/>
          <w:color w:val="auto"/>
        </w:rPr>
      </w:pPr>
    </w:p>
    <w:p>
      <w:pPr>
        <w:spacing w:after="0" w:line="209"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various expenses in connection with the issuance and distribution of the securities being registered. All amounts shown are estimates except the Securities and Exchange Commission registration fee.</w:t>
      </w:r>
    </w:p>
    <w:p>
      <w:pPr>
        <w:spacing w:after="0" w:line="200" w:lineRule="exact"/>
        <w:rPr>
          <w:sz w:val="20"/>
          <w:szCs w:val="20"/>
          <w:color w:val="auto"/>
        </w:rPr>
      </w:pPr>
    </w:p>
    <w:p>
      <w:pPr>
        <w:spacing w:after="0" w:line="20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40" w:type="dxa"/>
            <w:vAlign w:val="bottom"/>
          </w:tcPr>
          <w:p>
            <w:pPr>
              <w:spacing w:after="0"/>
              <w:rPr>
                <w:sz w:val="20"/>
                <w:szCs w:val="20"/>
                <w:color w:val="auto"/>
              </w:rPr>
            </w:pPr>
            <w:r>
              <w:rPr>
                <w:rFonts w:ascii="Courier New" w:cs="Courier New" w:eastAsia="Courier New" w:hAnsi="Courier New"/>
                <w:sz w:val="18"/>
                <w:szCs w:val="18"/>
                <w:color w:val="auto"/>
                <w:w w:val="98"/>
              </w:rPr>
              <w:t>SEC Registration Fee.................................</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$10,511</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Accounting Fees and Expenses.........................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8,000</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Fees and Expenses..............................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Miscellaneous........................................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6,489</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left="220" w:right="1779" w:firstLine="527"/>
        <w:spacing w:after="0" w:line="270" w:lineRule="auto"/>
        <w:rPr>
          <w:sz w:val="20"/>
          <w:szCs w:val="20"/>
          <w:color w:val="auto"/>
        </w:rPr>
      </w:pPr>
      <w:r>
        <w:rPr>
          <w:rFonts w:ascii="Courier New" w:cs="Courier New" w:eastAsia="Courier New" w:hAnsi="Courier New"/>
          <w:sz w:val="16"/>
          <w:szCs w:val="16"/>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388" w:lineRule="exact"/>
        <w:rPr>
          <w:sz w:val="20"/>
          <w:szCs w:val="20"/>
          <w:color w:val="auto"/>
        </w:rPr>
      </w:pPr>
    </w:p>
    <w:p>
      <w:pPr>
        <w:ind w:left="220" w:right="1779" w:firstLine="527"/>
        <w:spacing w:after="0" w:line="238" w:lineRule="auto"/>
        <w:rPr>
          <w:sz w:val="20"/>
          <w:szCs w:val="20"/>
          <w:color w:val="auto"/>
        </w:rPr>
      </w:pPr>
      <w:r>
        <w:rPr>
          <w:rFonts w:ascii="Courier New" w:cs="Courier New" w:eastAsia="Courier New" w:hAnsi="Courier New"/>
          <w:sz w:val="18"/>
          <w:szCs w:val="18"/>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9899"/>
          </w:cols>
          <w:pgMar w:left="560" w:top="31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210" w:lineRule="exact"/>
        <w:rPr>
          <w:sz w:val="20"/>
          <w:szCs w:val="20"/>
          <w:color w:val="auto"/>
        </w:rPr>
      </w:pPr>
    </w:p>
    <w:p>
      <w:pPr>
        <w:ind w:left="220" w:right="1779" w:firstLine="527"/>
        <w:spacing w:after="0" w:line="271" w:lineRule="auto"/>
        <w:rPr>
          <w:sz w:val="20"/>
          <w:szCs w:val="20"/>
          <w:color w:val="auto"/>
        </w:rPr>
      </w:pPr>
      <w:r>
        <w:rPr>
          <w:rFonts w:ascii="Courier New" w:cs="Courier New" w:eastAsia="Courier New" w:hAnsi="Courier New"/>
          <w:sz w:val="16"/>
          <w:szCs w:val="16"/>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386"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Article 6D of the Registrant's Articles of Organization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212" w:lineRule="exact"/>
        <w:rPr>
          <w:sz w:val="20"/>
          <w:szCs w:val="20"/>
          <w:color w:val="auto"/>
        </w:rPr>
      </w:pPr>
    </w:p>
    <w:p>
      <w:pPr>
        <w:ind w:left="220" w:right="1879" w:firstLine="527"/>
        <w:spacing w:after="0" w:line="235" w:lineRule="auto"/>
        <w:rPr>
          <w:sz w:val="20"/>
          <w:szCs w:val="20"/>
          <w:color w:val="auto"/>
        </w:rPr>
      </w:pPr>
      <w:r>
        <w:rPr>
          <w:rFonts w:ascii="Courier New" w:cs="Courier New" w:eastAsia="Courier New" w:hAnsi="Courier New"/>
          <w:sz w:val="18"/>
          <w:szCs w:val="18"/>
          <w:color w:val="auto"/>
        </w:rPr>
        <w:t>The Registrant has directors and officers liability insurance for the benefit of its directors and officers.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ITEM 16. EXHIBITS.</w:t>
      </w:r>
    </w:p>
    <w:p>
      <w:pPr>
        <w:spacing w:after="0" w:line="207" w:lineRule="exact"/>
        <w:rPr>
          <w:sz w:val="20"/>
          <w:szCs w:val="20"/>
          <w:color w:val="auto"/>
        </w:rPr>
      </w:pPr>
    </w:p>
    <w:p>
      <w:pPr>
        <w:ind w:left="220" w:right="1879" w:firstLine="527"/>
        <w:spacing w:after="0" w:line="235" w:lineRule="auto"/>
        <w:rPr>
          <w:sz w:val="20"/>
          <w:szCs w:val="20"/>
          <w:color w:val="auto"/>
        </w:rPr>
      </w:pPr>
      <w:r>
        <w:rPr>
          <w:rFonts w:ascii="Courier New" w:cs="Courier New" w:eastAsia="Courier New" w:hAnsi="Courier New"/>
          <w:sz w:val="18"/>
          <w:szCs w:val="18"/>
          <w:color w:val="auto"/>
        </w:rPr>
        <w:t>See Exhibit Index included immediately preceding the Exhibits to this Registration Statement, which is incorporated herein by reference.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ITEM 17. UNDERTAKINGS.</w:t>
      </w:r>
    </w:p>
    <w:p>
      <w:pPr>
        <w:spacing w:after="0" w:line="201" w:lineRule="exact"/>
        <w:rPr>
          <w:sz w:val="20"/>
          <w:szCs w:val="20"/>
          <w:color w:val="auto"/>
        </w:rPr>
      </w:pPr>
    </w:p>
    <w:p>
      <w:pPr>
        <w:ind w:left="1260" w:hanging="519"/>
        <w:spacing w:after="0"/>
        <w:tabs>
          <w:tab w:leader="none" w:pos="12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740" w:right="1779" w:firstLine="528"/>
        <w:spacing w:after="0" w:line="290" w:lineRule="auto"/>
        <w:tabs>
          <w:tab w:leader="none" w:pos="1688"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70" w:lineRule="exact"/>
        <w:rPr>
          <w:sz w:val="20"/>
          <w:szCs w:val="20"/>
          <w:color w:val="auto"/>
        </w:rPr>
      </w:pPr>
    </w:p>
    <w:p>
      <w:pPr>
        <w:ind w:left="1260" w:right="1779" w:firstLine="535"/>
        <w:spacing w:after="0" w:line="290" w:lineRule="auto"/>
        <w:tabs>
          <w:tab w:leader="none" w:pos="220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 as amended (the "Securities Act");</w:t>
      </w:r>
    </w:p>
    <w:p>
      <w:pPr>
        <w:spacing w:after="0" w:line="16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9899"/>
          </w:cols>
          <w:pgMar w:left="560" w:top="31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left="1260" w:right="1879" w:firstLine="535"/>
        <w:spacing w:after="0" w:line="273" w:lineRule="auto"/>
        <w:tabs>
          <w:tab w:leader="none" w:pos="231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p>
      <w:pPr>
        <w:spacing w:after="0" w:line="184" w:lineRule="exact"/>
        <w:rPr>
          <w:rFonts w:ascii="Courier New" w:cs="Courier New" w:eastAsia="Courier New" w:hAnsi="Courier New"/>
          <w:sz w:val="16"/>
          <w:szCs w:val="16"/>
          <w:color w:val="auto"/>
        </w:rPr>
      </w:pPr>
    </w:p>
    <w:p>
      <w:pPr>
        <w:ind w:left="1260" w:right="1779" w:firstLine="535"/>
        <w:spacing w:after="0" w:line="237" w:lineRule="auto"/>
        <w:tabs>
          <w:tab w:leader="none" w:pos="241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left="740" w:right="1879"/>
        <w:spacing w:after="0" w:line="272" w:lineRule="auto"/>
        <w:rPr>
          <w:sz w:val="20"/>
          <w:szCs w:val="20"/>
          <w:color w:val="auto"/>
        </w:rPr>
      </w:pPr>
      <w:r>
        <w:rPr>
          <w:rFonts w:ascii="Courier New" w:cs="Courier New" w:eastAsia="Courier New" w:hAnsi="Courier New"/>
          <w:sz w:val="16"/>
          <w:szCs w:val="16"/>
          <w:color w:val="auto"/>
        </w:rPr>
        <w:t>provided, however, that paragraphs (1)(i) and (1)(ii) do not apply if the information required to be included in a post-effective amendment by those paragraphs is contained in periodic reports filed by the Registrant pursuant to Section 13 or Section 15(d) of the Securities Exchange Act of 1934, as amended (the "Exchange Act") that are incorporated by reference in this Registration Statement.</w:t>
      </w:r>
    </w:p>
    <w:p>
      <w:pPr>
        <w:spacing w:after="0" w:line="186" w:lineRule="exact"/>
        <w:rPr>
          <w:sz w:val="20"/>
          <w:szCs w:val="20"/>
          <w:color w:val="auto"/>
        </w:rPr>
      </w:pPr>
    </w:p>
    <w:p>
      <w:pPr>
        <w:ind w:left="740" w:right="1779" w:firstLine="528"/>
        <w:spacing w:after="0" w:line="237" w:lineRule="auto"/>
        <w:tabs>
          <w:tab w:leader="none" w:pos="1688"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purposes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209"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bona fide offering thereof.</w:t>
      </w:r>
    </w:p>
    <w:p>
      <w:pPr>
        <w:spacing w:after="0" w:line="213" w:lineRule="exact"/>
        <w:rPr>
          <w:rFonts w:ascii="Courier New" w:cs="Courier New" w:eastAsia="Courier New" w:hAnsi="Courier New"/>
          <w:sz w:val="18"/>
          <w:szCs w:val="18"/>
          <w:color w:val="auto"/>
        </w:rPr>
      </w:pPr>
    </w:p>
    <w:p>
      <w:pPr>
        <w:ind w:left="220" w:right="1779" w:firstLine="521"/>
        <w:spacing w:after="0" w:line="271" w:lineRule="auto"/>
        <w:tabs>
          <w:tab w:leader="none" w:pos="116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w:t>
      </w:r>
    </w:p>
    <w:p>
      <w:pPr>
        <w:spacing w:after="0" w:line="38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899"/>
          </w:cols>
          <w:pgMar w:left="560" w:top="31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left="220" w:right="1999"/>
        <w:spacing w:after="0" w:line="237" w:lineRule="auto"/>
        <w:rPr>
          <w:sz w:val="20"/>
          <w:szCs w:val="20"/>
          <w:color w:val="auto"/>
        </w:rPr>
      </w:pPr>
      <w:r>
        <w:rPr>
          <w:rFonts w:ascii="Courier New" w:cs="Courier New" w:eastAsia="Courier New" w:hAnsi="Courier New"/>
          <w:sz w:val="18"/>
          <w:szCs w:val="18"/>
          <w:color w:val="auto"/>
        </w:rPr>
        <w:t>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9899"/>
          </w:cols>
          <w:pgMar w:left="560" w:top="31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left="220" w:right="209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1 to be signed on its behalf by the undersigned, thereunto duly authorized, in the City of Norwood, Commonwealth of Massachusetts, on the 15th day of April, 1997.</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Courier New" w:cs="Courier New" w:eastAsia="Courier New" w:hAnsi="Courier New"/>
          <w:sz w:val="18"/>
          <w:szCs w:val="18"/>
          <w:color w:val="auto"/>
        </w:rPr>
        <w:t>By:/s/ Jerald G. Fishman*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Jerald G. Fishman</w:t>
      </w:r>
    </w:p>
    <w:p>
      <w:pPr>
        <w:ind w:left="4740"/>
        <w:spacing w:after="0" w:line="238" w:lineRule="auto"/>
        <w:rPr>
          <w:sz w:val="20"/>
          <w:szCs w:val="20"/>
          <w:color w:val="auto"/>
        </w:rPr>
      </w:pPr>
      <w:r>
        <w:rPr>
          <w:rFonts w:ascii="Courier New" w:cs="Courier New" w:eastAsia="Courier New" w:hAnsi="Courier New"/>
          <w:sz w:val="18"/>
          <w:szCs w:val="18"/>
          <w:color w:val="auto"/>
        </w:rPr>
        <w:t>President and Chief</w:t>
      </w:r>
    </w:p>
    <w:p>
      <w:pPr>
        <w:ind w:left="474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right="231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940" w:type="dxa"/>
            <w:vAlign w:val="bottom"/>
          </w:tcPr>
          <w:p>
            <w:pPr>
              <w:ind w:left="140"/>
              <w:spacing w:after="0"/>
              <w:rPr>
                <w:sz w:val="20"/>
                <w:szCs w:val="20"/>
                <w:color w:val="auto"/>
              </w:rPr>
            </w:pPr>
            <w:r>
              <w:rPr>
                <w:rFonts w:ascii="Courier New" w:cs="Courier New" w:eastAsia="Courier New" w:hAnsi="Courier New"/>
                <w:sz w:val="18"/>
                <w:szCs w:val="18"/>
                <w:color w:val="auto"/>
              </w:rPr>
              <w:t>TITLE</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 Jerald G. Fishman*</w:t>
            </w:r>
          </w:p>
        </w:tc>
        <w:tc>
          <w:tcPr>
            <w:tcW w:w="294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)April 15, 1997</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President, Chief Executive</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JERALD G. FISHMAN</w:t>
            </w:r>
          </w:p>
        </w:tc>
        <w:tc>
          <w:tcPr>
            <w:tcW w:w="29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2480" w:type="dxa"/>
            <w:vAlign w:val="bottom"/>
          </w:tcPr>
          <w:p>
            <w:pPr>
              <w:spacing w:after="0"/>
              <w:rPr>
                <w:sz w:val="24"/>
                <w:szCs w:val="24"/>
                <w:color w:val="auto"/>
              </w:rPr>
            </w:pPr>
          </w:p>
        </w:tc>
        <w:tc>
          <w:tcPr>
            <w:tcW w:w="2940" w:type="dxa"/>
            <w:vAlign w:val="bottom"/>
          </w:tcPr>
          <w:p>
            <w:pPr>
              <w:ind w:left="1000"/>
              <w:spacing w:after="0"/>
              <w:rPr>
                <w:sz w:val="20"/>
                <w:szCs w:val="20"/>
                <w:color w:val="auto"/>
              </w:rPr>
            </w:pPr>
            <w:r>
              <w:rPr>
                <w:rFonts w:ascii="Courier New" w:cs="Courier New" w:eastAsia="Courier New" w:hAnsi="Courier New"/>
                <w:sz w:val="18"/>
                <w:szCs w:val="18"/>
                <w:color w:val="auto"/>
              </w:rPr>
              <w:t>II-5</w:t>
            </w:r>
          </w:p>
        </w:tc>
        <w:tc>
          <w:tcPr>
            <w:tcW w:w="1640" w:type="dxa"/>
            <w:vAlign w:val="bottom"/>
          </w:tcPr>
          <w:p>
            <w:pPr>
              <w:spacing w:after="0"/>
              <w:rPr>
                <w:sz w:val="24"/>
                <w:szCs w:val="24"/>
                <w:color w:val="auto"/>
              </w:rPr>
            </w:pPr>
          </w:p>
        </w:tc>
      </w:tr>
    </w:tbl>
    <w:p>
      <w:pPr>
        <w:sectPr>
          <w:pgSz w:w="11900" w:h="16838" w:orient="portrait"/>
          <w:cols w:equalWidth="0" w:num="1">
            <w:col w:w="9899"/>
          </w:cols>
          <w:pgMar w:left="560" w:top="31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/s/ Ray Stata*</w:t>
            </w: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RAY STATA</w:t>
            </w: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Director</w:t>
            </w: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/s/ Joseph E. McDonough*</w:t>
            </w: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6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Vice President-Finance and )</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)April 15, 1997</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/s/ John L. Doyle*</w:t>
            </w: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L. DOYLE</w:t>
            </w: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/s/ Samuel H. Fuller*</w:t>
            </w: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SAMUEL H. FULLER</w:t>
            </w: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O. HOLLIDAY, JR.</w:t>
            </w: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/s/ Gordon C. McKeague*</w:t>
            </w: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GORDON C. MCKEAGUE</w:t>
            </w: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/s/ Joel Moses*</w:t>
            </w: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JOEL MOSES</w:t>
            </w: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LESTER C. THUROW</w:t>
            </w:r>
          </w:p>
        </w:tc>
        <w:tc>
          <w:tcPr>
            <w:tcW w:w="2800" w:type="dxa"/>
            <w:vAlign w:val="bottom"/>
          </w:tcPr>
          <w:p>
            <w:pPr>
              <w:spacing w:after="0"/>
              <w:rPr>
                <w:sz w:val="17"/>
                <w:szCs w:val="17"/>
                <w:color w:val="auto"/>
              </w:rPr>
            </w:pPr>
          </w:p>
        </w:tc>
        <w:tc>
          <w:tcPr>
            <w:tcW w:w="1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hanging="216"/>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 Paul P. Brountas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PAUL P. BROUNTAS, ATTORNEY-IN-FACT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9899"/>
          </w:cols>
          <w:pgMar w:left="560" w:top="31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tabs>
          <w:tab w:leader="none" w:pos="272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060" w:right="241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3.1</w:t>
        <w:tab/>
        <w:t>Restated Articles of Organization of the Registrant, as amended (incorporated herein by reference to the Registrant's Form S-8, dated as of May 30, 1996).</w:t>
      </w:r>
    </w:p>
    <w:p>
      <w:pPr>
        <w:spacing w:after="0" w:line="209" w:lineRule="exact"/>
        <w:rPr>
          <w:sz w:val="20"/>
          <w:szCs w:val="20"/>
          <w:color w:val="auto"/>
        </w:rPr>
      </w:pPr>
    </w:p>
    <w:p>
      <w:pPr>
        <w:ind w:left="1060" w:right="241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3.2</w:t>
        <w:tab/>
        <w:t>By-Laws of the Registrant, as amended (incorporated herein by reference to the Registrant's Form 10-K for the fiscal year ended October 31, 1992).</w:t>
      </w:r>
    </w:p>
    <w:p>
      <w:pPr>
        <w:spacing w:after="0" w:line="209" w:lineRule="exact"/>
        <w:rPr>
          <w:sz w:val="20"/>
          <w:szCs w:val="20"/>
          <w:color w:val="auto"/>
        </w:rPr>
      </w:pPr>
    </w:p>
    <w:p>
      <w:pPr>
        <w:ind w:left="1060" w:right="251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4.1</w:t>
        <w:tab/>
        <w:t>Rights Agreement, as amended, between the Registrant and The First National Bank of Boston, as Rights Agent (incorporated herein by reference to a Form 8 filed on June 27, 1989 amending the Registration Statement on Form 8-A relating to Common Stock Purchase Rights).</w:t>
      </w:r>
    </w:p>
    <w:p>
      <w:pPr>
        <w:spacing w:after="0" w:line="209" w:lineRule="exact"/>
        <w:rPr>
          <w:sz w:val="20"/>
          <w:szCs w:val="20"/>
          <w:color w:val="auto"/>
        </w:rPr>
      </w:pPr>
    </w:p>
    <w:p>
      <w:pPr>
        <w:ind w:left="1060" w:right="3159" w:hanging="526"/>
        <w:spacing w:after="0" w:line="279" w:lineRule="auto"/>
        <w:tabs>
          <w:tab w:leader="none" w:pos="10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Deferred Compensation Plan of the Registrant (incorporated herein by reference to the Registrant's Form S-8, dated December 8, 1995 (File No. 33-64849)).</w:t>
      </w:r>
    </w:p>
    <w:p>
      <w:pPr>
        <w:spacing w:after="0" w:line="17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Amendment No. 1, dated December 3, 1996 to Analog</w:t>
      </w:r>
    </w:p>
    <w:p>
      <w:pPr>
        <w:spacing w:after="0" w:line="4" w:lineRule="exact"/>
        <w:rPr>
          <w:sz w:val="20"/>
          <w:szCs w:val="20"/>
          <w:color w:val="auto"/>
        </w:rPr>
      </w:pPr>
    </w:p>
    <w:p>
      <w:pPr>
        <w:jc w:val="both"/>
        <w:ind w:left="1060" w:right="2099"/>
        <w:spacing w:after="0" w:line="236" w:lineRule="auto"/>
        <w:rPr>
          <w:sz w:val="20"/>
          <w:szCs w:val="20"/>
          <w:color w:val="auto"/>
        </w:rPr>
      </w:pPr>
      <w:r>
        <w:rPr>
          <w:rFonts w:ascii="Courier New" w:cs="Courier New" w:eastAsia="Courier New" w:hAnsi="Courier New"/>
          <w:sz w:val="18"/>
          <w:szCs w:val="18"/>
          <w:color w:val="auto"/>
        </w:rPr>
        <w:t>Devices, Inc. Deferred Compensation Plan (incorporated herein by reference to the Registrant's Post-Effective Amendment No. 1 to Form S-8, dated April 15, 1997 (File No. 33-64849)).</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Amendment No. 2, dated March 11, 1997 to Analog Devices, Inc.</w:t>
      </w:r>
    </w:p>
    <w:p>
      <w:pPr>
        <w:ind w:left="1060"/>
        <w:spacing w:after="0" w:line="238" w:lineRule="auto"/>
        <w:rPr>
          <w:sz w:val="20"/>
          <w:szCs w:val="20"/>
          <w:color w:val="auto"/>
        </w:rPr>
      </w:pPr>
      <w:r>
        <w:rPr>
          <w:rFonts w:ascii="Courier New" w:cs="Courier New" w:eastAsia="Courier New" w:hAnsi="Courier New"/>
          <w:sz w:val="18"/>
          <w:szCs w:val="18"/>
          <w:color w:val="auto"/>
        </w:rPr>
        <w:t>Deferred Compensation Plan (incorporated herein by</w:t>
      </w:r>
    </w:p>
    <w:p>
      <w:pPr>
        <w:spacing w:after="0" w:line="5" w:lineRule="exact"/>
        <w:rPr>
          <w:sz w:val="20"/>
          <w:szCs w:val="20"/>
          <w:color w:val="auto"/>
        </w:rPr>
      </w:pPr>
    </w:p>
    <w:p>
      <w:pPr>
        <w:ind w:left="1060" w:right="2199"/>
        <w:spacing w:after="0" w:line="235" w:lineRule="auto"/>
        <w:rPr>
          <w:sz w:val="20"/>
          <w:szCs w:val="20"/>
          <w:color w:val="auto"/>
        </w:rPr>
      </w:pPr>
      <w:r>
        <w:rPr>
          <w:rFonts w:ascii="Courier New" w:cs="Courier New" w:eastAsia="Courier New" w:hAnsi="Courier New"/>
          <w:sz w:val="18"/>
          <w:szCs w:val="18"/>
          <w:color w:val="auto"/>
        </w:rPr>
        <w:t>reference to the Registrant's Post-Effective Amendment No. 1 to Form S-8, dated April 15, 1997 (File No. 33-64849).</w:t>
      </w:r>
    </w:p>
    <w:p>
      <w:pPr>
        <w:spacing w:after="0" w:line="200" w:lineRule="exact"/>
        <w:rPr>
          <w:sz w:val="20"/>
          <w:szCs w:val="20"/>
          <w:color w:val="auto"/>
        </w:rPr>
      </w:pPr>
    </w:p>
    <w:p>
      <w:pPr>
        <w:spacing w:after="0" w:line="211" w:lineRule="exact"/>
        <w:rPr>
          <w:sz w:val="20"/>
          <w:szCs w:val="20"/>
          <w:color w:val="auto"/>
        </w:rPr>
      </w:pPr>
    </w:p>
    <w:p>
      <w:pPr>
        <w:ind w:left="1060" w:right="303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4.5</w:t>
        <w:tab/>
        <w:t>Trust Agreement for Deferred Compensation Plan between the Registrant and Boatmens' Trust Company ("Trustee"), dated December 11, 1995.+</w:t>
      </w:r>
    </w:p>
    <w:p>
      <w:pPr>
        <w:spacing w:after="0" w:line="200" w:lineRule="exact"/>
        <w:rPr>
          <w:sz w:val="20"/>
          <w:szCs w:val="20"/>
          <w:color w:val="auto"/>
        </w:rPr>
      </w:pPr>
    </w:p>
    <w:p>
      <w:pPr>
        <w:spacing w:after="0" w:line="211" w:lineRule="exact"/>
        <w:rPr>
          <w:sz w:val="20"/>
          <w:szCs w:val="20"/>
          <w:color w:val="auto"/>
        </w:rPr>
      </w:pPr>
    </w:p>
    <w:p>
      <w:pPr>
        <w:ind w:left="1060" w:right="3359" w:hanging="526"/>
        <w:spacing w:after="0" w:line="268" w:lineRule="auto"/>
        <w:tabs>
          <w:tab w:leader="none" w:pos="10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Amendment No. 1, dated December 3, 1996, to Trust Agreement for Deferred Compensation Plan between the Registrant and the Trustee (incorporated herein by</w:t>
      </w:r>
    </w:p>
    <w:p>
      <w:pPr>
        <w:spacing w:after="0" w:line="1" w:lineRule="exact"/>
        <w:rPr>
          <w:sz w:val="20"/>
          <w:szCs w:val="20"/>
          <w:color w:val="auto"/>
        </w:rPr>
      </w:pPr>
    </w:p>
    <w:p>
      <w:pPr>
        <w:ind w:left="1060" w:right="2199"/>
        <w:spacing w:after="0" w:line="235" w:lineRule="auto"/>
        <w:rPr>
          <w:sz w:val="20"/>
          <w:szCs w:val="20"/>
          <w:color w:val="auto"/>
        </w:rPr>
      </w:pPr>
      <w:r>
        <w:rPr>
          <w:rFonts w:ascii="Courier New" w:cs="Courier New" w:eastAsia="Courier New" w:hAnsi="Courier New"/>
          <w:sz w:val="18"/>
          <w:szCs w:val="18"/>
          <w:color w:val="auto"/>
        </w:rPr>
        <w:t>reference to the Registrant's Post-Effective Amendment No. 1 to Form S-8, dated April 15, 1997 (File No. 33-64849).</w:t>
      </w:r>
    </w:p>
    <w:p>
      <w:pPr>
        <w:spacing w:after="0" w:line="200" w:lineRule="exact"/>
        <w:rPr>
          <w:sz w:val="20"/>
          <w:szCs w:val="20"/>
          <w:color w:val="auto"/>
        </w:rPr>
      </w:pPr>
    </w:p>
    <w:p>
      <w:pPr>
        <w:spacing w:after="0" w:line="211" w:lineRule="exact"/>
        <w:rPr>
          <w:sz w:val="20"/>
          <w:szCs w:val="20"/>
          <w:color w:val="auto"/>
        </w:rPr>
      </w:pPr>
    </w:p>
    <w:p>
      <w:pPr>
        <w:ind w:left="1060" w:right="199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4.7</w:t>
        <w:tab/>
        <w:t>Amendment No. 2, dated March 11, 1997, to Trust Agreement for Deferred Compensation Plan between the Registrant and the Trustee (incorporated herein by reference to the Registrant's Post-Effective Amendment No. 1 to Form S-8, dated April 15, 1997 (File No. 33-64849).</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Hale and Dorr.+</w:t>
      </w:r>
    </w:p>
    <w:p>
      <w:pPr>
        <w:spacing w:after="0" w:line="200" w:lineRule="exact"/>
        <w:rPr>
          <w:sz w:val="20"/>
          <w:szCs w:val="20"/>
          <w:color w:val="auto"/>
        </w:rPr>
      </w:pPr>
    </w:p>
    <w:p>
      <w:pPr>
        <w:spacing w:after="0" w:line="204"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Hale and Dorr.+</w:t>
      </w:r>
    </w:p>
    <w:p>
      <w:pPr>
        <w:spacing w:after="0" w:line="201"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Independent Auditors.</w:t>
      </w:r>
    </w:p>
    <w:p>
      <w:pPr>
        <w:spacing w:after="0" w:line="201"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Powers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 Previously filed</w:t>
      </w:r>
    </w:p>
    <w:p>
      <w:pPr>
        <w:sectPr>
          <w:pgSz w:w="11900" w:h="16838" w:orient="portrait"/>
          <w:cols w:equalWidth="0" w:num="1">
            <w:col w:w="9899"/>
          </w:cols>
          <w:pgMar w:left="56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the Post-Effective Amendment No. 1 to the Registration Statement (Form S-3 No. 333-17651) and related Prospectus of Analog Devices, Inc. for the registration of 1,000,000 shares of its common stock and to the incorporation by reference therein of our report dated December 3, 1996, with respect to the consolidated financial statements and schedule of Analog Devices, Inc. included in its Annual Report (Form 10-K) for the year ended November 2, 1996, filed with the Securities and Exchange Commission.</w:t>
      </w:r>
    </w:p>
    <w:p>
      <w:pPr>
        <w:spacing w:after="0" w:line="20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Boston, Massachusetts</w:t>
      </w:r>
    </w:p>
    <w:p>
      <w:pPr>
        <w:ind w:left="540"/>
        <w:spacing w:after="0" w:line="238" w:lineRule="auto"/>
        <w:rPr>
          <w:sz w:val="20"/>
          <w:szCs w:val="20"/>
          <w:color w:val="auto"/>
        </w:rPr>
      </w:pPr>
      <w:r>
        <w:rPr>
          <w:rFonts w:ascii="Courier New" w:cs="Courier New" w:eastAsia="Courier New" w:hAnsi="Courier New"/>
          <w:sz w:val="18"/>
          <w:szCs w:val="18"/>
          <w:color w:val="auto"/>
        </w:rPr>
        <w:t>April 9, 1997</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4"/>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lvl w:ilvl="1">
      <w:lvlJc w:val="left"/>
      <w:lvlText w:val="(%2)"/>
      <w:numFmt w:val="decimal"/>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1"/>
      <w:numFmt w:val="lowerLetter"/>
      <w:start w:val="1"/>
    </w:lvl>
    <w:lvl w:ilvl="1">
      <w:lvlJc w:val="left"/>
      <w:lvlText w:val="(%2)"/>
      <w:numFmt w:val="decimal"/>
      <w:start w:val="2"/>
    </w:lvl>
  </w:abstractNum>
  <w:abstractNum w:abstractNumId="7">
    <w:nsid w:val="515F007C"/>
    <w:multiLevelType w:val="hybridMultilevel"/>
    <w:lvl w:ilvl="0">
      <w:lvlJc w:val="left"/>
      <w:lvlText w:val="(%1)"/>
      <w:numFmt w:val="lowerLetter"/>
      <w:start w:val="2"/>
    </w:lvl>
    <w:lvl w:ilvl="1">
      <w:lvlJc w:val="left"/>
      <w:lvlText w:val="%2"/>
      <w:numFmt w:val="decimal"/>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2019-12-20T05:32:35Z</dcterms:created>
  <dcterms:modified xsi:type="dcterms:W3CDTF">2019-12-20T05:32:35Z</dcterms:modified>
</cp:coreProperties>
</file>