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985646.xml.htm"/>
      <w:bookmarkStart w:id="1" w:name="kswkform4_1741985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Henry Peter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7"/>
        <w:gridCol w:w="904"/>
        <w:gridCol w:w="773"/>
        <w:gridCol w:w="601"/>
        <w:gridCol w:w="354"/>
        <w:gridCol w:w="904"/>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1,160</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2,679</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12, 2026 or the date of the Company's next Annual Meeting of Shareholders. Upon the vesting date, each vested RSU shall automatically convert into one (1) share of common stock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1,205 shares of common stock received from RSUs that vested on March 12, 2025 and were previously reported in Table II of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3315"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3446</Characters>
  <CharactersWithSpaces>4033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