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18"/>
          <w:szCs w:val="18"/>
          <w:color w:val="auto"/>
        </w:rPr>
        <w:t>February 19, 2019</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70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85"/>
              </w:rPr>
              <w:t>Massachusetts</w:t>
            </w:r>
          </w:p>
        </w:tc>
        <w:tc>
          <w:tcPr>
            <w:tcW w:w="286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9"/>
              </w:rPr>
              <w:t>1-7819</w:t>
            </w:r>
          </w:p>
        </w:tc>
        <w:tc>
          <w:tcPr>
            <w:tcW w:w="386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1"/>
              </w:rPr>
              <w:t>04-2348234</w:t>
            </w:r>
          </w:p>
        </w:tc>
      </w:tr>
      <w:tr>
        <w:trPr>
          <w:trHeight w:val="215"/>
        </w:trPr>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3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1"/>
              </w:rPr>
              <w:t>(Commission</w:t>
            </w:r>
          </w:p>
        </w:tc>
        <w:tc>
          <w:tcPr>
            <w:tcW w:w="340" w:type="dxa"/>
            <w:vAlign w:val="bottom"/>
          </w:tcPr>
          <w:p>
            <w:pPr>
              <w:spacing w:after="0"/>
              <w:rPr>
                <w:sz w:val="18"/>
                <w:szCs w:val="18"/>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700" w:type="dxa"/>
            <w:vAlign w:val="bottom"/>
            <w:gridSpan w:val="3"/>
          </w:tcPr>
          <w:p>
            <w:pPr>
              <w:jc w:val="center"/>
              <w:ind w:right="1160"/>
              <w:spacing w:after="0"/>
              <w:rPr>
                <w:sz w:val="20"/>
                <w:szCs w:val="20"/>
                <w:color w:val="auto"/>
              </w:rPr>
            </w:pPr>
            <w:r>
              <w:rPr>
                <w:rFonts w:ascii="Arial" w:cs="Arial" w:eastAsia="Arial" w:hAnsi="Arial"/>
                <w:sz w:val="18"/>
                <w:szCs w:val="18"/>
                <w:color w:val="auto"/>
                <w:w w:val="93"/>
              </w:rPr>
              <w:t>of incorporation)</w:t>
            </w:r>
          </w:p>
        </w:tc>
        <w:tc>
          <w:tcPr>
            <w:tcW w:w="2860" w:type="dxa"/>
            <w:vAlign w:val="bottom"/>
            <w:gridSpan w:val="3"/>
          </w:tcPr>
          <w:p>
            <w:pPr>
              <w:jc w:val="center"/>
              <w:ind w:right="820"/>
              <w:spacing w:after="0"/>
              <w:rPr>
                <w:sz w:val="20"/>
                <w:szCs w:val="20"/>
                <w:color w:val="auto"/>
              </w:rPr>
            </w:pPr>
            <w:r>
              <w:rPr>
                <w:rFonts w:ascii="Arial" w:cs="Arial" w:eastAsia="Arial" w:hAnsi="Arial"/>
                <w:sz w:val="18"/>
                <w:szCs w:val="18"/>
                <w:color w:val="auto"/>
                <w:w w:val="92"/>
              </w:rPr>
              <w:t>File Number)</w:t>
            </w:r>
          </w:p>
        </w:tc>
        <w:tc>
          <w:tcPr>
            <w:tcW w:w="34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4700" w:type="dxa"/>
            <w:vAlign w:val="bottom"/>
            <w:tcBorders>
              <w:bottom w:val="single" w:sz="8" w:color="auto"/>
            </w:tcBorders>
            <w:gridSpan w:val="3"/>
          </w:tcPr>
          <w:p>
            <w:pPr>
              <w:ind w:left="1340"/>
              <w:spacing w:after="0"/>
              <w:rPr>
                <w:sz w:val="20"/>
                <w:szCs w:val="20"/>
                <w:color w:val="auto"/>
              </w:rPr>
            </w:pPr>
            <w:r>
              <w:rPr>
                <w:rFonts w:ascii="Arial" w:cs="Arial" w:eastAsia="Arial" w:hAnsi="Arial"/>
                <w:sz w:val="18"/>
                <w:szCs w:val="18"/>
                <w:b w:val="1"/>
                <w:bCs w:val="1"/>
                <w:color w:val="auto"/>
              </w:rPr>
              <w:t>One Technology Way, Norwood, MA</w:t>
            </w:r>
          </w:p>
        </w:tc>
        <w:tc>
          <w:tcPr>
            <w:tcW w:w="8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2"/>
          </w:tcPr>
          <w:p>
            <w:pPr>
              <w:jc w:val="right"/>
              <w:ind w:right="2410"/>
              <w:spacing w:after="0"/>
              <w:rPr>
                <w:sz w:val="20"/>
                <w:szCs w:val="20"/>
                <w:color w:val="auto"/>
              </w:rPr>
            </w:pPr>
            <w:r>
              <w:rPr>
                <w:rFonts w:ascii="Arial" w:cs="Arial" w:eastAsia="Arial" w:hAnsi="Arial"/>
                <w:sz w:val="18"/>
                <w:szCs w:val="18"/>
                <w:b w:val="1"/>
                <w:bCs w:val="1"/>
                <w:color w:val="auto"/>
              </w:rPr>
              <w:t>02062</w:t>
            </w:r>
          </w:p>
        </w:tc>
      </w:tr>
      <w:tr>
        <w:trPr>
          <w:trHeight w:val="230"/>
        </w:trPr>
        <w:tc>
          <w:tcPr>
            <w:tcW w:w="4700" w:type="dxa"/>
            <w:vAlign w:val="bottom"/>
            <w:gridSpan w:val="3"/>
          </w:tcPr>
          <w:p>
            <w:pPr>
              <w:ind w:left="1320"/>
              <w:spacing w:after="0"/>
              <w:rPr>
                <w:sz w:val="20"/>
                <w:szCs w:val="20"/>
                <w:color w:val="auto"/>
              </w:rPr>
            </w:pPr>
            <w:r>
              <w:rPr>
                <w:rFonts w:ascii="Arial" w:cs="Arial" w:eastAsia="Arial" w:hAnsi="Arial"/>
                <w:sz w:val="18"/>
                <w:szCs w:val="18"/>
                <w:color w:val="auto"/>
              </w:rPr>
              <w:t>(Address of principal executive offices)</w:t>
            </w: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2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(781) 329-4700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82" w:lineRule="exact"/>
        <w:rPr>
          <w:sz w:val="24"/>
          <w:szCs w:val="24"/>
          <w:color w:val="auto"/>
        </w:rPr>
      </w:pPr>
    </w:p>
    <w:p>
      <w:pPr>
        <w:ind w:right="120"/>
        <w:spacing w:after="0" w:line="26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ind w:right="80"/>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1" w:lineRule="exact"/>
        <w:rPr>
          <w:sz w:val="24"/>
          <w:szCs w:val="24"/>
          <w:color w:val="auto"/>
        </w:rPr>
      </w:pPr>
    </w:p>
    <w:p>
      <w:pPr>
        <w:spacing w:after="0"/>
        <w:rPr>
          <w:sz w:val="20"/>
          <w:szCs w:val="20"/>
          <w:color w:val="auto"/>
        </w:rPr>
      </w:pPr>
      <w:r>
        <w:rPr>
          <w:rFonts w:ascii="Arial" w:cs="Arial" w:eastAsia="Arial" w:hAnsi="Arial"/>
          <w:sz w:val="22"/>
          <w:szCs w:val="22"/>
          <w:color w:val="auto"/>
        </w:rPr>
        <w:t>Emerging growth company</w:t>
      </w:r>
    </w:p>
    <w:p>
      <w:pPr>
        <w:spacing w:after="0" w:line="206" w:lineRule="exact"/>
        <w:rPr>
          <w:sz w:val="24"/>
          <w:szCs w:val="24"/>
          <w:color w:val="auto"/>
        </w:rPr>
      </w:pPr>
    </w:p>
    <w:p>
      <w:pPr>
        <w:ind w:right="320"/>
        <w:spacing w:after="0" w:line="328"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19"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On February 20, 2019, Analog Devices, Inc. (the “Registrant”) announced its financial results for its fiscal first quarter ended February 2, 2019. The full text of the press release issued by the Registrant concerning the foregoing results is furnished herewith as Exhibit 99.1.</w:t>
      </w:r>
    </w:p>
    <w:p>
      <w:pPr>
        <w:spacing w:after="0" w:line="130"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The information contained herein and in the accompanying exhibit shall not be incorporated by reference into any filing of the Registrant, whether made before or after the date hereof, regardless of any general incorporation language in such filing, unless expressly incorporated by specific reference to such filing. The information in this report, including the exhibit hereto, shall not be deemed to be “filed” for purposes of Section 18 of the Securities Exchange Act of 1934, as amended, or otherwise subject to the liabilities of that section or Sections 11 and 12(a)(2) of the Securities Act of 1933, as amended.</w:t>
      </w:r>
    </w:p>
    <w:p>
      <w:pPr>
        <w:spacing w:after="0" w:line="141"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color w:val="auto"/>
        </w:rPr>
        <w:t>Other Events.</w:t>
      </w:r>
    </w:p>
    <w:p>
      <w:pPr>
        <w:spacing w:after="0" w:line="219" w:lineRule="exact"/>
        <w:rPr>
          <w:sz w:val="20"/>
          <w:szCs w:val="20"/>
          <w:color w:val="auto"/>
        </w:rPr>
      </w:pPr>
    </w:p>
    <w:p>
      <w:pPr>
        <w:ind w:right="440" w:firstLine="405"/>
        <w:spacing w:after="0" w:line="259" w:lineRule="auto"/>
        <w:rPr>
          <w:sz w:val="20"/>
          <w:szCs w:val="20"/>
          <w:color w:val="auto"/>
        </w:rPr>
      </w:pPr>
      <w:r>
        <w:rPr>
          <w:rFonts w:ascii="Arial" w:cs="Arial" w:eastAsia="Arial" w:hAnsi="Arial"/>
          <w:sz w:val="18"/>
          <w:szCs w:val="18"/>
          <w:color w:val="auto"/>
        </w:rPr>
        <w:t>On February 19, 2019, the Registrant announced that its Board of Directors declared a quarterly cash dividend of $0.54 per outstanding share of common stock, an increase from the previously paid dividend of $0.48 per outstanding share of common stock. The dividend will be paid on March 12, 2019 to all shareholders of record at the close of business on March 1, 2019. A copy of the Registrant’s press release is attached as Exhibit 99.2 to this Current Report on Form 8-K and is incorporated herein by reference.</w:t>
      </w:r>
    </w:p>
    <w:p>
      <w:pPr>
        <w:spacing w:after="0" w:line="174"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10240" w:type="dxa"/>
            <w:vAlign w:val="bottom"/>
            <w:gridSpan w:val="4"/>
          </w:tcPr>
          <w:p>
            <w:pPr>
              <w:ind w:left="320"/>
              <w:spacing w:after="0"/>
              <w:rPr>
                <w:sz w:val="20"/>
                <w:szCs w:val="20"/>
                <w:color w:val="auto"/>
              </w:rPr>
            </w:pPr>
            <w:r>
              <w:rPr>
                <w:rFonts w:ascii="Arial" w:cs="Arial" w:eastAsia="Arial" w:hAnsi="Arial"/>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466"/>
        </w:trPr>
        <w:tc>
          <w:tcPr>
            <w:tcW w:w="320" w:type="dxa"/>
            <w:vAlign w:val="bottom"/>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40" w:type="dxa"/>
            <w:vAlign w:val="bottom"/>
            <w:gridSpan w:val="4"/>
          </w:tcPr>
          <w:p>
            <w:pPr>
              <w:ind w:left="320"/>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February 20, 2019</w:t>
              </w:r>
            </w:hyperlink>
          </w:p>
        </w:tc>
      </w:tr>
      <w:tr>
        <w:trPr>
          <w:trHeight w:val="20"/>
        </w:trPr>
        <w:tc>
          <w:tcPr>
            <w:tcW w:w="3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223"/>
        </w:trPr>
        <w:tc>
          <w:tcPr>
            <w:tcW w:w="320" w:type="dxa"/>
            <w:vAlign w:val="bottom"/>
          </w:tcPr>
          <w:p>
            <w:pPr>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40" w:type="dxa"/>
            <w:vAlign w:val="bottom"/>
            <w:gridSpan w:val="4"/>
          </w:tcPr>
          <w:p>
            <w:pPr>
              <w:ind w:left="320"/>
              <w:spacing w:after="0"/>
              <w:rPr>
                <w:rFonts w:ascii="Arial" w:cs="Arial" w:eastAsia="Arial" w:hAnsi="Arial"/>
                <w:sz w:val="18"/>
                <w:szCs w:val="18"/>
                <w:color w:val="0000EE"/>
              </w:rPr>
            </w:pPr>
            <w:hyperlink w:anchor="page17">
              <w:r>
                <w:rPr>
                  <w:rFonts w:ascii="Arial" w:cs="Arial" w:eastAsia="Arial" w:hAnsi="Arial"/>
                  <w:sz w:val="18"/>
                  <w:szCs w:val="18"/>
                  <w:color w:val="0000EE"/>
                </w:rPr>
                <w:t>Press release dated February 19, 2019</w:t>
              </w:r>
            </w:hyperlink>
          </w:p>
        </w:tc>
      </w:tr>
      <w:tr>
        <w:trPr>
          <w:trHeight w:val="169"/>
        </w:trPr>
        <w:tc>
          <w:tcPr>
            <w:tcW w:w="320" w:type="dxa"/>
            <w:vAlign w:val="bottom"/>
            <w:tcBorders>
              <w:top w:val="single" w:sz="8" w:color="0000EE"/>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840" w:type="dxa"/>
            <w:vAlign w:val="bottom"/>
            <w:tcBorders>
              <w:top w:val="single" w:sz="8" w:color="0000EE"/>
              <w:bottom w:val="single" w:sz="8" w:color="9A9A9A"/>
            </w:tcBorders>
          </w:tcPr>
          <w:p>
            <w:pPr>
              <w:spacing w:after="0"/>
              <w:rPr>
                <w:sz w:val="14"/>
                <w:szCs w:val="14"/>
                <w:color w:val="auto"/>
              </w:rPr>
            </w:pPr>
          </w:p>
        </w:tc>
        <w:tc>
          <w:tcPr>
            <w:tcW w:w="1880" w:type="dxa"/>
            <w:vAlign w:val="bottom"/>
            <w:tcBorders>
              <w:top w:val="single" w:sz="8" w:color="0000EE"/>
              <w:bottom w:val="single" w:sz="8" w:color="9A9A9A"/>
            </w:tcBorders>
          </w:tcPr>
          <w:p>
            <w:pPr>
              <w:spacing w:after="0"/>
              <w:rPr>
                <w:sz w:val="14"/>
                <w:szCs w:val="14"/>
                <w:color w:val="auto"/>
              </w:rPr>
            </w:pPr>
          </w:p>
        </w:tc>
        <w:tc>
          <w:tcPr>
            <w:tcW w:w="7200" w:type="dxa"/>
            <w:vAlign w:val="bottom"/>
            <w:tcBorders>
              <w:bottom w:val="single" w:sz="8" w:color="9A9A9A"/>
            </w:tcBorders>
          </w:tcPr>
          <w:p>
            <w:pPr>
              <w:spacing w:after="0"/>
              <w:rPr>
                <w:sz w:val="14"/>
                <w:szCs w:val="14"/>
                <w:color w:val="auto"/>
              </w:rPr>
            </w:pPr>
          </w:p>
        </w:tc>
      </w:tr>
      <w:tr>
        <w:trPr>
          <w:trHeight w:val="21"/>
        </w:trPr>
        <w:tc>
          <w:tcPr>
            <w:tcW w:w="32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880" w:type="dxa"/>
            <w:vAlign w:val="bottom"/>
            <w:tcBorders>
              <w:bottom w:val="single" w:sz="8" w:color="EEEEEE"/>
            </w:tcBorders>
          </w:tcPr>
          <w:p>
            <w:pPr>
              <w:spacing w:after="0" w:line="20" w:lineRule="exact"/>
              <w:rPr>
                <w:sz w:val="1"/>
                <w:szCs w:val="1"/>
                <w:color w:val="auto"/>
              </w:rPr>
            </w:pPr>
          </w:p>
        </w:tc>
        <w:tc>
          <w:tcPr>
            <w:tcW w:w="72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jc w:val="center"/>
        <w:ind w:right="-779"/>
        <w:spacing w:after="0"/>
        <w:rPr>
          <w:sz w:val="20"/>
          <w:szCs w:val="20"/>
          <w:color w:val="auto"/>
        </w:rPr>
      </w:pPr>
      <w:r>
        <w:rPr>
          <w:rFonts w:ascii="Arial" w:cs="Arial" w:eastAsia="Arial" w:hAnsi="Arial"/>
          <w:sz w:val="22"/>
          <w:szCs w:val="22"/>
          <w:color w:val="auto"/>
        </w:rPr>
        <w:t>SIGNATURE</w:t>
      </w:r>
    </w:p>
    <w:p>
      <w:pPr>
        <w:spacing w:after="0" w:line="21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20, 2019</w:t>
      </w:r>
      <w:r>
        <w:rPr>
          <w:sz w:val="20"/>
          <w:szCs w:val="20"/>
          <w:color w:val="auto"/>
        </w:rPr>
        <w:tab/>
      </w:r>
      <w:r>
        <w:rPr>
          <w:rFonts w:ascii="Arial" w:cs="Arial" w:eastAsia="Arial" w:hAnsi="Arial"/>
          <w:sz w:val="17"/>
          <w:szCs w:val="17"/>
          <w:color w:val="auto"/>
        </w:rPr>
        <w:t>ANALOG DEVICES, INC.</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67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Prashanth Mahendra-Rajah</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Finance and</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760"/>
          </w:cols>
          <w:pgMar w:left="240" w:top="118" w:right="8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Analog Devices Reports First Quarter Fiscal 2019 Results with Revenue and EPS at the High-End of Guidance</w:t>
      </w:r>
    </w:p>
    <w:p>
      <w:pPr>
        <w:spacing w:after="0" w:line="218"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Revenue of $1.54 billion led by strong growth in the communications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Operating Cash Flow of $2.4 billion and Free Cash Flow of $2.1 billion on a trailing twelve months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auto"/>
        </w:rPr>
        <w:t>Returned over $400 million to shareholders in the first quarter through dividends and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-87630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Increased quarterly dividend by 12.5% and updated dividend growth target to 7% to 15%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2" w:lineRule="exact"/>
        <w:rPr>
          <w:sz w:val="20"/>
          <w:szCs w:val="20"/>
          <w:color w:val="auto"/>
        </w:rPr>
      </w:pPr>
    </w:p>
    <w:p>
      <w:pPr>
        <w:jc w:val="both"/>
        <w:ind w:right="720"/>
        <w:spacing w:after="0"/>
        <w:rPr>
          <w:sz w:val="20"/>
          <w:szCs w:val="20"/>
          <w:color w:val="auto"/>
        </w:rPr>
      </w:pPr>
      <w:r>
        <w:rPr>
          <w:rFonts w:ascii="Arial" w:cs="Arial" w:eastAsia="Arial" w:hAnsi="Arial"/>
          <w:sz w:val="22"/>
          <w:szCs w:val="22"/>
          <w:color w:val="auto"/>
        </w:rPr>
        <w:t>NORWOOD, Mass.--(BUSINESS WIRE)--February 20, 2019--Analog Devices, Inc. (Nasdaq: ADI), a leading global high-performance analog technology company, today announced financial results for its first quarter of fiscal 2019, which ended February 2, 2019.</w:t>
      </w:r>
    </w:p>
    <w:p>
      <w:pPr>
        <w:spacing w:after="0" w:line="186"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“In what is a challenging macroeconomic environment, the diversity and strong execution of our franchise continued to deliver outstanding financial results for the first quarter,” said Vincent Roche, President and CEO. “Revenue came in at the high-end of our guidance with continued strength in our communications market related to ongoing 4G upgrades and initial 5G deployments. Further, we returned more than $400 million of cash to our shareholders this quarter through share repurchases, which reduced our overall share count, and dividends.”</w:t>
      </w:r>
    </w:p>
    <w:p>
      <w:pPr>
        <w:spacing w:after="0" w:line="188"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“In the near term, we continue to execute soundly despite the uncertain macroenvironment. That said, I have never been more confident or excited about the future of ADI’s franchise. Our ethos of innovation combined with deep customer engagements and our alignment with favorable macro trends positions us to continue to take share, expand our addressable market, and deliver strong returns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5500" w:type="dxa"/>
            <w:vAlign w:val="bottom"/>
            <w:gridSpan w:val="5"/>
          </w:tcPr>
          <w:p>
            <w:pPr>
              <w:spacing w:after="0"/>
              <w:rPr>
                <w:sz w:val="20"/>
                <w:szCs w:val="20"/>
                <w:color w:val="auto"/>
              </w:rPr>
            </w:pPr>
            <w:r>
              <w:rPr>
                <w:rFonts w:ascii="Arial" w:cs="Arial" w:eastAsia="Arial" w:hAnsi="Arial"/>
                <w:sz w:val="14"/>
                <w:szCs w:val="14"/>
                <w:b w:val="1"/>
                <w:bCs w:val="1"/>
                <w:color w:val="auto"/>
              </w:rPr>
              <w:t>Performance for the First Quarter of Fiscal Year 2019</w:t>
            </w:r>
          </w:p>
        </w:tc>
        <w:tc>
          <w:tcPr>
            <w:tcW w:w="1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1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1"/>
              </w:rPr>
              <w:t>Results Summary</w:t>
            </w:r>
          </w:p>
        </w:tc>
        <w:tc>
          <w:tcPr>
            <w:tcW w:w="222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500" w:type="dxa"/>
            <w:vAlign w:val="bottom"/>
            <w:gridSpan w:val="5"/>
          </w:tcPr>
          <w:p>
            <w:pPr>
              <w:spacing w:after="0"/>
              <w:rPr>
                <w:sz w:val="20"/>
                <w:szCs w:val="20"/>
                <w:color w:val="auto"/>
              </w:rPr>
            </w:pPr>
            <w:r>
              <w:rPr>
                <w:rFonts w:ascii="Arial" w:cs="Arial" w:eastAsia="Arial" w:hAnsi="Arial"/>
                <w:sz w:val="14"/>
                <w:szCs w:val="14"/>
                <w:i w:val="1"/>
                <w:iCs w:val="1"/>
                <w:color w:val="auto"/>
              </w:rPr>
              <w:t>(In millions, except per share amounts and percentages)</w:t>
            </w:r>
          </w:p>
        </w:tc>
        <w:tc>
          <w:tcPr>
            <w:tcW w:w="16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60" w:type="dxa"/>
            <w:vAlign w:val="bottom"/>
          </w:tcPr>
          <w:p>
            <w:pPr>
              <w:jc w:val="center"/>
              <w:ind w:left="288"/>
              <w:spacing w:after="0" w:line="160" w:lineRule="exact"/>
              <w:rPr>
                <w:sz w:val="20"/>
                <w:szCs w:val="20"/>
                <w:color w:val="auto"/>
              </w:rPr>
            </w:pPr>
            <w:r>
              <w:rPr>
                <w:rFonts w:ascii="Arial" w:cs="Arial" w:eastAsia="Arial" w:hAnsi="Arial"/>
                <w:sz w:val="14"/>
                <w:szCs w:val="14"/>
                <w:b w:val="1"/>
                <w:bCs w:val="1"/>
                <w:color w:val="auto"/>
                <w:w w:val="94"/>
              </w:rPr>
              <w:t>Feb. 2,</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jc w:val="center"/>
              <w:ind w:left="328"/>
              <w:spacing w:after="0" w:line="160" w:lineRule="exact"/>
              <w:rPr>
                <w:sz w:val="20"/>
                <w:szCs w:val="20"/>
                <w:color w:val="auto"/>
              </w:rPr>
            </w:pPr>
            <w:r>
              <w:rPr>
                <w:rFonts w:ascii="Arial" w:cs="Arial" w:eastAsia="Arial" w:hAnsi="Arial"/>
                <w:sz w:val="14"/>
                <w:szCs w:val="14"/>
                <w:b w:val="1"/>
                <w:bCs w:val="1"/>
                <w:color w:val="auto"/>
                <w:w w:val="94"/>
              </w:rPr>
              <w:t>Feb. 3,</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660" w:type="dxa"/>
            <w:vAlign w:val="bottom"/>
          </w:tcPr>
          <w:p>
            <w:pPr>
              <w:jc w:val="center"/>
              <w:ind w:left="308"/>
              <w:spacing w:after="0"/>
              <w:rPr>
                <w:sz w:val="20"/>
                <w:szCs w:val="20"/>
                <w:color w:val="auto"/>
              </w:rPr>
            </w:pPr>
            <w:r>
              <w:rPr>
                <w:rFonts w:ascii="Arial" w:cs="Arial" w:eastAsia="Arial" w:hAnsi="Arial"/>
                <w:sz w:val="14"/>
                <w:szCs w:val="14"/>
                <w:b w:val="1"/>
                <w:bCs w:val="1"/>
                <w:color w:val="auto"/>
                <w:w w:val="89"/>
              </w:rPr>
              <w:t>2019</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jc w:val="center"/>
              <w:ind w:left="328"/>
              <w:spacing w:after="0"/>
              <w:rPr>
                <w:sz w:val="20"/>
                <w:szCs w:val="20"/>
                <w:color w:val="auto"/>
              </w:rPr>
            </w:pPr>
            <w:r>
              <w:rPr>
                <w:rFonts w:ascii="Arial" w:cs="Arial" w:eastAsia="Arial" w:hAnsi="Arial"/>
                <w:sz w:val="14"/>
                <w:szCs w:val="14"/>
                <w:b w:val="1"/>
                <w:bCs w:val="1"/>
                <w:color w:val="auto"/>
                <w:w w:val="96"/>
              </w:rPr>
              <w:t>2018 (1), (2)</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4"/>
        </w:trPr>
        <w:tc>
          <w:tcPr>
            <w:tcW w:w="5500" w:type="dxa"/>
            <w:vAlign w:val="bottom"/>
            <w:gridSpan w:val="5"/>
          </w:tcPr>
          <w:p>
            <w:pPr>
              <w:spacing w:after="0"/>
              <w:rPr>
                <w:sz w:val="20"/>
                <w:szCs w:val="20"/>
                <w:color w:val="auto"/>
              </w:rPr>
            </w:pPr>
            <w:r>
              <w:rPr>
                <w:rFonts w:ascii="Arial" w:cs="Arial" w:eastAsia="Arial" w:hAnsi="Arial"/>
                <w:sz w:val="14"/>
                <w:szCs w:val="14"/>
                <w:color w:val="auto"/>
              </w:rPr>
              <w:t>Revenue</w:t>
            </w:r>
          </w:p>
        </w:tc>
        <w:tc>
          <w:tcPr>
            <w:tcW w:w="1660" w:type="dxa"/>
            <w:vAlign w:val="bottom"/>
            <w:tcBorders>
              <w:top w:val="single" w:sz="8" w:color="auto"/>
            </w:tcBorders>
          </w:tcPr>
          <w:p>
            <w:pPr>
              <w:jc w:val="right"/>
              <w:ind w:right="126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1,541</w:t>
            </w:r>
          </w:p>
        </w:tc>
        <w:tc>
          <w:tcPr>
            <w:tcW w:w="1980" w:type="dxa"/>
            <w:vAlign w:val="bottom"/>
            <w:tcBorders>
              <w:top w:val="single" w:sz="8" w:color="auto"/>
            </w:tcBorders>
          </w:tcPr>
          <w:p>
            <w:pPr>
              <w:jc w:val="right"/>
              <w:ind w:right="15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1,567</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00" w:type="dxa"/>
            <w:vAlign w:val="bottom"/>
            <w:gridSpan w:val="5"/>
          </w:tcPr>
          <w:p>
            <w:pPr>
              <w:spacing w:after="0"/>
              <w:rPr>
                <w:sz w:val="20"/>
                <w:szCs w:val="20"/>
                <w:color w:val="auto"/>
              </w:rPr>
            </w:pPr>
            <w:r>
              <w:rPr>
                <w:rFonts w:ascii="Arial" w:cs="Arial" w:eastAsia="Arial" w:hAnsi="Arial"/>
                <w:sz w:val="14"/>
                <w:szCs w:val="14"/>
                <w:color w:val="auto"/>
              </w:rPr>
              <w:t>Gross margin</w:t>
            </w:r>
          </w:p>
        </w:tc>
        <w:tc>
          <w:tcPr>
            <w:tcW w:w="166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1,040</w:t>
            </w:r>
          </w:p>
        </w:tc>
        <w:tc>
          <w:tcPr>
            <w:tcW w:w="1980" w:type="dxa"/>
            <w:vAlign w:val="bottom"/>
          </w:tcPr>
          <w:p>
            <w:pPr>
              <w:jc w:val="right"/>
              <w:ind w:right="150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1,072</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6"/>
        </w:trPr>
        <w:tc>
          <w:tcPr>
            <w:tcW w:w="5500" w:type="dxa"/>
            <w:vAlign w:val="bottom"/>
            <w:gridSpan w:val="5"/>
          </w:tcPr>
          <w:p>
            <w:pPr>
              <w:spacing w:after="0"/>
              <w:rPr>
                <w:sz w:val="20"/>
                <w:szCs w:val="20"/>
                <w:color w:val="auto"/>
              </w:rPr>
            </w:pPr>
            <w:r>
              <w:rPr>
                <w:rFonts w:ascii="Arial" w:cs="Arial" w:eastAsia="Arial" w:hAnsi="Arial"/>
                <w:sz w:val="14"/>
                <w:szCs w:val="14"/>
                <w:color w:val="auto"/>
              </w:rPr>
              <w:t>Gross margin percentage</w:t>
            </w:r>
          </w:p>
        </w:tc>
        <w:tc>
          <w:tcPr>
            <w:tcW w:w="166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0"/>
              </w:rPr>
              <w:t>67.5%</w:t>
            </w:r>
          </w:p>
        </w:tc>
        <w:tc>
          <w:tcPr>
            <w:tcW w:w="198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i w:val="1"/>
                <w:iCs w:val="1"/>
                <w:color w:val="auto"/>
              </w:rPr>
              <w:t>68.4%</w:t>
            </w: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(90) bps</w:t>
            </w:r>
          </w:p>
        </w:tc>
        <w:tc>
          <w:tcPr>
            <w:tcW w:w="0" w:type="dxa"/>
            <w:vAlign w:val="bottom"/>
          </w:tcPr>
          <w:p>
            <w:pPr>
              <w:spacing w:after="0"/>
              <w:rPr>
                <w:sz w:val="1"/>
                <w:szCs w:val="1"/>
                <w:color w:val="auto"/>
              </w:rPr>
            </w:pPr>
          </w:p>
        </w:tc>
      </w:tr>
      <w:tr>
        <w:trPr>
          <w:trHeight w:val="176"/>
        </w:trPr>
        <w:tc>
          <w:tcPr>
            <w:tcW w:w="5500" w:type="dxa"/>
            <w:vAlign w:val="bottom"/>
            <w:gridSpan w:val="5"/>
          </w:tcPr>
          <w:p>
            <w:pPr>
              <w:spacing w:after="0"/>
              <w:rPr>
                <w:sz w:val="20"/>
                <w:szCs w:val="20"/>
                <w:color w:val="auto"/>
              </w:rPr>
            </w:pPr>
            <w:r>
              <w:rPr>
                <w:rFonts w:ascii="Arial" w:cs="Arial" w:eastAsia="Arial" w:hAnsi="Arial"/>
                <w:sz w:val="14"/>
                <w:szCs w:val="14"/>
                <w:color w:val="auto"/>
              </w:rPr>
              <w:t>Operating income</w:t>
            </w:r>
          </w:p>
        </w:tc>
        <w:tc>
          <w:tcPr>
            <w:tcW w:w="166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456</w:t>
            </w:r>
          </w:p>
        </w:tc>
        <w:tc>
          <w:tcPr>
            <w:tcW w:w="1980" w:type="dxa"/>
            <w:vAlign w:val="bottom"/>
          </w:tcPr>
          <w:p>
            <w:pPr>
              <w:jc w:val="right"/>
              <w:ind w:right="150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442</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6"/>
        </w:trPr>
        <w:tc>
          <w:tcPr>
            <w:tcW w:w="5500" w:type="dxa"/>
            <w:vAlign w:val="bottom"/>
            <w:gridSpan w:val="5"/>
          </w:tcPr>
          <w:p>
            <w:pPr>
              <w:spacing w:after="0"/>
              <w:rPr>
                <w:sz w:val="20"/>
                <w:szCs w:val="20"/>
                <w:color w:val="auto"/>
              </w:rPr>
            </w:pPr>
            <w:r>
              <w:rPr>
                <w:rFonts w:ascii="Arial" w:cs="Arial" w:eastAsia="Arial" w:hAnsi="Arial"/>
                <w:sz w:val="14"/>
                <w:szCs w:val="14"/>
                <w:color w:val="auto"/>
              </w:rPr>
              <w:t>Operating margin</w:t>
            </w:r>
          </w:p>
        </w:tc>
        <w:tc>
          <w:tcPr>
            <w:tcW w:w="166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0"/>
              </w:rPr>
              <w:t>29.6%</w:t>
            </w:r>
          </w:p>
        </w:tc>
        <w:tc>
          <w:tcPr>
            <w:tcW w:w="198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i w:val="1"/>
                <w:iCs w:val="1"/>
                <w:color w:val="auto"/>
              </w:rPr>
              <w:t>28.2%</w:t>
            </w: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140 bps</w:t>
            </w:r>
          </w:p>
        </w:tc>
        <w:tc>
          <w:tcPr>
            <w:tcW w:w="0" w:type="dxa"/>
            <w:vAlign w:val="bottom"/>
          </w:tcPr>
          <w:p>
            <w:pPr>
              <w:spacing w:after="0"/>
              <w:rPr>
                <w:sz w:val="1"/>
                <w:szCs w:val="1"/>
                <w:color w:val="auto"/>
              </w:rPr>
            </w:pPr>
          </w:p>
        </w:tc>
      </w:tr>
      <w:tr>
        <w:trPr>
          <w:trHeight w:val="172"/>
        </w:trPr>
        <w:tc>
          <w:tcPr>
            <w:tcW w:w="5500" w:type="dxa"/>
            <w:vAlign w:val="bottom"/>
            <w:gridSpan w:val="5"/>
          </w:tcPr>
          <w:p>
            <w:pPr>
              <w:spacing w:after="0"/>
              <w:rPr>
                <w:sz w:val="20"/>
                <w:szCs w:val="20"/>
                <w:color w:val="auto"/>
              </w:rPr>
            </w:pPr>
            <w:r>
              <w:rPr>
                <w:rFonts w:ascii="Arial" w:cs="Arial" w:eastAsia="Arial" w:hAnsi="Arial"/>
                <w:sz w:val="14"/>
                <w:szCs w:val="14"/>
                <w:color w:val="auto"/>
              </w:rPr>
              <w:t>Diluted earnings per share</w:t>
            </w:r>
          </w:p>
        </w:tc>
        <w:tc>
          <w:tcPr>
            <w:tcW w:w="166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0.95</w:t>
            </w:r>
          </w:p>
        </w:tc>
        <w:tc>
          <w:tcPr>
            <w:tcW w:w="1980" w:type="dxa"/>
            <w:vAlign w:val="bottom"/>
          </w:tcPr>
          <w:p>
            <w:pPr>
              <w:jc w:val="right"/>
              <w:ind w:right="150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0.78</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0" w:type="dxa"/>
            <w:vAlign w:val="bottom"/>
            <w:gridSpan w:val="2"/>
          </w:tcPr>
          <w:p>
            <w:pPr>
              <w:ind w:left="1060"/>
              <w:spacing w:after="0"/>
              <w:rPr>
                <w:sz w:val="20"/>
                <w:szCs w:val="20"/>
                <w:color w:val="auto"/>
              </w:rPr>
            </w:pPr>
            <w:r>
              <w:rPr>
                <w:rFonts w:ascii="Arial" w:cs="Arial" w:eastAsia="Arial" w:hAnsi="Arial"/>
                <w:sz w:val="14"/>
                <w:szCs w:val="14"/>
                <w:b w:val="1"/>
                <w:bCs w:val="1"/>
                <w:color w:val="auto"/>
              </w:rPr>
              <w:t>Adjusted Results</w:t>
            </w:r>
          </w:p>
        </w:tc>
        <w:tc>
          <w:tcPr>
            <w:tcW w:w="1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00" w:type="dxa"/>
            <w:vAlign w:val="bottom"/>
            <w:gridSpan w:val="5"/>
          </w:tcPr>
          <w:p>
            <w:pPr>
              <w:spacing w:after="0"/>
              <w:rPr>
                <w:sz w:val="20"/>
                <w:szCs w:val="20"/>
                <w:color w:val="auto"/>
              </w:rPr>
            </w:pPr>
            <w:r>
              <w:rPr>
                <w:rFonts w:ascii="Arial" w:cs="Arial" w:eastAsia="Arial" w:hAnsi="Arial"/>
                <w:sz w:val="14"/>
                <w:szCs w:val="14"/>
                <w:color w:val="auto"/>
              </w:rPr>
              <w:t>Adjusted gross margin</w:t>
            </w:r>
          </w:p>
        </w:tc>
        <w:tc>
          <w:tcPr>
            <w:tcW w:w="166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1,083</w:t>
            </w:r>
          </w:p>
        </w:tc>
        <w:tc>
          <w:tcPr>
            <w:tcW w:w="1980" w:type="dxa"/>
            <w:vAlign w:val="bottom"/>
          </w:tcPr>
          <w:p>
            <w:pPr>
              <w:jc w:val="right"/>
              <w:ind w:right="150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1,115</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6"/>
        </w:trPr>
        <w:tc>
          <w:tcPr>
            <w:tcW w:w="5500" w:type="dxa"/>
            <w:vAlign w:val="bottom"/>
            <w:gridSpan w:val="5"/>
          </w:tcPr>
          <w:p>
            <w:pPr>
              <w:spacing w:after="0"/>
              <w:rPr>
                <w:sz w:val="20"/>
                <w:szCs w:val="20"/>
                <w:color w:val="auto"/>
              </w:rPr>
            </w:pPr>
            <w:r>
              <w:rPr>
                <w:rFonts w:ascii="Arial" w:cs="Arial" w:eastAsia="Arial" w:hAnsi="Arial"/>
                <w:sz w:val="14"/>
                <w:szCs w:val="14"/>
                <w:color w:val="auto"/>
              </w:rPr>
              <w:t>Adjusted gross margin percentage</w:t>
            </w:r>
          </w:p>
        </w:tc>
        <w:tc>
          <w:tcPr>
            <w:tcW w:w="166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0"/>
              </w:rPr>
              <w:t>70.3%</w:t>
            </w:r>
          </w:p>
        </w:tc>
        <w:tc>
          <w:tcPr>
            <w:tcW w:w="198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i w:val="1"/>
                <w:iCs w:val="1"/>
                <w:color w:val="auto"/>
              </w:rPr>
              <w:t>71.2%</w:t>
            </w: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(90) bps</w:t>
            </w:r>
          </w:p>
        </w:tc>
        <w:tc>
          <w:tcPr>
            <w:tcW w:w="0" w:type="dxa"/>
            <w:vAlign w:val="bottom"/>
          </w:tcPr>
          <w:p>
            <w:pPr>
              <w:spacing w:after="0"/>
              <w:rPr>
                <w:sz w:val="1"/>
                <w:szCs w:val="1"/>
                <w:color w:val="auto"/>
              </w:rPr>
            </w:pPr>
          </w:p>
        </w:tc>
      </w:tr>
      <w:tr>
        <w:trPr>
          <w:trHeight w:val="176"/>
        </w:trPr>
        <w:tc>
          <w:tcPr>
            <w:tcW w:w="5500" w:type="dxa"/>
            <w:vAlign w:val="bottom"/>
            <w:gridSpan w:val="5"/>
          </w:tcPr>
          <w:p>
            <w:pPr>
              <w:spacing w:after="0"/>
              <w:rPr>
                <w:sz w:val="20"/>
                <w:szCs w:val="20"/>
                <w:color w:val="auto"/>
              </w:rPr>
            </w:pPr>
            <w:r>
              <w:rPr>
                <w:rFonts w:ascii="Arial" w:cs="Arial" w:eastAsia="Arial" w:hAnsi="Arial"/>
                <w:sz w:val="14"/>
                <w:szCs w:val="14"/>
                <w:color w:val="auto"/>
              </w:rPr>
              <w:t>Adjusted operating income</w:t>
            </w:r>
          </w:p>
        </w:tc>
        <w:tc>
          <w:tcPr>
            <w:tcW w:w="166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635</w:t>
            </w:r>
          </w:p>
        </w:tc>
        <w:tc>
          <w:tcPr>
            <w:tcW w:w="1980" w:type="dxa"/>
            <w:vAlign w:val="bottom"/>
          </w:tcPr>
          <w:p>
            <w:pPr>
              <w:jc w:val="right"/>
              <w:ind w:right="150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670</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6"/>
        </w:trPr>
        <w:tc>
          <w:tcPr>
            <w:tcW w:w="5500" w:type="dxa"/>
            <w:vAlign w:val="bottom"/>
            <w:gridSpan w:val="5"/>
          </w:tcPr>
          <w:p>
            <w:pPr>
              <w:spacing w:after="0"/>
              <w:rPr>
                <w:sz w:val="20"/>
                <w:szCs w:val="20"/>
                <w:color w:val="auto"/>
              </w:rPr>
            </w:pPr>
            <w:r>
              <w:rPr>
                <w:rFonts w:ascii="Arial" w:cs="Arial" w:eastAsia="Arial" w:hAnsi="Arial"/>
                <w:sz w:val="14"/>
                <w:szCs w:val="14"/>
                <w:color w:val="auto"/>
              </w:rPr>
              <w:t>Adjusted operating margin</w:t>
            </w:r>
          </w:p>
        </w:tc>
        <w:tc>
          <w:tcPr>
            <w:tcW w:w="166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0"/>
              </w:rPr>
              <w:t>41.2%</w:t>
            </w:r>
          </w:p>
        </w:tc>
        <w:tc>
          <w:tcPr>
            <w:tcW w:w="198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i w:val="1"/>
                <w:iCs w:val="1"/>
                <w:color w:val="auto"/>
              </w:rPr>
              <w:t>42.7%</w:t>
            </w: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(150) bps</w:t>
            </w:r>
          </w:p>
        </w:tc>
        <w:tc>
          <w:tcPr>
            <w:tcW w:w="0" w:type="dxa"/>
            <w:vAlign w:val="bottom"/>
          </w:tcPr>
          <w:p>
            <w:pPr>
              <w:spacing w:after="0"/>
              <w:rPr>
                <w:sz w:val="1"/>
                <w:szCs w:val="1"/>
                <w:color w:val="auto"/>
              </w:rPr>
            </w:pPr>
          </w:p>
        </w:tc>
      </w:tr>
      <w:tr>
        <w:trPr>
          <w:trHeight w:val="182"/>
        </w:trPr>
        <w:tc>
          <w:tcPr>
            <w:tcW w:w="5500" w:type="dxa"/>
            <w:vAlign w:val="bottom"/>
            <w:gridSpan w:val="5"/>
          </w:tcPr>
          <w:p>
            <w:pPr>
              <w:spacing w:after="0"/>
              <w:rPr>
                <w:sz w:val="20"/>
                <w:szCs w:val="20"/>
                <w:color w:val="auto"/>
              </w:rPr>
            </w:pPr>
            <w:r>
              <w:rPr>
                <w:rFonts w:ascii="Arial" w:cs="Arial" w:eastAsia="Arial" w:hAnsi="Arial"/>
                <w:sz w:val="14"/>
                <w:szCs w:val="14"/>
                <w:color w:val="auto"/>
              </w:rPr>
              <w:t>Adjusted diluted earnings per share</w:t>
            </w:r>
          </w:p>
        </w:tc>
        <w:tc>
          <w:tcPr>
            <w:tcW w:w="166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1.33</w:t>
            </w:r>
          </w:p>
        </w:tc>
        <w:tc>
          <w:tcPr>
            <w:tcW w:w="1980" w:type="dxa"/>
            <w:vAlign w:val="bottom"/>
          </w:tcPr>
          <w:p>
            <w:pPr>
              <w:jc w:val="right"/>
              <w:ind w:right="150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1.49</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323"/>
        </w:trPr>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Cash Generation</w:t>
            </w:r>
          </w:p>
        </w:tc>
        <w:tc>
          <w:tcPr>
            <w:tcW w:w="4440" w:type="dxa"/>
            <w:vAlign w:val="bottom"/>
            <w:gridSpan w:val="3"/>
          </w:tcPr>
          <w:p>
            <w:pPr>
              <w:spacing w:after="0"/>
              <w:rPr>
                <w:sz w:val="24"/>
                <w:szCs w:val="24"/>
                <w:color w:val="auto"/>
              </w:rPr>
            </w:pPr>
          </w:p>
        </w:tc>
        <w:tc>
          <w:tcPr>
            <w:tcW w:w="166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1"/>
              </w:rPr>
              <w:t>Three months ended</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94"/>
              </w:rPr>
              <w:t>Trailing Twelve Months</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500" w:type="dxa"/>
            <w:vAlign w:val="bottom"/>
            <w:gridSpan w:val="5"/>
          </w:tcPr>
          <w:p>
            <w:pPr>
              <w:spacing w:after="0"/>
              <w:rPr>
                <w:sz w:val="20"/>
                <w:szCs w:val="20"/>
                <w:color w:val="auto"/>
              </w:rPr>
            </w:pPr>
            <w:r>
              <w:rPr>
                <w:rFonts w:ascii="Arial" w:cs="Arial" w:eastAsia="Arial" w:hAnsi="Arial"/>
                <w:sz w:val="14"/>
                <w:szCs w:val="14"/>
                <w:i w:val="1"/>
                <w:iCs w:val="1"/>
                <w:color w:val="auto"/>
              </w:rPr>
              <w:t>(in millions, except percentages)</w:t>
            </w:r>
          </w:p>
        </w:tc>
        <w:tc>
          <w:tcPr>
            <w:tcW w:w="166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60" w:type="dxa"/>
            <w:vAlign w:val="bottom"/>
          </w:tcPr>
          <w:p>
            <w:pPr>
              <w:jc w:val="center"/>
              <w:ind w:left="288"/>
              <w:spacing w:after="0" w:line="160" w:lineRule="exact"/>
              <w:rPr>
                <w:sz w:val="20"/>
                <w:szCs w:val="20"/>
                <w:color w:val="auto"/>
              </w:rPr>
            </w:pPr>
            <w:r>
              <w:rPr>
                <w:rFonts w:ascii="Arial" w:cs="Arial" w:eastAsia="Arial" w:hAnsi="Arial"/>
                <w:sz w:val="14"/>
                <w:szCs w:val="14"/>
                <w:b w:val="1"/>
                <w:bCs w:val="1"/>
                <w:color w:val="auto"/>
                <w:w w:val="94"/>
              </w:rPr>
              <w:t>Feb. 2,</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jc w:val="center"/>
              <w:ind w:left="328"/>
              <w:spacing w:after="0" w:line="160" w:lineRule="exact"/>
              <w:rPr>
                <w:sz w:val="20"/>
                <w:szCs w:val="20"/>
                <w:color w:val="auto"/>
              </w:rPr>
            </w:pPr>
            <w:r>
              <w:rPr>
                <w:rFonts w:ascii="Arial" w:cs="Arial" w:eastAsia="Arial" w:hAnsi="Arial"/>
                <w:sz w:val="14"/>
                <w:szCs w:val="14"/>
                <w:b w:val="1"/>
                <w:bCs w:val="1"/>
                <w:color w:val="auto"/>
                <w:w w:val="94"/>
              </w:rPr>
              <w:t>Feb. 2,</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66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89"/>
              </w:rPr>
              <w:t>2019</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89"/>
              </w:rPr>
              <w:t>2019</w:t>
            </w:r>
          </w:p>
        </w:tc>
        <w:tc>
          <w:tcPr>
            <w:tcW w:w="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5500" w:type="dxa"/>
            <w:vAlign w:val="bottom"/>
            <w:gridSpan w:val="5"/>
          </w:tcPr>
          <w:p>
            <w:pPr>
              <w:spacing w:after="0"/>
              <w:rPr>
                <w:sz w:val="20"/>
                <w:szCs w:val="20"/>
                <w:color w:val="auto"/>
              </w:rPr>
            </w:pPr>
            <w:r>
              <w:rPr>
                <w:rFonts w:ascii="Arial" w:cs="Arial" w:eastAsia="Arial" w:hAnsi="Arial"/>
                <w:sz w:val="14"/>
                <w:szCs w:val="14"/>
                <w:color w:val="auto"/>
              </w:rPr>
              <w:t>Net cash provided by operating activities</w:t>
            </w:r>
          </w:p>
        </w:tc>
        <w:tc>
          <w:tcPr>
            <w:tcW w:w="166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14"/>
                <w:szCs w:val="14"/>
                <w:color w:val="auto"/>
              </w:rPr>
            </w:pPr>
          </w:p>
        </w:tc>
        <w:tc>
          <w:tcPr>
            <w:tcW w:w="1980" w:type="dxa"/>
            <w:vAlign w:val="bottom"/>
          </w:tcPr>
          <w:p>
            <w:pPr>
              <w:jc w:val="right"/>
              <w:ind w:right="150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2,425</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00" w:type="dxa"/>
            <w:vAlign w:val="bottom"/>
            <w:gridSpan w:val="5"/>
          </w:tcPr>
          <w:p>
            <w:pPr>
              <w:spacing w:after="0"/>
              <w:rPr>
                <w:sz w:val="20"/>
                <w:szCs w:val="20"/>
                <w:color w:val="auto"/>
              </w:rPr>
            </w:pPr>
            <w:r>
              <w:rPr>
                <w:rFonts w:ascii="Arial" w:cs="Arial" w:eastAsia="Arial" w:hAnsi="Arial"/>
                <w:sz w:val="14"/>
                <w:szCs w:val="14"/>
                <w:color w:val="auto"/>
              </w:rPr>
              <w:t>% of revenue (1)</w:t>
            </w:r>
          </w:p>
        </w:tc>
        <w:tc>
          <w:tcPr>
            <w:tcW w:w="166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24%</w:t>
            </w:r>
          </w:p>
        </w:tc>
        <w:tc>
          <w:tcPr>
            <w:tcW w:w="198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i w:val="1"/>
                <w:iCs w:val="1"/>
                <w:color w:val="auto"/>
              </w:rPr>
              <w:t>39%</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00" w:type="dxa"/>
            <w:vAlign w:val="bottom"/>
            <w:gridSpan w:val="5"/>
          </w:tcPr>
          <w:p>
            <w:pPr>
              <w:spacing w:after="0"/>
              <w:rPr>
                <w:sz w:val="20"/>
                <w:szCs w:val="20"/>
                <w:color w:val="auto"/>
              </w:rPr>
            </w:pPr>
            <w:r>
              <w:rPr>
                <w:rFonts w:ascii="Arial" w:cs="Arial" w:eastAsia="Arial" w:hAnsi="Arial"/>
                <w:sz w:val="14"/>
                <w:szCs w:val="14"/>
                <w:color w:val="auto"/>
              </w:rPr>
              <w:t>Capital expenditures</w:t>
            </w:r>
          </w:p>
        </w:tc>
        <w:tc>
          <w:tcPr>
            <w:tcW w:w="166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(91)</w:t>
            </w:r>
          </w:p>
        </w:tc>
        <w:tc>
          <w:tcPr>
            <w:tcW w:w="1980" w:type="dxa"/>
            <w:vAlign w:val="bottom"/>
          </w:tcPr>
          <w:p>
            <w:pPr>
              <w:jc w:val="right"/>
              <w:ind w:right="150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(283)</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00" w:type="dxa"/>
            <w:vAlign w:val="bottom"/>
            <w:gridSpan w:val="5"/>
          </w:tcPr>
          <w:p>
            <w:pPr>
              <w:spacing w:after="0"/>
              <w:rPr>
                <w:sz w:val="20"/>
                <w:szCs w:val="20"/>
                <w:color w:val="auto"/>
              </w:rPr>
            </w:pPr>
            <w:r>
              <w:rPr>
                <w:rFonts w:ascii="Arial" w:cs="Arial" w:eastAsia="Arial" w:hAnsi="Arial"/>
                <w:sz w:val="14"/>
                <w:szCs w:val="14"/>
                <w:color w:val="auto"/>
              </w:rPr>
              <w:t>Free cash flow</w:t>
            </w:r>
          </w:p>
        </w:tc>
        <w:tc>
          <w:tcPr>
            <w:tcW w:w="166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281</w:t>
            </w:r>
          </w:p>
        </w:tc>
        <w:tc>
          <w:tcPr>
            <w:tcW w:w="1980" w:type="dxa"/>
            <w:vAlign w:val="bottom"/>
          </w:tcPr>
          <w:p>
            <w:pPr>
              <w:jc w:val="right"/>
              <w:ind w:right="150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2,143</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500" w:type="dxa"/>
            <w:vAlign w:val="bottom"/>
            <w:gridSpan w:val="5"/>
          </w:tcPr>
          <w:p>
            <w:pPr>
              <w:spacing w:after="0"/>
              <w:rPr>
                <w:sz w:val="20"/>
                <w:szCs w:val="20"/>
                <w:color w:val="auto"/>
              </w:rPr>
            </w:pPr>
            <w:r>
              <w:rPr>
                <w:rFonts w:ascii="Arial" w:cs="Arial" w:eastAsia="Arial" w:hAnsi="Arial"/>
                <w:sz w:val="14"/>
                <w:szCs w:val="14"/>
                <w:color w:val="auto"/>
              </w:rPr>
              <w:t>% of revenue (1)</w:t>
            </w:r>
          </w:p>
        </w:tc>
        <w:tc>
          <w:tcPr>
            <w:tcW w:w="166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18%</w:t>
            </w:r>
          </w:p>
        </w:tc>
        <w:tc>
          <w:tcPr>
            <w:tcW w:w="198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i w:val="1"/>
                <w:iCs w:val="1"/>
                <w:color w:val="auto"/>
              </w:rPr>
              <w:t>35%</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Cash Return</w:t>
            </w:r>
          </w:p>
        </w:tc>
        <w:tc>
          <w:tcPr>
            <w:tcW w:w="4700" w:type="dxa"/>
            <w:vAlign w:val="bottom"/>
            <w:gridSpan w:val="4"/>
          </w:tcPr>
          <w:p>
            <w:pPr>
              <w:spacing w:after="0"/>
              <w:rPr>
                <w:sz w:val="24"/>
                <w:szCs w:val="24"/>
                <w:color w:val="auto"/>
              </w:rPr>
            </w:pPr>
          </w:p>
        </w:tc>
        <w:tc>
          <w:tcPr>
            <w:tcW w:w="166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1"/>
              </w:rPr>
              <w:t>Three months ended</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94"/>
              </w:rPr>
              <w:t>Trailing Twelve Months</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500" w:type="dxa"/>
            <w:vAlign w:val="bottom"/>
            <w:gridSpan w:val="5"/>
          </w:tcPr>
          <w:p>
            <w:pPr>
              <w:spacing w:after="0"/>
              <w:rPr>
                <w:sz w:val="20"/>
                <w:szCs w:val="20"/>
                <w:color w:val="auto"/>
              </w:rPr>
            </w:pPr>
            <w:r>
              <w:rPr>
                <w:rFonts w:ascii="Arial" w:cs="Arial" w:eastAsia="Arial" w:hAnsi="Arial"/>
                <w:sz w:val="14"/>
                <w:szCs w:val="14"/>
                <w:i w:val="1"/>
                <w:iCs w:val="1"/>
                <w:color w:val="auto"/>
              </w:rPr>
              <w:t>(in millions)</w:t>
            </w:r>
          </w:p>
        </w:tc>
        <w:tc>
          <w:tcPr>
            <w:tcW w:w="166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60" w:type="dxa"/>
            <w:vAlign w:val="bottom"/>
          </w:tcPr>
          <w:p>
            <w:pPr>
              <w:jc w:val="center"/>
              <w:ind w:left="288"/>
              <w:spacing w:after="0" w:line="160" w:lineRule="exact"/>
              <w:rPr>
                <w:sz w:val="20"/>
                <w:szCs w:val="20"/>
                <w:color w:val="auto"/>
              </w:rPr>
            </w:pPr>
            <w:r>
              <w:rPr>
                <w:rFonts w:ascii="Arial" w:cs="Arial" w:eastAsia="Arial" w:hAnsi="Arial"/>
                <w:sz w:val="14"/>
                <w:szCs w:val="14"/>
                <w:b w:val="1"/>
                <w:bCs w:val="1"/>
                <w:color w:val="auto"/>
                <w:w w:val="94"/>
              </w:rPr>
              <w:t>Feb. 2,</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jc w:val="center"/>
              <w:ind w:left="328"/>
              <w:spacing w:after="0" w:line="160" w:lineRule="exact"/>
              <w:rPr>
                <w:sz w:val="20"/>
                <w:szCs w:val="20"/>
                <w:color w:val="auto"/>
              </w:rPr>
            </w:pPr>
            <w:r>
              <w:rPr>
                <w:rFonts w:ascii="Arial" w:cs="Arial" w:eastAsia="Arial" w:hAnsi="Arial"/>
                <w:sz w:val="14"/>
                <w:szCs w:val="14"/>
                <w:b w:val="1"/>
                <w:bCs w:val="1"/>
                <w:color w:val="auto"/>
                <w:w w:val="94"/>
              </w:rPr>
              <w:t>Feb. 2,</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66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89"/>
              </w:rPr>
              <w:t>2019</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89"/>
              </w:rPr>
              <w:t>2019</w:t>
            </w:r>
          </w:p>
        </w:tc>
        <w:tc>
          <w:tcPr>
            <w:tcW w:w="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5500" w:type="dxa"/>
            <w:vAlign w:val="bottom"/>
            <w:gridSpan w:val="5"/>
          </w:tcPr>
          <w:p>
            <w:pPr>
              <w:spacing w:after="0"/>
              <w:rPr>
                <w:sz w:val="20"/>
                <w:szCs w:val="20"/>
                <w:color w:val="auto"/>
              </w:rPr>
            </w:pPr>
            <w:r>
              <w:rPr>
                <w:rFonts w:ascii="Arial" w:cs="Arial" w:eastAsia="Arial" w:hAnsi="Arial"/>
                <w:sz w:val="14"/>
                <w:szCs w:val="14"/>
                <w:color w:val="auto"/>
              </w:rPr>
              <w:t>Dividend paid</w:t>
            </w:r>
          </w:p>
        </w:tc>
        <w:tc>
          <w:tcPr>
            <w:tcW w:w="166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4"/>
                <w:szCs w:val="14"/>
                <w:color w:val="auto"/>
              </w:rPr>
            </w:pPr>
          </w:p>
        </w:tc>
        <w:tc>
          <w:tcPr>
            <w:tcW w:w="1980" w:type="dxa"/>
            <w:vAlign w:val="bottom"/>
          </w:tcPr>
          <w:p>
            <w:pPr>
              <w:jc w:val="right"/>
              <w:ind w:right="150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714</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00" w:type="dxa"/>
            <w:vAlign w:val="bottom"/>
            <w:gridSpan w:val="5"/>
          </w:tcPr>
          <w:p>
            <w:pPr>
              <w:spacing w:after="0"/>
              <w:rPr>
                <w:sz w:val="20"/>
                <w:szCs w:val="20"/>
                <w:color w:val="auto"/>
              </w:rPr>
            </w:pPr>
            <w:r>
              <w:rPr>
                <w:rFonts w:ascii="Arial" w:cs="Arial" w:eastAsia="Arial" w:hAnsi="Arial"/>
                <w:sz w:val="14"/>
                <w:szCs w:val="14"/>
                <w:color w:val="auto"/>
              </w:rPr>
              <w:t>Stock repurchases</w:t>
            </w:r>
          </w:p>
        </w:tc>
        <w:tc>
          <w:tcPr>
            <w:tcW w:w="166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227</w:t>
            </w:r>
          </w:p>
        </w:tc>
        <w:tc>
          <w:tcPr>
            <w:tcW w:w="1980" w:type="dxa"/>
            <w:vAlign w:val="bottom"/>
          </w:tcPr>
          <w:p>
            <w:pPr>
              <w:jc w:val="right"/>
              <w:ind w:right="150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445</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500" w:type="dxa"/>
            <w:vAlign w:val="bottom"/>
            <w:gridSpan w:val="5"/>
          </w:tcPr>
          <w:p>
            <w:pPr>
              <w:spacing w:after="0"/>
              <w:rPr>
                <w:sz w:val="20"/>
                <w:szCs w:val="20"/>
                <w:color w:val="auto"/>
              </w:rPr>
            </w:pPr>
            <w:r>
              <w:rPr>
                <w:rFonts w:ascii="Arial" w:cs="Arial" w:eastAsia="Arial" w:hAnsi="Arial"/>
                <w:sz w:val="14"/>
                <w:szCs w:val="14"/>
                <w:color w:val="auto"/>
              </w:rPr>
              <w:t>Total cash returned</w:t>
            </w:r>
          </w:p>
        </w:tc>
        <w:tc>
          <w:tcPr>
            <w:tcW w:w="166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405</w:t>
            </w:r>
          </w:p>
        </w:tc>
        <w:tc>
          <w:tcPr>
            <w:tcW w:w="1980" w:type="dxa"/>
            <w:vAlign w:val="bottom"/>
          </w:tcPr>
          <w:p>
            <w:pPr>
              <w:jc w:val="right"/>
              <w:ind w:right="150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1,159</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ind w:right="480" w:firstLine="8"/>
        <w:spacing w:after="0" w:line="239" w:lineRule="auto"/>
        <w:tabs>
          <w:tab w:leader="none" w:pos="306" w:val="left"/>
        </w:tabs>
        <w:numPr>
          <w:ilvl w:val="0"/>
          <w:numId w:val="1"/>
        </w:numPr>
        <w:rPr>
          <w:rFonts w:ascii="Arial" w:cs="Arial" w:eastAsia="Arial" w:hAnsi="Arial"/>
          <w:sz w:val="22"/>
          <w:szCs w:val="22"/>
          <w:color w:val="auto"/>
        </w:rPr>
      </w:pPr>
      <w:r>
        <w:rPr>
          <w:rFonts w:ascii="Arial" w:cs="Arial" w:eastAsia="Arial" w:hAnsi="Arial"/>
          <w:sz w:val="22"/>
          <w:szCs w:val="22"/>
          <w:color w:val="auto"/>
        </w:rPr>
        <w:t>Prior year balances have been restated to reflect the adoption of the new revenue recognition standard in the first quarter of fiscal 2019.</w:t>
      </w:r>
    </w:p>
    <w:p>
      <w:pPr>
        <w:ind w:left="320" w:hanging="312"/>
        <w:spacing w:after="0"/>
        <w:tabs>
          <w:tab w:leader="none" w:pos="320"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first quarter of fiscal 2018 was a 14-week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u w:val="single" w:color="auto"/>
          <w:color w:val="auto"/>
        </w:rPr>
        <w:t>Outlook for the Second Quarter of Fiscal Year 2019</w:t>
      </w:r>
    </w:p>
    <w:p>
      <w:pPr>
        <w:spacing w:after="0" w:line="213" w:lineRule="exact"/>
        <w:rPr>
          <w:sz w:val="20"/>
          <w:szCs w:val="20"/>
          <w:color w:val="auto"/>
        </w:rPr>
      </w:pPr>
    </w:p>
    <w:p>
      <w:pPr>
        <w:jc w:val="both"/>
        <w:ind w:right="160"/>
        <w:spacing w:after="0" w:line="258" w:lineRule="auto"/>
        <w:rPr>
          <w:sz w:val="20"/>
          <w:szCs w:val="20"/>
          <w:color w:val="auto"/>
        </w:rPr>
      </w:pPr>
      <w:r>
        <w:rPr>
          <w:rFonts w:ascii="Arial" w:cs="Arial" w:eastAsia="Arial" w:hAnsi="Arial"/>
          <w:sz w:val="21"/>
          <w:szCs w:val="21"/>
          <w:color w:val="auto"/>
        </w:rPr>
        <w:t>For the second quarter of fiscal 2019, we are forecasting revenue of $1.50 billion, +/- $50 million. At the midpoint of this revenue outlook, we expect reported operating margins of approximately 30.8%, and adjusted operating margins of approximately 41.3%. We are planning for reported EPS to be $0.94, +/- $0.07, and adjusted EPS to be $1.30, +/- $0.07.</w:t>
      </w:r>
    </w:p>
    <w:p>
      <w:pPr>
        <w:spacing w:after="0" w:line="167" w:lineRule="exact"/>
        <w:rPr>
          <w:sz w:val="20"/>
          <w:szCs w:val="20"/>
          <w:color w:val="auto"/>
        </w:rPr>
      </w:pPr>
    </w:p>
    <w:p>
      <w:pPr>
        <w:ind w:right="400"/>
        <w:spacing w:after="0" w:line="238" w:lineRule="auto"/>
        <w:rPr>
          <w:sz w:val="20"/>
          <w:szCs w:val="20"/>
          <w:color w:val="auto"/>
        </w:rPr>
      </w:pPr>
      <w:r>
        <w:rPr>
          <w:rFonts w:ascii="Arial" w:cs="Arial" w:eastAsia="Arial" w:hAnsi="Arial"/>
          <w:sz w:val="22"/>
          <w:szCs w:val="22"/>
          <w:color w:val="auto"/>
        </w:rPr>
        <w:t>Our second quarter fiscal 2019 outlook is based on current expectations and actual results may differ materially, as a result of, among other things, the important factors discussed at the end of this release. These statements supersede all prior statements regarding our business outlook set forth in prior ADI news releases, and ADI disclaims any obligation to update these forward-looking statements.</w:t>
      </w:r>
    </w:p>
    <w:p>
      <w:pPr>
        <w:spacing w:after="0" w:line="185"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The adjusted results and adjusted anticipated results above are financial measures presented on a non-GAAP basis. Reconciliations of these non-GAAP financial measures to their most directly comparable GAAP financial measures are provided in the financial tables included in this press release. See also “Non-GAAP Financial Information” section for additional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Dividend Payment</w:t>
      </w:r>
    </w:p>
    <w:p>
      <w:pPr>
        <w:spacing w:after="0" w:line="212"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The ADI Board of Directors has declared a quarterly cash dividend of $0.54 per outstanding share of common stock. The dividend will be paid on March 12, 2019 to all shareholders of record at the close of business on March 1, 2019.</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Conference Call Scheduled for Today, Wednesday, February 20, 2019 at 10:00 am ET</w:t>
      </w:r>
    </w:p>
    <w:p>
      <w:pPr>
        <w:spacing w:after="0" w:line="212" w:lineRule="exact"/>
        <w:rPr>
          <w:sz w:val="20"/>
          <w:szCs w:val="20"/>
          <w:color w:val="auto"/>
        </w:rPr>
      </w:pPr>
    </w:p>
    <w:p>
      <w:pPr>
        <w:jc w:val="both"/>
        <w:ind w:right="140"/>
        <w:spacing w:after="0"/>
        <w:rPr>
          <w:sz w:val="20"/>
          <w:szCs w:val="20"/>
          <w:color w:val="auto"/>
        </w:rPr>
      </w:pPr>
      <w:r>
        <w:rPr>
          <w:rFonts w:ascii="Arial" w:cs="Arial" w:eastAsia="Arial" w:hAnsi="Arial"/>
          <w:sz w:val="22"/>
          <w:szCs w:val="22"/>
          <w:color w:val="auto"/>
        </w:rPr>
        <w:t>ADI will host a conference call to discuss first quarter fiscal 2019 results and short-term outlook today, beginning at 10:00 am ET. Investors may join via webcast, accessible at investor.analog.com, or by telephone (call 706-634-7193 ten minutes before the call begins and provide the password "ADI").</w:t>
      </w:r>
    </w:p>
    <w:p>
      <w:pPr>
        <w:spacing w:after="0" w:line="186" w:lineRule="exact"/>
        <w:rPr>
          <w:sz w:val="20"/>
          <w:szCs w:val="20"/>
          <w:color w:val="auto"/>
        </w:rPr>
      </w:pPr>
    </w:p>
    <w:p>
      <w:pPr>
        <w:ind w:right="300"/>
        <w:spacing w:after="0" w:line="274" w:lineRule="auto"/>
        <w:rPr>
          <w:sz w:val="20"/>
          <w:szCs w:val="20"/>
          <w:color w:val="auto"/>
        </w:rPr>
      </w:pPr>
      <w:r>
        <w:rPr>
          <w:rFonts w:ascii="Arial" w:cs="Arial" w:eastAsia="Arial" w:hAnsi="Arial"/>
          <w:sz w:val="21"/>
          <w:szCs w:val="21"/>
          <w:color w:val="auto"/>
        </w:rPr>
        <w:t>A replay will be available two hours after the completion of the call. The replay may be accessed for up to two weeks by dialing 855-859-2056 (replay only) and providing the conference ID: 1974449, or by visiting investor.analog.com.</w:t>
      </w:r>
    </w:p>
    <w:p>
      <w:pPr>
        <w:spacing w:after="0" w:line="151" w:lineRule="exact"/>
        <w:rPr>
          <w:sz w:val="20"/>
          <w:szCs w:val="20"/>
          <w:color w:val="auto"/>
        </w:rPr>
      </w:pPr>
    </w:p>
    <w:p>
      <w:pPr>
        <w:ind w:right="520"/>
        <w:spacing w:after="0" w:line="274" w:lineRule="auto"/>
        <w:rPr>
          <w:sz w:val="20"/>
          <w:szCs w:val="20"/>
          <w:color w:val="auto"/>
        </w:rPr>
      </w:pPr>
      <w:r>
        <w:rPr>
          <w:rFonts w:ascii="Arial" w:cs="Arial" w:eastAsia="Arial" w:hAnsi="Arial"/>
          <w:sz w:val="21"/>
          <w:szCs w:val="21"/>
          <w:color w:val="auto"/>
        </w:rPr>
        <w:t>A supplemental schedule showing quarterly revenue for fiscal 2017 and fiscal 2018 restated to reflect the adoption of the new revenue recognition standard ASC 606 is available on our investor site at investor.analog.com.</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Non-GAAP Financial Information</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This release includes non-GAAP financial measures that are not in accordance with, nor an alternative to, generally accepted accounting principles (GAAP) and may be different from non-GAAP measures presented by other companies. In addition, these non-GAAP measures are not based on any comprehensive set of accounting rules or principles. These non-GAAP measures have material limitations in that they do not reflect all of the amounts associated with the Company’s results of operations as determined in accordance with GAAP and should not be considered in isolation from, or as a substitute for, the Company’s financial results presented in accordance with GAAP. The Company’s use of non-GAAP measures, and the underlying methodology when including or excluding certain items, is not necessarily an indication of the results of operations that may be expected in the future, or that the Company will not, in fact, record such items in future periods. You are cautioned not to place undue reliance on these non-GAAP measures. Reconciliations of these non-GAAP measures to the most directly comparable financial measures calculated and presented in accordance with GAAP are provided in the financial tables included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27202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6" w:name="page7"/>
    <w:bookmarkEnd w:id="6"/>
    <w:p>
      <w:pPr>
        <w:ind w:right="60"/>
        <w:spacing w:after="0" w:line="245" w:lineRule="auto"/>
        <w:rPr>
          <w:sz w:val="20"/>
          <w:szCs w:val="20"/>
          <w:color w:val="auto"/>
        </w:rPr>
      </w:pPr>
      <w:r>
        <w:rPr>
          <w:rFonts w:ascii="Arial" w:cs="Arial" w:eastAsia="Arial" w:hAnsi="Arial"/>
          <w:sz w:val="21"/>
          <w:szCs w:val="21"/>
          <w:color w:val="auto"/>
        </w:rPr>
        <w:t>Management uses non-GAAP measures internally to evaluate the Company’s operating performance from continuing operations against past periods and to budget and allocate resources in future periods. These non-GAAP measures also assist management in evaluating the Company’s core business and trends across different reporting periods on a consistent basis. Management also uses these non-GAAP measures as the primary performance measurement when communicating with analysts and investors regarding the Company’s earnings results and outlook and believes that the presentation of these non-GAAP measures is useful to investors because it provides investors with the operating results that management uses to manage the Company and enables investors and analysts to evaluate the Company’s core business. Management also believes that the non-GAAP liquidity measure free cash flow is useful both internally and to investors because it provides information about the amount of cash generated after capital expenditures that is then available to repay debt obligations, make investments and fund acquisitions, and for certain other activities.</w:t>
      </w:r>
    </w:p>
    <w:p>
      <w:pPr>
        <w:spacing w:after="0" w:line="182"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The non-GAAP financial measures referenced by ADI in this release include: adjusted gross margin, adjusted gross margin percentage, adjusted operating expenses, adjusted operating expenses percentage, adjusted operating income, adjusted operating margin, adjusted income before income taxes, adjusted provision for income taxes, adjusted tax rate, adjusted diluted earnings per share (EPS), and free cash flow.</w:t>
      </w:r>
    </w:p>
    <w:p>
      <w:pPr>
        <w:spacing w:after="0" w:line="192" w:lineRule="exact"/>
        <w:rPr>
          <w:sz w:val="20"/>
          <w:szCs w:val="20"/>
          <w:color w:val="auto"/>
        </w:rPr>
      </w:pPr>
    </w:p>
    <w:p>
      <w:pPr>
        <w:ind w:right="80"/>
        <w:spacing w:after="0" w:line="235" w:lineRule="auto"/>
        <w:rPr>
          <w:sz w:val="20"/>
          <w:szCs w:val="20"/>
          <w:color w:val="auto"/>
        </w:rPr>
      </w:pPr>
      <w:r>
        <w:rPr>
          <w:rFonts w:ascii="Arial" w:cs="Arial" w:eastAsia="Arial" w:hAnsi="Arial"/>
          <w:sz w:val="19"/>
          <w:szCs w:val="19"/>
          <w:color w:val="auto"/>
        </w:rPr>
        <w:t xml:space="preserve">Adjusted gross margin is defined as gross margin, determined in accordance with GAAP, excluding </w:t>
      </w:r>
      <w:r>
        <w:rPr>
          <w:rFonts w:ascii="Arial" w:cs="Arial" w:eastAsia="Arial" w:hAnsi="Arial"/>
          <w:sz w:val="19"/>
          <w:szCs w:val="19"/>
          <w:i w:val="1"/>
          <w:iCs w:val="1"/>
          <w:color w:val="auto"/>
        </w:rPr>
        <w:t>acquisition-related expenses</w:t>
      </w:r>
      <w:r>
        <w:rPr>
          <w:rFonts w:ascii="Arial" w:cs="Arial" w:eastAsia="Arial" w:hAnsi="Arial"/>
          <w:sz w:val="31"/>
          <w:szCs w:val="31"/>
          <w:color w:val="auto"/>
          <w:vertAlign w:val="superscript"/>
        </w:rPr>
        <w:t>1</w:t>
      </w:r>
      <w:r>
        <w:rPr>
          <w:rFonts w:ascii="Arial" w:cs="Arial" w:eastAsia="Arial" w:hAnsi="Arial"/>
          <w:sz w:val="19"/>
          <w:szCs w:val="19"/>
          <w:color w:val="auto"/>
        </w:rPr>
        <w:t xml:space="preserve"> which are described further below</w:t>
      </w:r>
      <w:r>
        <w:rPr>
          <w:rFonts w:ascii="Arial" w:cs="Arial" w:eastAsia="Arial" w:hAnsi="Arial"/>
          <w:sz w:val="19"/>
          <w:szCs w:val="19"/>
          <w:i w:val="1"/>
          <w:iCs w:val="1"/>
          <w:color w:val="auto"/>
        </w:rPr>
        <w:t>.</w:t>
      </w:r>
      <w:r>
        <w:rPr>
          <w:rFonts w:ascii="Arial" w:cs="Arial" w:eastAsia="Arial" w:hAnsi="Arial"/>
          <w:sz w:val="19"/>
          <w:szCs w:val="19"/>
          <w:color w:val="auto"/>
        </w:rPr>
        <w:t xml:space="preserve"> Adjusted gross margin percentage represents adjusted gross margin divided by revenue.</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Adjusted operating expenses is defined as operating expenses, determined in accordance with GAAP, excluding: </w:t>
      </w:r>
      <w:r>
        <w:rPr>
          <w:rFonts w:ascii="Arial" w:cs="Arial" w:eastAsia="Arial" w:hAnsi="Arial"/>
          <w:sz w:val="19"/>
          <w:szCs w:val="19"/>
          <w:i w:val="1"/>
          <w:iCs w:val="1"/>
          <w:color w:val="auto"/>
        </w:rPr>
        <w:t>acquisition-</w:t>
      </w:r>
    </w:p>
    <w:p>
      <w:pPr>
        <w:spacing w:after="0" w:line="228" w:lineRule="auto"/>
        <w:rPr>
          <w:sz w:val="20"/>
          <w:szCs w:val="20"/>
          <w:color w:val="auto"/>
        </w:rPr>
      </w:pPr>
      <w:r>
        <w:rPr>
          <w:rFonts w:ascii="Arial" w:cs="Arial" w:eastAsia="Arial" w:hAnsi="Arial"/>
          <w:sz w:val="19"/>
          <w:szCs w:val="19"/>
          <w:i w:val="1"/>
          <w:iCs w:val="1"/>
          <w:color w:val="auto"/>
        </w:rPr>
        <w:t>related expenses</w:t>
      </w:r>
      <w:r>
        <w:rPr>
          <w:rFonts w:ascii="Arial" w:cs="Arial" w:eastAsia="Arial" w:hAnsi="Arial"/>
          <w:sz w:val="31"/>
          <w:szCs w:val="31"/>
          <w:i w:val="1"/>
          <w:iCs w:val="1"/>
          <w:color w:val="auto"/>
          <w:vertAlign w:val="superscript"/>
        </w:rPr>
        <w:t>1</w:t>
      </w:r>
      <w:r>
        <w:rPr>
          <w:rFonts w:ascii="Arial" w:cs="Arial" w:eastAsia="Arial" w:hAnsi="Arial"/>
          <w:sz w:val="19"/>
          <w:szCs w:val="19"/>
          <w:color w:val="auto"/>
        </w:rPr>
        <w:t>;</w:t>
      </w:r>
      <w:r>
        <w:rPr>
          <w:rFonts w:ascii="Arial" w:cs="Arial" w:eastAsia="Arial" w:hAnsi="Arial"/>
          <w:sz w:val="19"/>
          <w:szCs w:val="19"/>
          <w:i w:val="1"/>
          <w:iCs w:val="1"/>
          <w:color w:val="auto"/>
        </w:rPr>
        <w:t xml:space="preserve"> acquisition-related transaction costs</w:t>
      </w:r>
      <w:r>
        <w:rPr>
          <w:rFonts w:ascii="Arial" w:cs="Arial" w:eastAsia="Arial" w:hAnsi="Arial"/>
          <w:sz w:val="31"/>
          <w:szCs w:val="31"/>
          <w:i w:val="1"/>
          <w:iCs w:val="1"/>
          <w:color w:val="auto"/>
          <w:vertAlign w:val="superscript"/>
        </w:rPr>
        <w:t>2</w:t>
      </w:r>
      <w:r>
        <w:rPr>
          <w:rFonts w:ascii="Arial" w:cs="Arial" w:eastAsia="Arial" w:hAnsi="Arial"/>
          <w:sz w:val="19"/>
          <w:szCs w:val="19"/>
          <w:color w:val="auto"/>
        </w:rPr>
        <w:t>; and</w:t>
      </w:r>
      <w:r>
        <w:rPr>
          <w:rFonts w:ascii="Arial" w:cs="Arial" w:eastAsia="Arial" w:hAnsi="Arial"/>
          <w:sz w:val="19"/>
          <w:szCs w:val="19"/>
          <w:i w:val="1"/>
          <w:iCs w:val="1"/>
          <w:color w:val="auto"/>
        </w:rPr>
        <w:t xml:space="preserve"> restructuring related expense</w:t>
      </w:r>
      <w:r>
        <w:rPr>
          <w:rFonts w:ascii="Arial" w:cs="Arial" w:eastAsia="Arial" w:hAnsi="Arial"/>
          <w:sz w:val="31"/>
          <w:szCs w:val="31"/>
          <w:i w:val="1"/>
          <w:iCs w:val="1"/>
          <w:color w:val="auto"/>
          <w:vertAlign w:val="superscript"/>
        </w:rPr>
        <w:t>3</w:t>
      </w:r>
      <w:r>
        <w:rPr>
          <w:rFonts w:ascii="Arial" w:cs="Arial" w:eastAsia="Arial" w:hAnsi="Arial"/>
          <w:sz w:val="19"/>
          <w:szCs w:val="19"/>
          <w:i w:val="1"/>
          <w:iCs w:val="1"/>
          <w:color w:val="auto"/>
        </w:rPr>
        <w:t xml:space="preserve"> </w:t>
      </w:r>
      <w:r>
        <w:rPr>
          <w:rFonts w:ascii="Arial" w:cs="Arial" w:eastAsia="Arial" w:hAnsi="Arial"/>
          <w:sz w:val="19"/>
          <w:szCs w:val="19"/>
          <w:color w:val="auto"/>
        </w:rPr>
        <w:t>which are described further below.</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Adjusted operating expenses percentage represents adjusted operating expenses divided by revenue.</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Adjusted operating income is defined as operating income, determined in accordance with GAAP, excluding: </w:t>
      </w:r>
      <w:r>
        <w:rPr>
          <w:rFonts w:ascii="Arial" w:cs="Arial" w:eastAsia="Arial" w:hAnsi="Arial"/>
          <w:sz w:val="19"/>
          <w:szCs w:val="19"/>
          <w:i w:val="1"/>
          <w:iCs w:val="1"/>
          <w:color w:val="auto"/>
        </w:rPr>
        <w:t>acquisition-related</w:t>
      </w:r>
    </w:p>
    <w:p>
      <w:pPr>
        <w:spacing w:after="0" w:line="48" w:lineRule="exact"/>
        <w:rPr>
          <w:sz w:val="20"/>
          <w:szCs w:val="20"/>
          <w:color w:val="auto"/>
        </w:rPr>
      </w:pPr>
    </w:p>
    <w:p>
      <w:pPr>
        <w:ind w:right="100"/>
        <w:spacing w:after="0" w:line="197" w:lineRule="auto"/>
        <w:rPr>
          <w:sz w:val="20"/>
          <w:szCs w:val="20"/>
          <w:color w:val="auto"/>
        </w:rPr>
      </w:pPr>
      <w:r>
        <w:rPr>
          <w:rFonts w:ascii="Arial" w:cs="Arial" w:eastAsia="Arial" w:hAnsi="Arial"/>
          <w:sz w:val="22"/>
          <w:szCs w:val="22"/>
          <w:i w:val="1"/>
          <w:iCs w:val="1"/>
          <w:color w:val="auto"/>
        </w:rPr>
        <w:t>expenses</w:t>
      </w:r>
      <w:r>
        <w:rPr>
          <w:rFonts w:ascii="Arial" w:cs="Arial" w:eastAsia="Arial" w:hAnsi="Arial"/>
          <w:sz w:val="36"/>
          <w:szCs w:val="36"/>
          <w:i w:val="1"/>
          <w:iCs w:val="1"/>
          <w:color w:val="auto"/>
          <w:vertAlign w:val="superscript"/>
        </w:rPr>
        <w:t>1</w:t>
      </w:r>
      <w:r>
        <w:rPr>
          <w:rFonts w:ascii="Arial" w:cs="Arial" w:eastAsia="Arial" w:hAnsi="Arial"/>
          <w:sz w:val="22"/>
          <w:szCs w:val="22"/>
          <w:color w:val="auto"/>
        </w:rPr>
        <w:t>;</w:t>
      </w:r>
      <w:r>
        <w:rPr>
          <w:rFonts w:ascii="Arial" w:cs="Arial" w:eastAsia="Arial" w:hAnsi="Arial"/>
          <w:sz w:val="22"/>
          <w:szCs w:val="22"/>
          <w:i w:val="1"/>
          <w:iCs w:val="1"/>
          <w:color w:val="auto"/>
        </w:rPr>
        <w:t xml:space="preserve"> acquisition-related transaction costs</w:t>
      </w:r>
      <w:r>
        <w:rPr>
          <w:rFonts w:ascii="Arial" w:cs="Arial" w:eastAsia="Arial" w:hAnsi="Arial"/>
          <w:sz w:val="36"/>
          <w:szCs w:val="36"/>
          <w:i w:val="1"/>
          <w:iCs w:val="1"/>
          <w:color w:val="auto"/>
          <w:vertAlign w:val="superscript"/>
        </w:rPr>
        <w:t>2</w:t>
      </w:r>
      <w:r>
        <w:rPr>
          <w:rFonts w:ascii="Arial" w:cs="Arial" w:eastAsia="Arial" w:hAnsi="Arial"/>
          <w:sz w:val="22"/>
          <w:szCs w:val="22"/>
          <w:color w:val="auto"/>
        </w:rPr>
        <w:t>; and</w:t>
      </w:r>
      <w:r>
        <w:rPr>
          <w:rFonts w:ascii="Arial" w:cs="Arial" w:eastAsia="Arial" w:hAnsi="Arial"/>
          <w:sz w:val="22"/>
          <w:szCs w:val="22"/>
          <w:i w:val="1"/>
          <w:iCs w:val="1"/>
          <w:color w:val="auto"/>
        </w:rPr>
        <w:t xml:space="preserve"> restructuring related expense</w:t>
      </w:r>
      <w:r>
        <w:rPr>
          <w:rFonts w:ascii="Arial" w:cs="Arial" w:eastAsia="Arial" w:hAnsi="Arial"/>
          <w:sz w:val="36"/>
          <w:szCs w:val="36"/>
          <w:i w:val="1"/>
          <w:iCs w:val="1"/>
          <w:color w:val="auto"/>
          <w:vertAlign w:val="superscript"/>
        </w:rPr>
        <w:t>3</w:t>
      </w:r>
      <w:r>
        <w:rPr>
          <w:rFonts w:ascii="Arial" w:cs="Arial" w:eastAsia="Arial" w:hAnsi="Arial"/>
          <w:sz w:val="22"/>
          <w:szCs w:val="22"/>
          <w:i w:val="1"/>
          <w:iCs w:val="1"/>
          <w:color w:val="auto"/>
        </w:rPr>
        <w:t xml:space="preserve"> </w:t>
      </w:r>
      <w:r>
        <w:rPr>
          <w:rFonts w:ascii="Arial" w:cs="Arial" w:eastAsia="Arial" w:hAnsi="Arial"/>
          <w:sz w:val="22"/>
          <w:szCs w:val="22"/>
          <w:color w:val="auto"/>
        </w:rPr>
        <w:t>which are described further below. Adjusted</w:t>
      </w:r>
      <w:r>
        <w:rPr>
          <w:rFonts w:ascii="Arial" w:cs="Arial" w:eastAsia="Arial" w:hAnsi="Arial"/>
          <w:sz w:val="22"/>
          <w:szCs w:val="22"/>
          <w:i w:val="1"/>
          <w:iCs w:val="1"/>
          <w:color w:val="auto"/>
        </w:rPr>
        <w:t xml:space="preserve"> </w:t>
      </w:r>
      <w:r>
        <w:rPr>
          <w:rFonts w:ascii="Arial" w:cs="Arial" w:eastAsia="Arial" w:hAnsi="Arial"/>
          <w:sz w:val="22"/>
          <w:szCs w:val="22"/>
          <w:color w:val="auto"/>
        </w:rPr>
        <w:t>operating margin represents adjusted operating income divided by revenue.</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Adjusted income before income taxes is defined as income before income taxes, determined in accordance with GAAP, excluding:</w:t>
      </w:r>
    </w:p>
    <w:p>
      <w:pPr>
        <w:spacing w:after="0" w:line="48" w:lineRule="exact"/>
        <w:rPr>
          <w:sz w:val="20"/>
          <w:szCs w:val="20"/>
          <w:color w:val="auto"/>
        </w:rPr>
      </w:pPr>
    </w:p>
    <w:p>
      <w:pPr>
        <w:ind w:right="500"/>
        <w:spacing w:after="0" w:line="197" w:lineRule="auto"/>
        <w:rPr>
          <w:sz w:val="20"/>
          <w:szCs w:val="20"/>
          <w:color w:val="auto"/>
        </w:rPr>
      </w:pPr>
      <w:r>
        <w:rPr>
          <w:rFonts w:ascii="Arial" w:cs="Arial" w:eastAsia="Arial" w:hAnsi="Arial"/>
          <w:sz w:val="22"/>
          <w:szCs w:val="22"/>
          <w:i w:val="1"/>
          <w:iCs w:val="1"/>
          <w:color w:val="auto"/>
        </w:rPr>
        <w:t>acquisition-related expenses</w:t>
      </w:r>
      <w:r>
        <w:rPr>
          <w:rFonts w:ascii="Arial" w:cs="Arial" w:eastAsia="Arial" w:hAnsi="Arial"/>
          <w:sz w:val="36"/>
          <w:szCs w:val="36"/>
          <w:i w:val="1"/>
          <w:iCs w:val="1"/>
          <w:color w:val="auto"/>
          <w:vertAlign w:val="superscript"/>
        </w:rPr>
        <w:t>1</w:t>
      </w:r>
      <w:r>
        <w:rPr>
          <w:rFonts w:ascii="Arial" w:cs="Arial" w:eastAsia="Arial" w:hAnsi="Arial"/>
          <w:sz w:val="22"/>
          <w:szCs w:val="22"/>
          <w:color w:val="auto"/>
        </w:rPr>
        <w:t>;</w:t>
      </w:r>
      <w:r>
        <w:rPr>
          <w:rFonts w:ascii="Arial" w:cs="Arial" w:eastAsia="Arial" w:hAnsi="Arial"/>
          <w:sz w:val="22"/>
          <w:szCs w:val="22"/>
          <w:i w:val="1"/>
          <w:iCs w:val="1"/>
          <w:color w:val="auto"/>
        </w:rPr>
        <w:t xml:space="preserve"> acquisition-related transaction costs</w:t>
      </w:r>
      <w:r>
        <w:rPr>
          <w:rFonts w:ascii="Arial" w:cs="Arial" w:eastAsia="Arial" w:hAnsi="Arial"/>
          <w:sz w:val="36"/>
          <w:szCs w:val="36"/>
          <w:i w:val="1"/>
          <w:iCs w:val="1"/>
          <w:color w:val="auto"/>
          <w:vertAlign w:val="superscript"/>
        </w:rPr>
        <w:t>2</w:t>
      </w:r>
      <w:r>
        <w:rPr>
          <w:rFonts w:ascii="Arial" w:cs="Arial" w:eastAsia="Arial" w:hAnsi="Arial"/>
          <w:sz w:val="22"/>
          <w:szCs w:val="22"/>
          <w:color w:val="auto"/>
        </w:rPr>
        <w:t>; and</w:t>
      </w:r>
      <w:r>
        <w:rPr>
          <w:rFonts w:ascii="Arial" w:cs="Arial" w:eastAsia="Arial" w:hAnsi="Arial"/>
          <w:sz w:val="22"/>
          <w:szCs w:val="22"/>
          <w:i w:val="1"/>
          <w:iCs w:val="1"/>
          <w:color w:val="auto"/>
        </w:rPr>
        <w:t xml:space="preserve"> restructuring related expense</w:t>
      </w:r>
      <w:r>
        <w:rPr>
          <w:rFonts w:ascii="Arial" w:cs="Arial" w:eastAsia="Arial" w:hAnsi="Arial"/>
          <w:sz w:val="36"/>
          <w:szCs w:val="36"/>
          <w:i w:val="1"/>
          <w:iCs w:val="1"/>
          <w:color w:val="auto"/>
          <w:vertAlign w:val="superscript"/>
        </w:rPr>
        <w:t>3</w:t>
      </w:r>
      <w:r>
        <w:rPr>
          <w:rFonts w:ascii="Arial" w:cs="Arial" w:eastAsia="Arial" w:hAnsi="Arial"/>
          <w:sz w:val="22"/>
          <w:szCs w:val="22"/>
          <w:i w:val="1"/>
          <w:iCs w:val="1"/>
          <w:color w:val="auto"/>
        </w:rPr>
        <w:t xml:space="preserve"> </w:t>
      </w:r>
      <w:r>
        <w:rPr>
          <w:rFonts w:ascii="Arial" w:cs="Arial" w:eastAsia="Arial" w:hAnsi="Arial"/>
          <w:sz w:val="22"/>
          <w:szCs w:val="22"/>
          <w:color w:val="auto"/>
        </w:rPr>
        <w:t>which are described</w:t>
      </w:r>
      <w:r>
        <w:rPr>
          <w:rFonts w:ascii="Arial" w:cs="Arial" w:eastAsia="Arial" w:hAnsi="Arial"/>
          <w:sz w:val="22"/>
          <w:szCs w:val="22"/>
          <w:i w:val="1"/>
          <w:iCs w:val="1"/>
          <w:color w:val="auto"/>
        </w:rPr>
        <w:t xml:space="preserve"> </w:t>
      </w:r>
      <w:r>
        <w:rPr>
          <w:rFonts w:ascii="Arial" w:cs="Arial" w:eastAsia="Arial" w:hAnsi="Arial"/>
          <w:sz w:val="22"/>
          <w:szCs w:val="22"/>
          <w:color w:val="auto"/>
        </w:rPr>
        <w:t>further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27202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7" w:name="page8"/>
    <w:bookmarkEnd w:id="7"/>
    <w:p>
      <w:pPr>
        <w:spacing w:after="0"/>
        <w:rPr>
          <w:sz w:val="20"/>
          <w:szCs w:val="20"/>
          <w:color w:val="auto"/>
        </w:rPr>
      </w:pPr>
      <w:r>
        <w:rPr>
          <w:rFonts w:ascii="Arial" w:cs="Arial" w:eastAsia="Arial" w:hAnsi="Arial"/>
          <w:sz w:val="19"/>
          <w:szCs w:val="19"/>
          <w:color w:val="auto"/>
        </w:rPr>
        <w:t xml:space="preserve">Adjusted provision for income taxes is defined as provision for income taxes, determined in accordance with GAAP, excluding </w:t>
      </w:r>
      <w:r>
        <w:rPr>
          <w:rFonts w:ascii="Arial" w:cs="Arial" w:eastAsia="Arial" w:hAnsi="Arial"/>
          <w:sz w:val="19"/>
          <w:szCs w:val="19"/>
          <w:i w:val="1"/>
          <w:iCs w:val="1"/>
          <w:color w:val="auto"/>
        </w:rPr>
        <w:t>tax</w:t>
      </w:r>
    </w:p>
    <w:p>
      <w:pPr>
        <w:spacing w:after="0" w:line="48" w:lineRule="exact"/>
        <w:rPr>
          <w:sz w:val="20"/>
          <w:szCs w:val="20"/>
          <w:color w:val="auto"/>
        </w:rPr>
      </w:pPr>
    </w:p>
    <w:p>
      <w:pPr>
        <w:ind w:right="20"/>
        <w:spacing w:after="0" w:line="197" w:lineRule="auto"/>
        <w:rPr>
          <w:sz w:val="20"/>
          <w:szCs w:val="20"/>
          <w:color w:val="auto"/>
        </w:rPr>
      </w:pPr>
      <w:r>
        <w:rPr>
          <w:rFonts w:ascii="Arial" w:cs="Arial" w:eastAsia="Arial" w:hAnsi="Arial"/>
          <w:sz w:val="22"/>
          <w:szCs w:val="22"/>
          <w:i w:val="1"/>
          <w:iCs w:val="1"/>
          <w:color w:val="auto"/>
        </w:rPr>
        <w:t>related items</w:t>
      </w:r>
      <w:r>
        <w:rPr>
          <w:rFonts w:ascii="Arial" w:cs="Arial" w:eastAsia="Arial" w:hAnsi="Arial"/>
          <w:sz w:val="36"/>
          <w:szCs w:val="36"/>
          <w:color w:val="auto"/>
          <w:vertAlign w:val="superscript"/>
        </w:rPr>
        <w:t>4</w:t>
      </w:r>
      <w:r>
        <w:rPr>
          <w:rFonts w:ascii="Arial" w:cs="Arial" w:eastAsia="Arial" w:hAnsi="Arial"/>
          <w:sz w:val="22"/>
          <w:szCs w:val="22"/>
          <w:i w:val="1"/>
          <w:iCs w:val="1"/>
          <w:color w:val="auto"/>
        </w:rPr>
        <w:t xml:space="preserve"> </w:t>
      </w:r>
      <w:r>
        <w:rPr>
          <w:rFonts w:ascii="Arial" w:cs="Arial" w:eastAsia="Arial" w:hAnsi="Arial"/>
          <w:sz w:val="22"/>
          <w:szCs w:val="22"/>
          <w:color w:val="auto"/>
        </w:rPr>
        <w:t>described further below. Adjusted tax rate represents adjusted provision for income taxes divided by adjusted income</w:t>
      </w:r>
      <w:r>
        <w:rPr>
          <w:rFonts w:ascii="Arial" w:cs="Arial" w:eastAsia="Arial" w:hAnsi="Arial"/>
          <w:sz w:val="22"/>
          <w:szCs w:val="22"/>
          <w:i w:val="1"/>
          <w:iCs w:val="1"/>
          <w:color w:val="auto"/>
        </w:rPr>
        <w:t xml:space="preserve"> </w:t>
      </w:r>
      <w:r>
        <w:rPr>
          <w:rFonts w:ascii="Arial" w:cs="Arial" w:eastAsia="Arial" w:hAnsi="Arial"/>
          <w:sz w:val="22"/>
          <w:szCs w:val="22"/>
          <w:color w:val="auto"/>
        </w:rPr>
        <w:t>before income taxes.</w:t>
      </w:r>
    </w:p>
    <w:p>
      <w:pPr>
        <w:spacing w:after="0" w:line="193" w:lineRule="exact"/>
        <w:rPr>
          <w:sz w:val="20"/>
          <w:szCs w:val="20"/>
          <w:color w:val="auto"/>
        </w:rPr>
      </w:pPr>
    </w:p>
    <w:p>
      <w:pPr>
        <w:ind w:right="440"/>
        <w:spacing w:after="0" w:line="270" w:lineRule="auto"/>
        <w:rPr>
          <w:sz w:val="20"/>
          <w:szCs w:val="20"/>
          <w:color w:val="auto"/>
        </w:rPr>
      </w:pPr>
      <w:r>
        <w:rPr>
          <w:rFonts w:ascii="Arial" w:cs="Arial" w:eastAsia="Arial" w:hAnsi="Arial"/>
          <w:sz w:val="19"/>
          <w:szCs w:val="19"/>
          <w:color w:val="auto"/>
        </w:rPr>
        <w:t xml:space="preserve">Adjusted diluted EPS is defined as EPS, determined in accordance with GAAP, excluding: </w:t>
      </w:r>
      <w:r>
        <w:rPr>
          <w:rFonts w:ascii="Arial" w:cs="Arial" w:eastAsia="Arial" w:hAnsi="Arial"/>
          <w:sz w:val="19"/>
          <w:szCs w:val="19"/>
          <w:i w:val="1"/>
          <w:iCs w:val="1"/>
          <w:color w:val="auto"/>
        </w:rPr>
        <w:t>acquisition-related expenses</w:t>
      </w:r>
      <w:r>
        <w:rPr>
          <w:rFonts w:ascii="Arial" w:cs="Arial" w:eastAsia="Arial" w:hAnsi="Arial"/>
          <w:sz w:val="31"/>
          <w:szCs w:val="31"/>
          <w:i w:val="1"/>
          <w:iCs w:val="1"/>
          <w:color w:val="auto"/>
          <w:vertAlign w:val="superscript"/>
        </w:rPr>
        <w:t>1</w:t>
      </w:r>
      <w:r>
        <w:rPr>
          <w:rFonts w:ascii="Arial" w:cs="Arial" w:eastAsia="Arial" w:hAnsi="Arial"/>
          <w:sz w:val="19"/>
          <w:szCs w:val="19"/>
          <w:color w:val="auto"/>
        </w:rPr>
        <w:t xml:space="preserve">; </w:t>
      </w:r>
      <w:r>
        <w:rPr>
          <w:rFonts w:ascii="Arial" w:cs="Arial" w:eastAsia="Arial" w:hAnsi="Arial"/>
          <w:sz w:val="19"/>
          <w:szCs w:val="19"/>
          <w:i w:val="1"/>
          <w:iCs w:val="1"/>
          <w:color w:val="auto"/>
        </w:rPr>
        <w:t>acquisition-related transaction costs</w:t>
      </w:r>
      <w:r>
        <w:rPr>
          <w:rFonts w:ascii="Arial" w:cs="Arial" w:eastAsia="Arial" w:hAnsi="Arial"/>
          <w:sz w:val="31"/>
          <w:szCs w:val="31"/>
          <w:i w:val="1"/>
          <w:iCs w:val="1"/>
          <w:color w:val="auto"/>
          <w:vertAlign w:val="superscript"/>
        </w:rPr>
        <w:t>2</w:t>
      </w:r>
      <w:r>
        <w:rPr>
          <w:rFonts w:ascii="Arial" w:cs="Arial" w:eastAsia="Arial" w:hAnsi="Arial"/>
          <w:sz w:val="19"/>
          <w:szCs w:val="19"/>
          <w:color w:val="auto"/>
        </w:rPr>
        <w:t>,</w:t>
      </w:r>
      <w:r>
        <w:rPr>
          <w:rFonts w:ascii="Arial" w:cs="Arial" w:eastAsia="Arial" w:hAnsi="Arial"/>
          <w:sz w:val="19"/>
          <w:szCs w:val="19"/>
          <w:i w:val="1"/>
          <w:iCs w:val="1"/>
          <w:color w:val="auto"/>
        </w:rPr>
        <w:t xml:space="preserve"> restructuring related expense</w:t>
      </w:r>
      <w:r>
        <w:rPr>
          <w:rFonts w:ascii="Arial" w:cs="Arial" w:eastAsia="Arial" w:hAnsi="Arial"/>
          <w:sz w:val="31"/>
          <w:szCs w:val="31"/>
          <w:i w:val="1"/>
          <w:iCs w:val="1"/>
          <w:color w:val="auto"/>
          <w:vertAlign w:val="superscript"/>
        </w:rPr>
        <w:t>3</w:t>
      </w:r>
      <w:r>
        <w:rPr>
          <w:rFonts w:ascii="Arial" w:cs="Arial" w:eastAsia="Arial" w:hAnsi="Arial"/>
          <w:sz w:val="19"/>
          <w:szCs w:val="19"/>
          <w:i w:val="1"/>
          <w:iCs w:val="1"/>
          <w:color w:val="auto"/>
        </w:rPr>
        <w:t xml:space="preserve"> </w:t>
      </w:r>
      <w:r>
        <w:rPr>
          <w:rFonts w:ascii="Arial" w:cs="Arial" w:eastAsia="Arial" w:hAnsi="Arial"/>
          <w:sz w:val="19"/>
          <w:szCs w:val="19"/>
          <w:color w:val="auto"/>
        </w:rPr>
        <w:t>and</w:t>
      </w:r>
      <w:r>
        <w:rPr>
          <w:rFonts w:ascii="Arial" w:cs="Arial" w:eastAsia="Arial" w:hAnsi="Arial"/>
          <w:sz w:val="19"/>
          <w:szCs w:val="19"/>
          <w:i w:val="1"/>
          <w:iCs w:val="1"/>
          <w:color w:val="auto"/>
        </w:rPr>
        <w:t xml:space="preserve"> tax related items</w:t>
      </w:r>
      <w:r>
        <w:rPr>
          <w:rFonts w:ascii="Arial" w:cs="Arial" w:eastAsia="Arial" w:hAnsi="Arial"/>
          <w:sz w:val="31"/>
          <w:szCs w:val="31"/>
          <w:color w:val="auto"/>
          <w:vertAlign w:val="superscript"/>
        </w:rPr>
        <w:t>4</w:t>
      </w:r>
      <w:r>
        <w:rPr>
          <w:rFonts w:ascii="Arial" w:cs="Arial" w:eastAsia="Arial" w:hAnsi="Arial"/>
          <w:sz w:val="19"/>
          <w:szCs w:val="19"/>
          <w:i w:val="1"/>
          <w:iCs w:val="1"/>
          <w:color w:val="auto"/>
        </w:rPr>
        <w:t xml:space="preserve"> </w:t>
      </w:r>
      <w:r>
        <w:rPr>
          <w:rFonts w:ascii="Arial" w:cs="Arial" w:eastAsia="Arial" w:hAnsi="Arial"/>
          <w:sz w:val="19"/>
          <w:szCs w:val="19"/>
          <w:color w:val="auto"/>
        </w:rPr>
        <w:t>which are described further below.</w:t>
      </w:r>
    </w:p>
    <w:p>
      <w:pPr>
        <w:spacing w:after="0" w:line="1"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Free cash flow is defined as net cash provided by operating activities, determined in accordance with GAAP, less additions to property, plant and equipment, net.</w:t>
      </w:r>
    </w:p>
    <w:p>
      <w:pPr>
        <w:spacing w:after="0" w:line="180" w:lineRule="exact"/>
        <w:rPr>
          <w:sz w:val="20"/>
          <w:szCs w:val="20"/>
          <w:color w:val="auto"/>
        </w:rPr>
      </w:pPr>
    </w:p>
    <w:p>
      <w:pPr>
        <w:ind w:left="420" w:right="20"/>
        <w:spacing w:after="0" w:line="257" w:lineRule="auto"/>
        <w:rPr>
          <w:sz w:val="20"/>
          <w:szCs w:val="20"/>
          <w:color w:val="auto"/>
        </w:rPr>
      </w:pPr>
      <w:r>
        <w:rPr>
          <w:rFonts w:ascii="Arial" w:cs="Arial" w:eastAsia="Arial" w:hAnsi="Arial"/>
          <w:sz w:val="31"/>
          <w:szCs w:val="31"/>
          <w:i w:val="1"/>
          <w:iCs w:val="1"/>
          <w:color w:val="auto"/>
          <w:vertAlign w:val="superscript"/>
        </w:rPr>
        <w:t>1</w:t>
      </w:r>
      <w:r>
        <w:rPr>
          <w:rFonts w:ascii="Arial" w:cs="Arial" w:eastAsia="Arial" w:hAnsi="Arial"/>
          <w:sz w:val="19"/>
          <w:szCs w:val="19"/>
          <w:i w:val="1"/>
          <w:iCs w:val="1"/>
          <w:color w:val="auto"/>
        </w:rPr>
        <w:t>Acquisition-Related Expenses</w:t>
      </w:r>
      <w:r>
        <w:rPr>
          <w:rFonts w:ascii="Arial" w:cs="Arial" w:eastAsia="Arial" w:hAnsi="Arial"/>
          <w:sz w:val="19"/>
          <w:szCs w:val="19"/>
          <w:color w:val="auto"/>
        </w:rPr>
        <w:t>: Expenses incurred as a result of current and prior period acquisitions and primarily include</w:t>
      </w:r>
      <w:r>
        <w:rPr>
          <w:rFonts w:ascii="Arial" w:cs="Arial" w:eastAsia="Arial" w:hAnsi="Arial"/>
          <w:sz w:val="19"/>
          <w:szCs w:val="19"/>
          <w:i w:val="1"/>
          <w:iCs w:val="1"/>
          <w:color w:val="auto"/>
        </w:rPr>
        <w:t xml:space="preserve"> </w:t>
      </w:r>
      <w:r>
        <w:rPr>
          <w:rFonts w:ascii="Arial" w:cs="Arial" w:eastAsia="Arial" w:hAnsi="Arial"/>
          <w:sz w:val="19"/>
          <w:szCs w:val="19"/>
          <w:color w:val="auto"/>
        </w:rPr>
        <w:t>expenses associated with the fair value adjustments to inventory, property, plant and equipment and amortization of acquisition related intangibles, which include acquired intangibles such as purchased technology and customer relationships. Expenses also include severance payments, equity award accelerations and the fair value adjustment associated with the replacement of share-based awards related to the Linear Technology acquisition. We excluded these costs from our non-GAAP measures because they relate to specific transactions and are not reflective of our ongoing financial performance.</w:t>
      </w:r>
    </w:p>
    <w:p>
      <w:pPr>
        <w:spacing w:after="0" w:line="177" w:lineRule="exact"/>
        <w:rPr>
          <w:sz w:val="20"/>
          <w:szCs w:val="20"/>
          <w:color w:val="auto"/>
        </w:rPr>
      </w:pPr>
    </w:p>
    <w:p>
      <w:pPr>
        <w:ind w:left="420" w:right="540"/>
        <w:spacing w:after="0" w:line="245" w:lineRule="auto"/>
        <w:rPr>
          <w:sz w:val="20"/>
          <w:szCs w:val="20"/>
          <w:color w:val="auto"/>
        </w:rPr>
      </w:pPr>
      <w:r>
        <w:rPr>
          <w:rFonts w:ascii="Arial" w:cs="Arial" w:eastAsia="Arial" w:hAnsi="Arial"/>
          <w:sz w:val="31"/>
          <w:szCs w:val="31"/>
          <w:i w:val="1"/>
          <w:iCs w:val="1"/>
          <w:color w:val="auto"/>
          <w:vertAlign w:val="superscript"/>
        </w:rPr>
        <w:t>2</w:t>
      </w:r>
      <w:r>
        <w:rPr>
          <w:rFonts w:ascii="Arial" w:cs="Arial" w:eastAsia="Arial" w:hAnsi="Arial"/>
          <w:sz w:val="19"/>
          <w:szCs w:val="19"/>
          <w:i w:val="1"/>
          <w:iCs w:val="1"/>
          <w:color w:val="auto"/>
        </w:rPr>
        <w:t>Acquisition-Related Transaction Costs</w:t>
      </w:r>
      <w:r>
        <w:rPr>
          <w:rFonts w:ascii="Arial" w:cs="Arial" w:eastAsia="Arial" w:hAnsi="Arial"/>
          <w:sz w:val="19"/>
          <w:szCs w:val="19"/>
          <w:color w:val="auto"/>
        </w:rPr>
        <w:t>: Costs directly related to the Linear Technology acquisition, including legal,</w:t>
      </w:r>
      <w:r>
        <w:rPr>
          <w:rFonts w:ascii="Arial" w:cs="Arial" w:eastAsia="Arial" w:hAnsi="Arial"/>
          <w:sz w:val="19"/>
          <w:szCs w:val="19"/>
          <w:i w:val="1"/>
          <w:iCs w:val="1"/>
          <w:color w:val="auto"/>
        </w:rPr>
        <w:t xml:space="preserve"> </w:t>
      </w:r>
      <w:r>
        <w:rPr>
          <w:rFonts w:ascii="Arial" w:cs="Arial" w:eastAsia="Arial" w:hAnsi="Arial"/>
          <w:sz w:val="19"/>
          <w:szCs w:val="19"/>
          <w:color w:val="auto"/>
        </w:rPr>
        <w:t>accounting and other professional fees, as well as integration-related costs. We excluded these costs from our non-GAAP measures because they relate to a specific transaction and are not reflective of our ongoing financial performance.</w:t>
      </w:r>
    </w:p>
    <w:p>
      <w:pPr>
        <w:spacing w:after="0" w:line="189" w:lineRule="exact"/>
        <w:rPr>
          <w:sz w:val="20"/>
          <w:szCs w:val="20"/>
          <w:color w:val="auto"/>
        </w:rPr>
      </w:pPr>
    </w:p>
    <w:p>
      <w:pPr>
        <w:ind w:left="420"/>
        <w:spacing w:after="0" w:line="215" w:lineRule="auto"/>
        <w:rPr>
          <w:sz w:val="20"/>
          <w:szCs w:val="20"/>
          <w:color w:val="auto"/>
        </w:rPr>
      </w:pPr>
      <w:r>
        <w:rPr>
          <w:rFonts w:ascii="Arial" w:cs="Arial" w:eastAsia="Arial" w:hAnsi="Arial"/>
          <w:sz w:val="36"/>
          <w:szCs w:val="36"/>
          <w:i w:val="1"/>
          <w:iCs w:val="1"/>
          <w:color w:val="auto"/>
          <w:vertAlign w:val="superscript"/>
        </w:rPr>
        <w:t>3</w:t>
      </w:r>
      <w:r>
        <w:rPr>
          <w:rFonts w:ascii="Arial" w:cs="Arial" w:eastAsia="Arial" w:hAnsi="Arial"/>
          <w:sz w:val="22"/>
          <w:szCs w:val="22"/>
          <w:i w:val="1"/>
          <w:iCs w:val="1"/>
          <w:color w:val="auto"/>
        </w:rPr>
        <w:t>Restructuring-Related Expense</w:t>
      </w:r>
      <w:r>
        <w:rPr>
          <w:rFonts w:ascii="Arial" w:cs="Arial" w:eastAsia="Arial" w:hAnsi="Arial"/>
          <w:sz w:val="22"/>
          <w:szCs w:val="22"/>
          <w:color w:val="auto"/>
        </w:rPr>
        <w:t>: Expenses incurred in connection with facility closures, consolidation of manufacturing</w:t>
      </w:r>
      <w:r>
        <w:rPr>
          <w:rFonts w:ascii="Arial" w:cs="Arial" w:eastAsia="Arial" w:hAnsi="Arial"/>
          <w:sz w:val="22"/>
          <w:szCs w:val="22"/>
          <w:i w:val="1"/>
          <w:iCs w:val="1"/>
          <w:color w:val="auto"/>
        </w:rPr>
        <w:t xml:space="preserve"> </w:t>
      </w:r>
      <w:r>
        <w:rPr>
          <w:rFonts w:ascii="Arial" w:cs="Arial" w:eastAsia="Arial" w:hAnsi="Arial"/>
          <w:sz w:val="22"/>
          <w:szCs w:val="22"/>
          <w:color w:val="auto"/>
        </w:rPr>
        <w:t>facilities, severance, and other cost reduction efforts. We excluded these expenses from our non-GAAP measures because apart from ongoing expense savings as a result of such items, these expenses have no direct correlation to the operation of our business in the future.</w:t>
      </w:r>
    </w:p>
    <w:p>
      <w:pPr>
        <w:spacing w:after="0" w:line="192" w:lineRule="exact"/>
        <w:rPr>
          <w:sz w:val="20"/>
          <w:szCs w:val="20"/>
          <w:color w:val="auto"/>
        </w:rPr>
      </w:pPr>
    </w:p>
    <w:p>
      <w:pPr>
        <w:ind w:left="420" w:right="60"/>
        <w:spacing w:after="0" w:line="215" w:lineRule="auto"/>
        <w:rPr>
          <w:sz w:val="20"/>
          <w:szCs w:val="20"/>
          <w:color w:val="auto"/>
        </w:rPr>
      </w:pPr>
      <w:r>
        <w:rPr>
          <w:rFonts w:ascii="Arial" w:cs="Arial" w:eastAsia="Arial" w:hAnsi="Arial"/>
          <w:sz w:val="36"/>
          <w:szCs w:val="36"/>
          <w:i w:val="1"/>
          <w:iCs w:val="1"/>
          <w:color w:val="auto"/>
          <w:vertAlign w:val="superscript"/>
        </w:rPr>
        <w:t>4</w:t>
      </w:r>
      <w:r>
        <w:rPr>
          <w:rFonts w:ascii="Arial" w:cs="Arial" w:eastAsia="Arial" w:hAnsi="Arial"/>
          <w:sz w:val="22"/>
          <w:szCs w:val="22"/>
          <w:i w:val="1"/>
          <w:iCs w:val="1"/>
          <w:color w:val="auto"/>
        </w:rPr>
        <w:t>Tax-Related Items</w:t>
      </w:r>
      <w:r>
        <w:rPr>
          <w:rFonts w:ascii="Arial" w:cs="Arial" w:eastAsia="Arial" w:hAnsi="Arial"/>
          <w:sz w:val="22"/>
          <w:szCs w:val="22"/>
          <w:color w:val="auto"/>
        </w:rPr>
        <w:t>: Tax adjustments associated with the non-GAAP items discussed above, discrete tax items including tax</w:t>
      </w:r>
      <w:r>
        <w:rPr>
          <w:rFonts w:ascii="Arial" w:cs="Arial" w:eastAsia="Arial" w:hAnsi="Arial"/>
          <w:sz w:val="22"/>
          <w:szCs w:val="22"/>
          <w:i w:val="1"/>
          <w:iCs w:val="1"/>
          <w:color w:val="auto"/>
        </w:rPr>
        <w:t xml:space="preserve"> </w:t>
      </w:r>
      <w:r>
        <w:rPr>
          <w:rFonts w:ascii="Arial" w:cs="Arial" w:eastAsia="Arial" w:hAnsi="Arial"/>
          <w:sz w:val="22"/>
          <w:szCs w:val="22"/>
          <w:color w:val="auto"/>
        </w:rPr>
        <w:t>expense or benefit related to prior periods and tax expense or benefit related to the impact of the Tax Cuts and Jobs Act of 2017. We excluded these tax-related items from our non-GAAP measures because they are not associated with the tax expense on our current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Analog Devices</w:t>
      </w:r>
    </w:p>
    <w:p>
      <w:pPr>
        <w:spacing w:after="0" w:line="212" w:lineRule="exact"/>
        <w:rPr>
          <w:sz w:val="20"/>
          <w:szCs w:val="20"/>
          <w:color w:val="auto"/>
        </w:rPr>
      </w:pPr>
    </w:p>
    <w:p>
      <w:pPr>
        <w:jc w:val="both"/>
        <w:ind w:right="60"/>
        <w:spacing w:after="0" w:line="297" w:lineRule="auto"/>
        <w:rPr>
          <w:sz w:val="20"/>
          <w:szCs w:val="20"/>
          <w:color w:val="auto"/>
        </w:rPr>
      </w:pPr>
      <w:r>
        <w:rPr>
          <w:rFonts w:ascii="Arial" w:cs="Arial" w:eastAsia="Arial" w:hAnsi="Arial"/>
          <w:sz w:val="19"/>
          <w:szCs w:val="19"/>
          <w:color w:val="auto"/>
        </w:rPr>
        <w:t xml:space="preserve">Analog Devices (Nasdaq: ADI) is a leading global high-performance analog technology company dedicated to solving the toughest engineering challenges. We enable our customers to interpret the world around us by intelligently bridging the physical and digital with unmatched technologies that sense, measure, power, connect and interpret. Visit </w:t>
      </w:r>
      <w:r>
        <w:rPr>
          <w:rFonts w:ascii="Arial" w:cs="Arial" w:eastAsia="Arial" w:hAnsi="Arial"/>
          <w:sz w:val="19"/>
          <w:szCs w:val="19"/>
          <w:u w:val="single" w:color="auto"/>
          <w:color w:val="auto"/>
        </w:rPr>
        <w:t>http://www.analog.com</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27202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u w:val="single" w:color="auto"/>
          <w:color w:val="auto"/>
        </w:rPr>
        <w:t>Forward Looking Statements</w:t>
      </w:r>
    </w:p>
    <w:p>
      <w:pPr>
        <w:spacing w:after="0" w:line="213"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i w:val="1"/>
          <w:iCs w:val="1"/>
          <w:color w:val="auto"/>
        </w:rPr>
        <w:t>This press release contains forward-looking statements, which address a variety of subjects including, for example, our statements regarding expected revenue, operating margin, earnings per share, and other financial results, expected market trends, market share gains, operating leverage, production and inventory levels, and expected customer demand and order rates for our products expected product offerings, product development and marketing position.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any faltering in global economic conditions or the stability of credit and financial markets, erosion of consumer confidence and declines in customer spending, unavailability of raw materials, services, supplies or manufacturing capacity, changes in geographic, product or customer mix; changes in our estimates of our expected tax rate based on current tax law; higher than expected or unexpected costs associated with or relating to the acquisition of Linear Technology and the integration of the businesses; the risk that expected benefits, synergies and growth prospects of the acquisition may not be fully achieved in a timely manner, or at all; the risk that Linear Technology’s business may not be successfully integrated with Analog Devices’; the risk that we will be unable to retain and hire key personnel; and the risk that disruption resulting from the acquisition may adversely affect our business and relationships with our customers, suppliers or employees. For additional information about factors that could cause actual results to differ materially from those described in the forward-looking statements, please refer to our filings with the Securities and Exchange Commission (“SEC”), including the risk factors contained in our most recent Quarterly Report on Form 10-Q and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200" w:lineRule="exact"/>
        <w:rPr>
          <w:sz w:val="20"/>
          <w:szCs w:val="20"/>
          <w:color w:val="auto"/>
        </w:rPr>
      </w:pPr>
    </w:p>
    <w:p>
      <w:pPr>
        <w:spacing w:after="0" w:line="20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Analog Devices and the Analog Devices logo are registered trademarks or trademarks of Analog Devices, Inc. All other trademarks mentioned in this document are the property of their respective owners.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(ADI-WEB)</w:t>
      </w:r>
    </w:p>
    <w:p>
      <w:pPr>
        <w:spacing w:after="0" w:line="200" w:lineRule="exact"/>
        <w:rPr>
          <w:sz w:val="20"/>
          <w:szCs w:val="20"/>
          <w:color w:val="auto"/>
        </w:rPr>
      </w:pPr>
    </w:p>
    <w:p>
      <w:pPr>
        <w:ind w:right="40"/>
        <w:spacing w:after="0" w:line="256" w:lineRule="auto"/>
        <w:rPr>
          <w:sz w:val="20"/>
          <w:szCs w:val="20"/>
          <w:color w:val="auto"/>
        </w:rPr>
      </w:pPr>
      <w:r>
        <w:rPr>
          <w:rFonts w:ascii="Arial" w:cs="Arial" w:eastAsia="Arial" w:hAnsi="Arial"/>
          <w:sz w:val="22"/>
          <w:szCs w:val="22"/>
          <w:b w:val="1"/>
          <w:bCs w:val="1"/>
          <w:color w:val="auto"/>
        </w:rPr>
        <w:t xml:space="preserve">For more information, please contact: </w:t>
      </w:r>
      <w:r>
        <w:rPr>
          <w:rFonts w:ascii="Arial" w:cs="Arial" w:eastAsia="Arial" w:hAnsi="Arial"/>
          <w:sz w:val="22"/>
          <w:szCs w:val="22"/>
          <w:color w:val="auto"/>
        </w:rPr>
        <w:t>Mr. Michael Lucarelli, Director of Investor Relations, Analog Devices, Inc. 781-461-3282</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(phone); </w:t>
      </w:r>
      <w:r>
        <w:rPr>
          <w:rFonts w:ascii="Arial" w:cs="Arial" w:eastAsia="Arial" w:hAnsi="Arial"/>
          <w:sz w:val="22"/>
          <w:szCs w:val="22"/>
          <w:u w:val="single" w:color="auto"/>
          <w:color w:val="auto"/>
        </w:rPr>
        <w:t>investor.relations@analog.com</w:t>
      </w:r>
      <w:r>
        <w:rPr>
          <w:rFonts w:ascii="Arial" w:cs="Arial" w:eastAsia="Arial" w:hAnsi="Arial"/>
          <w:sz w:val="22"/>
          <w:szCs w:val="22"/>
          <w:color w:val="auto"/>
        </w:rPr>
        <w:t xml:space="preserve">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7202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ANALOG DEVICES,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340" w:type="dxa"/>
            <w:vAlign w:val="bottom"/>
            <w:gridSpan w:val="6"/>
          </w:tcPr>
          <w:p>
            <w:pPr>
              <w:jc w:val="right"/>
              <w:ind w:right="17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9"/>
        </w:trPr>
        <w:tc>
          <w:tcPr>
            <w:tcW w:w="67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February 2, 2019</w:t>
            </w:r>
          </w:p>
        </w:tc>
        <w:tc>
          <w:tcPr>
            <w:tcW w:w="46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February 3, 2018 (2)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40" w:type="dxa"/>
            <w:vAlign w:val="bottom"/>
          </w:tcPr>
          <w:p>
            <w:pPr>
              <w:spacing w:after="0"/>
              <w:rPr>
                <w:sz w:val="20"/>
                <w:szCs w:val="20"/>
                <w:color w:val="auto"/>
              </w:rPr>
            </w:pPr>
            <w:r>
              <w:rPr>
                <w:rFonts w:ascii="Arial" w:cs="Arial" w:eastAsia="Arial" w:hAnsi="Arial"/>
                <w:sz w:val="14"/>
                <w:szCs w:val="14"/>
                <w:color w:val="auto"/>
              </w:rPr>
              <w:t>Revenue</w:t>
            </w:r>
          </w:p>
        </w:tc>
        <w:tc>
          <w:tcPr>
            <w:tcW w:w="3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1,541,101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1,566,870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740" w:type="dxa"/>
            <w:vAlign w:val="bottom"/>
          </w:tcPr>
          <w:p>
            <w:pPr>
              <w:spacing w:after="0"/>
              <w:rPr>
                <w:sz w:val="20"/>
                <w:szCs w:val="20"/>
                <w:color w:val="auto"/>
              </w:rPr>
            </w:pPr>
            <w:r>
              <w:rPr>
                <w:rFonts w:ascii="Arial" w:cs="Arial" w:eastAsia="Arial" w:hAnsi="Arial"/>
                <w:sz w:val="14"/>
                <w:szCs w:val="14"/>
                <w:color w:val="auto"/>
              </w:rPr>
              <w:t>Cost of sales (1)</w:t>
            </w:r>
          </w:p>
        </w:tc>
        <w:tc>
          <w:tcPr>
            <w:tcW w:w="36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4"/>
                <w:szCs w:val="14"/>
                <w:color w:val="auto"/>
              </w:rPr>
              <w:t>501,445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80" w:type="dxa"/>
            <w:vAlign w:val="bottom"/>
            <w:gridSpan w:val="2"/>
          </w:tcPr>
          <w:p>
            <w:pPr>
              <w:jc w:val="right"/>
              <w:ind w:right="20"/>
              <w:spacing w:after="0"/>
              <w:rPr>
                <w:sz w:val="20"/>
                <w:szCs w:val="20"/>
                <w:color w:val="auto"/>
              </w:rPr>
            </w:pPr>
            <w:r>
              <w:rPr>
                <w:rFonts w:ascii="Arial" w:cs="Arial" w:eastAsia="Arial" w:hAnsi="Arial"/>
                <w:sz w:val="14"/>
                <w:szCs w:val="14"/>
                <w:color w:val="auto"/>
              </w:rPr>
              <w:t>495,187</w:t>
            </w:r>
          </w:p>
        </w:tc>
        <w:tc>
          <w:tcPr>
            <w:tcW w:w="0" w:type="dxa"/>
            <w:vAlign w:val="bottom"/>
          </w:tcPr>
          <w:p>
            <w:pPr>
              <w:spacing w:after="0"/>
              <w:rPr>
                <w:sz w:val="1"/>
                <w:szCs w:val="1"/>
                <w:color w:val="auto"/>
              </w:rPr>
            </w:pPr>
          </w:p>
        </w:tc>
      </w:tr>
      <w:tr>
        <w:trPr>
          <w:trHeight w:val="164"/>
        </w:trPr>
        <w:tc>
          <w:tcPr>
            <w:tcW w:w="6740" w:type="dxa"/>
            <w:vAlign w:val="bottom"/>
          </w:tcPr>
          <w:p>
            <w:pPr>
              <w:spacing w:after="0"/>
              <w:rPr>
                <w:sz w:val="20"/>
                <w:szCs w:val="20"/>
                <w:color w:val="auto"/>
              </w:rPr>
            </w:pPr>
            <w:r>
              <w:rPr>
                <w:rFonts w:ascii="Arial" w:cs="Arial" w:eastAsia="Arial" w:hAnsi="Arial"/>
                <w:sz w:val="14"/>
                <w:szCs w:val="14"/>
                <w:color w:val="auto"/>
              </w:rPr>
              <w:t>Gross margin</w:t>
            </w:r>
          </w:p>
        </w:tc>
        <w:tc>
          <w:tcPr>
            <w:tcW w:w="3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1,039,656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1,071,683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40" w:type="dxa"/>
            <w:vAlign w:val="bottom"/>
          </w:tcPr>
          <w:p>
            <w:pPr>
              <w:spacing w:after="0"/>
              <w:rPr>
                <w:sz w:val="20"/>
                <w:szCs w:val="20"/>
                <w:color w:val="auto"/>
              </w:rPr>
            </w:pPr>
            <w:r>
              <w:rPr>
                <w:rFonts w:ascii="Arial" w:cs="Arial" w:eastAsia="Arial" w:hAnsi="Arial"/>
                <w:sz w:val="14"/>
                <w:szCs w:val="14"/>
                <w:color w:val="auto"/>
              </w:rPr>
              <w:t>Operating expenses:</w:t>
            </w:r>
          </w:p>
        </w:tc>
        <w:tc>
          <w:tcPr>
            <w:tcW w:w="3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tcPr>
          <w:p>
            <w:pPr>
              <w:ind w:left="280"/>
              <w:spacing w:after="0"/>
              <w:rPr>
                <w:sz w:val="20"/>
                <w:szCs w:val="20"/>
                <w:color w:val="auto"/>
              </w:rPr>
            </w:pPr>
            <w:r>
              <w:rPr>
                <w:rFonts w:ascii="Arial" w:cs="Arial" w:eastAsia="Arial" w:hAnsi="Arial"/>
                <w:sz w:val="14"/>
                <w:szCs w:val="14"/>
                <w:color w:val="auto"/>
              </w:rPr>
              <w:t>Research and development (1)</w:t>
            </w:r>
          </w:p>
        </w:tc>
        <w:tc>
          <w:tcPr>
            <w:tcW w:w="36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4"/>
                <w:szCs w:val="14"/>
                <w:color w:val="auto"/>
              </w:rPr>
              <w:t>287,382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80" w:type="dxa"/>
            <w:vAlign w:val="bottom"/>
            <w:gridSpan w:val="2"/>
          </w:tcPr>
          <w:p>
            <w:pPr>
              <w:jc w:val="right"/>
              <w:ind w:right="20"/>
              <w:spacing w:after="0"/>
              <w:rPr>
                <w:sz w:val="20"/>
                <w:szCs w:val="20"/>
                <w:color w:val="auto"/>
              </w:rPr>
            </w:pPr>
            <w:r>
              <w:rPr>
                <w:rFonts w:ascii="Arial" w:cs="Arial" w:eastAsia="Arial" w:hAnsi="Arial"/>
                <w:sz w:val="14"/>
                <w:szCs w:val="14"/>
                <w:color w:val="auto"/>
              </w:rPr>
              <w:t>288,597</w:t>
            </w:r>
          </w:p>
        </w:tc>
        <w:tc>
          <w:tcPr>
            <w:tcW w:w="0" w:type="dxa"/>
            <w:vAlign w:val="bottom"/>
          </w:tcPr>
          <w:p>
            <w:pPr>
              <w:spacing w:after="0"/>
              <w:rPr>
                <w:sz w:val="1"/>
                <w:szCs w:val="1"/>
                <w:color w:val="auto"/>
              </w:rPr>
            </w:pPr>
          </w:p>
        </w:tc>
      </w:tr>
      <w:tr>
        <w:trPr>
          <w:trHeight w:val="176"/>
        </w:trPr>
        <w:tc>
          <w:tcPr>
            <w:tcW w:w="6740" w:type="dxa"/>
            <w:vAlign w:val="bottom"/>
          </w:tcPr>
          <w:p>
            <w:pPr>
              <w:ind w:left="280"/>
              <w:spacing w:after="0"/>
              <w:rPr>
                <w:sz w:val="20"/>
                <w:szCs w:val="20"/>
                <w:color w:val="auto"/>
              </w:rPr>
            </w:pPr>
            <w:r>
              <w:rPr>
                <w:rFonts w:ascii="Arial" w:cs="Arial" w:eastAsia="Arial" w:hAnsi="Arial"/>
                <w:sz w:val="14"/>
                <w:szCs w:val="14"/>
                <w:color w:val="auto"/>
              </w:rPr>
              <w:t>Selling, marketing, general and administrative (1)</w:t>
            </w:r>
          </w:p>
        </w:tc>
        <w:tc>
          <w:tcPr>
            <w:tcW w:w="36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4"/>
                <w:szCs w:val="14"/>
                <w:color w:val="auto"/>
              </w:rPr>
              <w:t>167,342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80" w:type="dxa"/>
            <w:vAlign w:val="bottom"/>
            <w:gridSpan w:val="2"/>
          </w:tcPr>
          <w:p>
            <w:pPr>
              <w:jc w:val="right"/>
              <w:ind w:right="20"/>
              <w:spacing w:after="0"/>
              <w:rPr>
                <w:sz w:val="20"/>
                <w:szCs w:val="20"/>
                <w:color w:val="auto"/>
              </w:rPr>
            </w:pPr>
            <w:r>
              <w:rPr>
                <w:rFonts w:ascii="Arial" w:cs="Arial" w:eastAsia="Arial" w:hAnsi="Arial"/>
                <w:sz w:val="14"/>
                <w:szCs w:val="14"/>
                <w:color w:val="auto"/>
              </w:rPr>
              <w:t>176,908</w:t>
            </w:r>
          </w:p>
        </w:tc>
        <w:tc>
          <w:tcPr>
            <w:tcW w:w="0" w:type="dxa"/>
            <w:vAlign w:val="bottom"/>
          </w:tcPr>
          <w:p>
            <w:pPr>
              <w:spacing w:after="0"/>
              <w:rPr>
                <w:sz w:val="1"/>
                <w:szCs w:val="1"/>
                <w:color w:val="auto"/>
              </w:rPr>
            </w:pPr>
          </w:p>
        </w:tc>
      </w:tr>
      <w:tr>
        <w:trPr>
          <w:trHeight w:val="176"/>
        </w:trPr>
        <w:tc>
          <w:tcPr>
            <w:tcW w:w="6740" w:type="dxa"/>
            <w:vAlign w:val="bottom"/>
          </w:tcPr>
          <w:p>
            <w:pPr>
              <w:ind w:left="280"/>
              <w:spacing w:after="0"/>
              <w:rPr>
                <w:sz w:val="20"/>
                <w:szCs w:val="20"/>
                <w:color w:val="auto"/>
              </w:rPr>
            </w:pPr>
            <w:r>
              <w:rPr>
                <w:rFonts w:ascii="Arial" w:cs="Arial" w:eastAsia="Arial" w:hAnsi="Arial"/>
                <w:sz w:val="14"/>
                <w:szCs w:val="14"/>
                <w:color w:val="auto"/>
              </w:rPr>
              <w:t>Amortization of intangibles</w:t>
            </w:r>
          </w:p>
        </w:tc>
        <w:tc>
          <w:tcPr>
            <w:tcW w:w="36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4"/>
                <w:szCs w:val="14"/>
                <w:color w:val="auto"/>
              </w:rPr>
              <w:t>107,324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80" w:type="dxa"/>
            <w:vAlign w:val="bottom"/>
            <w:gridSpan w:val="2"/>
          </w:tcPr>
          <w:p>
            <w:pPr>
              <w:jc w:val="right"/>
              <w:ind w:right="20"/>
              <w:spacing w:after="0"/>
              <w:rPr>
                <w:sz w:val="20"/>
                <w:szCs w:val="20"/>
                <w:color w:val="auto"/>
              </w:rPr>
            </w:pPr>
            <w:r>
              <w:rPr>
                <w:rFonts w:ascii="Arial" w:cs="Arial" w:eastAsia="Arial" w:hAnsi="Arial"/>
                <w:sz w:val="14"/>
                <w:szCs w:val="14"/>
                <w:color w:val="auto"/>
              </w:rPr>
              <w:t>107,019</w:t>
            </w:r>
          </w:p>
        </w:tc>
        <w:tc>
          <w:tcPr>
            <w:tcW w:w="0" w:type="dxa"/>
            <w:vAlign w:val="bottom"/>
          </w:tcPr>
          <w:p>
            <w:pPr>
              <w:spacing w:after="0"/>
              <w:rPr>
                <w:sz w:val="1"/>
                <w:szCs w:val="1"/>
                <w:color w:val="auto"/>
              </w:rPr>
            </w:pPr>
          </w:p>
        </w:tc>
      </w:tr>
      <w:tr>
        <w:trPr>
          <w:trHeight w:val="181"/>
        </w:trPr>
        <w:tc>
          <w:tcPr>
            <w:tcW w:w="6740" w:type="dxa"/>
            <w:vAlign w:val="bottom"/>
          </w:tcPr>
          <w:p>
            <w:pPr>
              <w:ind w:left="220"/>
              <w:spacing w:after="0"/>
              <w:rPr>
                <w:sz w:val="20"/>
                <w:szCs w:val="20"/>
                <w:color w:val="auto"/>
              </w:rPr>
            </w:pPr>
            <w:r>
              <w:rPr>
                <w:rFonts w:ascii="Arial" w:cs="Arial" w:eastAsia="Arial" w:hAnsi="Arial"/>
                <w:sz w:val="14"/>
                <w:szCs w:val="14"/>
                <w:color w:val="auto"/>
              </w:rPr>
              <w:t>Special charges</w:t>
            </w:r>
          </w:p>
        </w:tc>
        <w:tc>
          <w:tcPr>
            <w:tcW w:w="36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4"/>
                <w:szCs w:val="14"/>
                <w:color w:val="auto"/>
              </w:rPr>
              <w:t>21,782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80" w:type="dxa"/>
            <w:vAlign w:val="bottom"/>
            <w:gridSpan w:val="2"/>
          </w:tcPr>
          <w:p>
            <w:pPr>
              <w:jc w:val="right"/>
              <w:ind w:right="20"/>
              <w:spacing w:after="0"/>
              <w:rPr>
                <w:sz w:val="20"/>
                <w:szCs w:val="20"/>
                <w:color w:val="auto"/>
              </w:rPr>
            </w:pPr>
            <w:r>
              <w:rPr>
                <w:rFonts w:ascii="Arial" w:cs="Arial" w:eastAsia="Arial" w:hAnsi="Arial"/>
                <w:sz w:val="14"/>
                <w:szCs w:val="14"/>
                <w:color w:val="auto"/>
              </w:rPr>
              <w:t>57,318</w:t>
            </w:r>
          </w:p>
        </w:tc>
        <w:tc>
          <w:tcPr>
            <w:tcW w:w="0" w:type="dxa"/>
            <w:vAlign w:val="bottom"/>
          </w:tcPr>
          <w:p>
            <w:pPr>
              <w:spacing w:after="0"/>
              <w:rPr>
                <w:sz w:val="1"/>
                <w:szCs w:val="1"/>
                <w:color w:val="auto"/>
              </w:rPr>
            </w:pPr>
          </w:p>
        </w:tc>
      </w:tr>
      <w:tr>
        <w:trPr>
          <w:trHeight w:val="164"/>
        </w:trPr>
        <w:tc>
          <w:tcPr>
            <w:tcW w:w="67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583,830</w:t>
            </w: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629,842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40" w:type="dxa"/>
            <w:vAlign w:val="bottom"/>
          </w:tcPr>
          <w:p>
            <w:pPr>
              <w:spacing w:after="0"/>
              <w:rPr>
                <w:sz w:val="20"/>
                <w:szCs w:val="20"/>
                <w:color w:val="auto"/>
              </w:rPr>
            </w:pPr>
            <w:r>
              <w:rPr>
                <w:rFonts w:ascii="Arial" w:cs="Arial" w:eastAsia="Arial" w:hAnsi="Arial"/>
                <w:sz w:val="14"/>
                <w:szCs w:val="14"/>
                <w:color w:val="auto"/>
              </w:rPr>
              <w:t>Operating income</w:t>
            </w:r>
          </w:p>
        </w:tc>
        <w:tc>
          <w:tcPr>
            <w:tcW w:w="36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4"/>
                <w:szCs w:val="14"/>
                <w:color w:val="auto"/>
              </w:rPr>
              <w:t>455,826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80" w:type="dxa"/>
            <w:vAlign w:val="bottom"/>
            <w:gridSpan w:val="2"/>
          </w:tcPr>
          <w:p>
            <w:pPr>
              <w:jc w:val="right"/>
              <w:ind w:right="20"/>
              <w:spacing w:after="0"/>
              <w:rPr>
                <w:sz w:val="20"/>
                <w:szCs w:val="20"/>
                <w:color w:val="auto"/>
              </w:rPr>
            </w:pPr>
            <w:r>
              <w:rPr>
                <w:rFonts w:ascii="Arial" w:cs="Arial" w:eastAsia="Arial" w:hAnsi="Arial"/>
                <w:sz w:val="14"/>
                <w:szCs w:val="14"/>
                <w:color w:val="auto"/>
              </w:rPr>
              <w:t>441,841</w:t>
            </w:r>
          </w:p>
        </w:tc>
        <w:tc>
          <w:tcPr>
            <w:tcW w:w="0" w:type="dxa"/>
            <w:vAlign w:val="bottom"/>
          </w:tcPr>
          <w:p>
            <w:pPr>
              <w:spacing w:after="0"/>
              <w:rPr>
                <w:sz w:val="1"/>
                <w:szCs w:val="1"/>
                <w:color w:val="auto"/>
              </w:rPr>
            </w:pPr>
          </w:p>
        </w:tc>
      </w:tr>
      <w:tr>
        <w:trPr>
          <w:trHeight w:val="176"/>
        </w:trPr>
        <w:tc>
          <w:tcPr>
            <w:tcW w:w="6740" w:type="dxa"/>
            <w:vAlign w:val="bottom"/>
          </w:tcPr>
          <w:p>
            <w:pPr>
              <w:spacing w:after="0"/>
              <w:rPr>
                <w:sz w:val="20"/>
                <w:szCs w:val="20"/>
                <w:color w:val="auto"/>
              </w:rPr>
            </w:pPr>
            <w:r>
              <w:rPr>
                <w:rFonts w:ascii="Arial" w:cs="Arial" w:eastAsia="Arial" w:hAnsi="Arial"/>
                <w:sz w:val="14"/>
                <w:szCs w:val="14"/>
                <w:color w:val="auto"/>
              </w:rPr>
              <w:t>Nonoperating expense (income):</w:t>
            </w:r>
          </w:p>
        </w:tc>
        <w:tc>
          <w:tcPr>
            <w:tcW w:w="3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tcPr>
          <w:p>
            <w:pPr>
              <w:ind w:left="280"/>
              <w:spacing w:after="0"/>
              <w:rPr>
                <w:sz w:val="20"/>
                <w:szCs w:val="20"/>
                <w:color w:val="auto"/>
              </w:rPr>
            </w:pPr>
            <w:r>
              <w:rPr>
                <w:rFonts w:ascii="Arial" w:cs="Arial" w:eastAsia="Arial" w:hAnsi="Arial"/>
                <w:sz w:val="14"/>
                <w:szCs w:val="14"/>
                <w:color w:val="auto"/>
              </w:rPr>
              <w:t>Interest expense</w:t>
            </w:r>
          </w:p>
        </w:tc>
        <w:tc>
          <w:tcPr>
            <w:tcW w:w="36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4"/>
                <w:szCs w:val="14"/>
                <w:color w:val="auto"/>
              </w:rPr>
              <w:t>58,728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80" w:type="dxa"/>
            <w:vAlign w:val="bottom"/>
            <w:gridSpan w:val="2"/>
          </w:tcPr>
          <w:p>
            <w:pPr>
              <w:jc w:val="right"/>
              <w:ind w:right="20"/>
              <w:spacing w:after="0"/>
              <w:rPr>
                <w:sz w:val="20"/>
                <w:szCs w:val="20"/>
                <w:color w:val="auto"/>
              </w:rPr>
            </w:pPr>
            <w:r>
              <w:rPr>
                <w:rFonts w:ascii="Arial" w:cs="Arial" w:eastAsia="Arial" w:hAnsi="Arial"/>
                <w:sz w:val="14"/>
                <w:szCs w:val="14"/>
                <w:color w:val="auto"/>
              </w:rPr>
              <w:t>68,030</w:t>
            </w:r>
          </w:p>
        </w:tc>
        <w:tc>
          <w:tcPr>
            <w:tcW w:w="0" w:type="dxa"/>
            <w:vAlign w:val="bottom"/>
          </w:tcPr>
          <w:p>
            <w:pPr>
              <w:spacing w:after="0"/>
              <w:rPr>
                <w:sz w:val="1"/>
                <w:szCs w:val="1"/>
                <w:color w:val="auto"/>
              </w:rPr>
            </w:pPr>
          </w:p>
        </w:tc>
      </w:tr>
      <w:tr>
        <w:trPr>
          <w:trHeight w:val="176"/>
        </w:trPr>
        <w:tc>
          <w:tcPr>
            <w:tcW w:w="674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36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4"/>
                <w:szCs w:val="14"/>
                <w:color w:val="auto"/>
              </w:rPr>
              <w:t>(2,688)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80" w:type="dxa"/>
            <w:vAlign w:val="bottom"/>
            <w:gridSpan w:val="2"/>
          </w:tcPr>
          <w:p>
            <w:pPr>
              <w:jc w:val="right"/>
              <w:ind w:right="20"/>
              <w:spacing w:after="0"/>
              <w:rPr>
                <w:sz w:val="20"/>
                <w:szCs w:val="20"/>
                <w:color w:val="auto"/>
              </w:rPr>
            </w:pPr>
            <w:r>
              <w:rPr>
                <w:rFonts w:ascii="Arial" w:cs="Arial" w:eastAsia="Arial" w:hAnsi="Arial"/>
                <w:sz w:val="14"/>
                <w:szCs w:val="14"/>
                <w:color w:val="auto"/>
              </w:rPr>
              <w:t>(2,092)</w:t>
            </w:r>
          </w:p>
        </w:tc>
        <w:tc>
          <w:tcPr>
            <w:tcW w:w="0" w:type="dxa"/>
            <w:vAlign w:val="bottom"/>
          </w:tcPr>
          <w:p>
            <w:pPr>
              <w:spacing w:after="0"/>
              <w:rPr>
                <w:sz w:val="1"/>
                <w:szCs w:val="1"/>
                <w:color w:val="auto"/>
              </w:rPr>
            </w:pPr>
          </w:p>
        </w:tc>
      </w:tr>
      <w:tr>
        <w:trPr>
          <w:trHeight w:val="181"/>
        </w:trPr>
        <w:tc>
          <w:tcPr>
            <w:tcW w:w="6740" w:type="dxa"/>
            <w:vAlign w:val="bottom"/>
          </w:tcPr>
          <w:p>
            <w:pPr>
              <w:ind w:left="220"/>
              <w:spacing w:after="0"/>
              <w:rPr>
                <w:sz w:val="20"/>
                <w:szCs w:val="20"/>
                <w:color w:val="auto"/>
              </w:rPr>
            </w:pPr>
            <w:r>
              <w:rPr>
                <w:rFonts w:ascii="Arial" w:cs="Arial" w:eastAsia="Arial" w:hAnsi="Arial"/>
                <w:sz w:val="14"/>
                <w:szCs w:val="14"/>
                <w:color w:val="auto"/>
              </w:rPr>
              <w:t>Other, net</w:t>
            </w:r>
          </w:p>
        </w:tc>
        <w:tc>
          <w:tcPr>
            <w:tcW w:w="36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80" w:type="dxa"/>
            <w:vAlign w:val="bottom"/>
            <w:gridSpan w:val="2"/>
          </w:tcPr>
          <w:p>
            <w:pPr>
              <w:jc w:val="right"/>
              <w:ind w:right="20"/>
              <w:spacing w:after="0"/>
              <w:rPr>
                <w:sz w:val="20"/>
                <w:szCs w:val="20"/>
                <w:color w:val="auto"/>
              </w:rPr>
            </w:pPr>
            <w:r>
              <w:rPr>
                <w:rFonts w:ascii="Arial" w:cs="Arial" w:eastAsia="Arial" w:hAnsi="Arial"/>
                <w:sz w:val="14"/>
                <w:szCs w:val="14"/>
                <w:color w:val="auto"/>
              </w:rPr>
              <w:t>556</w:t>
            </w:r>
          </w:p>
        </w:tc>
        <w:tc>
          <w:tcPr>
            <w:tcW w:w="0" w:type="dxa"/>
            <w:vAlign w:val="bottom"/>
          </w:tcPr>
          <w:p>
            <w:pPr>
              <w:spacing w:after="0"/>
              <w:rPr>
                <w:sz w:val="1"/>
                <w:szCs w:val="1"/>
                <w:color w:val="auto"/>
              </w:rPr>
            </w:pPr>
          </w:p>
        </w:tc>
      </w:tr>
      <w:tr>
        <w:trPr>
          <w:trHeight w:val="169"/>
        </w:trPr>
        <w:tc>
          <w:tcPr>
            <w:tcW w:w="67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55,880</w:t>
            </w: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66,494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4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360" w:type="dxa"/>
            <w:vAlign w:val="bottom"/>
          </w:tcPr>
          <w:p>
            <w:pPr>
              <w:spacing w:after="0"/>
              <w:rPr>
                <w:sz w:val="14"/>
                <w:szCs w:val="14"/>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4"/>
                <w:szCs w:val="14"/>
                <w:color w:val="auto"/>
              </w:rPr>
              <w:t>399,946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375,347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74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36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4"/>
                <w:szCs w:val="14"/>
                <w:color w:val="auto"/>
              </w:rPr>
              <w:t>44,940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80" w:type="dxa"/>
            <w:vAlign w:val="bottom"/>
            <w:gridSpan w:val="2"/>
          </w:tcPr>
          <w:p>
            <w:pPr>
              <w:jc w:val="right"/>
              <w:ind w:right="20"/>
              <w:spacing w:after="0"/>
              <w:rPr>
                <w:sz w:val="20"/>
                <w:szCs w:val="20"/>
                <w:color w:val="auto"/>
              </w:rPr>
            </w:pPr>
            <w:r>
              <w:rPr>
                <w:rFonts w:ascii="Arial" w:cs="Arial" w:eastAsia="Arial" w:hAnsi="Arial"/>
                <w:sz w:val="14"/>
                <w:szCs w:val="14"/>
                <w:color w:val="auto"/>
              </w:rPr>
              <w:t>82,107</w:t>
            </w:r>
          </w:p>
        </w:tc>
        <w:tc>
          <w:tcPr>
            <w:tcW w:w="0" w:type="dxa"/>
            <w:vAlign w:val="bottom"/>
          </w:tcPr>
          <w:p>
            <w:pPr>
              <w:spacing w:after="0"/>
              <w:rPr>
                <w:sz w:val="1"/>
                <w:szCs w:val="1"/>
                <w:color w:val="auto"/>
              </w:rPr>
            </w:pPr>
          </w:p>
        </w:tc>
      </w:tr>
      <w:tr>
        <w:trPr>
          <w:trHeight w:val="169"/>
        </w:trPr>
        <w:tc>
          <w:tcPr>
            <w:tcW w:w="6740" w:type="dxa"/>
            <w:vAlign w:val="bottom"/>
          </w:tcPr>
          <w:p>
            <w:pPr>
              <w:spacing w:after="0"/>
              <w:rPr>
                <w:sz w:val="20"/>
                <w:szCs w:val="20"/>
                <w:color w:val="auto"/>
              </w:rPr>
            </w:pPr>
            <w:r>
              <w:rPr>
                <w:rFonts w:ascii="Arial" w:cs="Arial" w:eastAsia="Arial" w:hAnsi="Arial"/>
                <w:sz w:val="14"/>
                <w:szCs w:val="14"/>
                <w:color w:val="auto"/>
              </w:rPr>
              <w:t>Net income</w:t>
            </w:r>
          </w:p>
        </w:tc>
        <w:tc>
          <w:tcPr>
            <w:tcW w:w="3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355,006</w:t>
            </w: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293,240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4"/>
                <w:szCs w:val="14"/>
                <w:color w:val="auto"/>
              </w:rPr>
              <w:t>Shares used to compute earnings per share - basic</w:t>
            </w:r>
          </w:p>
        </w:tc>
        <w:tc>
          <w:tcPr>
            <w:tcW w:w="3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40" w:type="dxa"/>
            <w:vAlign w:val="bottom"/>
            <w:vMerge w:val="continue"/>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368,703</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20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369,093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4"/>
                <w:szCs w:val="14"/>
                <w:color w:val="auto"/>
              </w:rPr>
              <w:t>Shares used to compute earnings per share - diluted</w:t>
            </w:r>
          </w:p>
        </w:tc>
        <w:tc>
          <w:tcPr>
            <w:tcW w:w="3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40" w:type="dxa"/>
            <w:vAlign w:val="bottom"/>
            <w:vMerge w:val="continue"/>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372,506</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20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374,189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4"/>
                <w:szCs w:val="14"/>
                <w:color w:val="auto"/>
              </w:rPr>
              <w:t>Basic earnings per common share</w:t>
            </w:r>
          </w:p>
        </w:tc>
        <w:tc>
          <w:tcPr>
            <w:tcW w:w="3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40" w:type="dxa"/>
            <w:vAlign w:val="bottom"/>
            <w:vMerge w:val="continue"/>
          </w:tcPr>
          <w:p>
            <w:pPr>
              <w:spacing w:after="0"/>
              <w:rPr>
                <w:sz w:val="13"/>
                <w:szCs w:val="13"/>
                <w:color w:val="auto"/>
              </w:rPr>
            </w:pPr>
          </w:p>
        </w:tc>
        <w:tc>
          <w:tcPr>
            <w:tcW w:w="36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16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0.96</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20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4"/>
                <w:szCs w:val="14"/>
                <w:color w:val="auto"/>
              </w:rPr>
              <w:t>Diluted earnings per common share</w:t>
            </w:r>
          </w:p>
        </w:tc>
        <w:tc>
          <w:tcPr>
            <w:tcW w:w="3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40" w:type="dxa"/>
            <w:vAlign w:val="bottom"/>
            <w:vMerge w:val="continue"/>
          </w:tcPr>
          <w:p>
            <w:pPr>
              <w:spacing w:after="0"/>
              <w:rPr>
                <w:sz w:val="13"/>
                <w:szCs w:val="13"/>
                <w:color w:val="auto"/>
              </w:rPr>
            </w:pPr>
          </w:p>
        </w:tc>
        <w:tc>
          <w:tcPr>
            <w:tcW w:w="36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16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0.95</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20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4"/>
                <w:szCs w:val="14"/>
                <w:color w:val="auto"/>
              </w:rPr>
              <w:t>Dividends declared and paid per share</w:t>
            </w:r>
          </w:p>
        </w:tc>
        <w:tc>
          <w:tcPr>
            <w:tcW w:w="3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40" w:type="dxa"/>
            <w:vAlign w:val="bottom"/>
            <w:vMerge w:val="continue"/>
          </w:tcPr>
          <w:p>
            <w:pPr>
              <w:spacing w:after="0"/>
              <w:rPr>
                <w:sz w:val="13"/>
                <w:szCs w:val="13"/>
                <w:color w:val="auto"/>
              </w:rPr>
            </w:pPr>
          </w:p>
        </w:tc>
        <w:tc>
          <w:tcPr>
            <w:tcW w:w="36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16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0.48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20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740" w:type="dxa"/>
            <w:vAlign w:val="bottom"/>
          </w:tcPr>
          <w:p>
            <w:pPr>
              <w:spacing w:after="0"/>
              <w:rPr>
                <w:sz w:val="20"/>
                <w:szCs w:val="20"/>
                <w:color w:val="auto"/>
              </w:rPr>
            </w:pPr>
            <w:r>
              <w:rPr>
                <w:rFonts w:ascii="Arial" w:cs="Arial" w:eastAsia="Arial" w:hAnsi="Arial"/>
                <w:sz w:val="14"/>
                <w:szCs w:val="14"/>
                <w:color w:val="auto"/>
              </w:rPr>
              <w:t>(1) Includes stock-based compensation expense as follows:</w:t>
            </w:r>
          </w:p>
        </w:tc>
        <w:tc>
          <w:tcPr>
            <w:tcW w:w="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40" w:type="dxa"/>
            <w:vAlign w:val="bottom"/>
          </w:tcPr>
          <w:p>
            <w:pPr>
              <w:ind w:left="620"/>
              <w:spacing w:after="0"/>
              <w:rPr>
                <w:sz w:val="20"/>
                <w:szCs w:val="20"/>
                <w:color w:val="auto"/>
              </w:rPr>
            </w:pPr>
            <w:r>
              <w:rPr>
                <w:rFonts w:ascii="Arial" w:cs="Arial" w:eastAsia="Arial" w:hAnsi="Arial"/>
                <w:sz w:val="14"/>
                <w:szCs w:val="14"/>
                <w:color w:val="auto"/>
              </w:rPr>
              <w:t>Cost of sales</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0"/>
              <w:spacing w:after="0"/>
              <w:rPr>
                <w:sz w:val="20"/>
                <w:szCs w:val="20"/>
                <w:color w:val="auto"/>
              </w:rPr>
            </w:pPr>
            <w:r>
              <w:rPr>
                <w:rFonts w:ascii="Arial" w:cs="Arial" w:eastAsia="Arial" w:hAnsi="Arial"/>
                <w:sz w:val="14"/>
                <w:szCs w:val="14"/>
                <w:color w:val="auto"/>
              </w:rPr>
              <w:t>5,084</w:t>
            </w:r>
          </w:p>
        </w:tc>
        <w:tc>
          <w:tcPr>
            <w:tcW w:w="100" w:type="dxa"/>
            <w:vAlign w:val="bottom"/>
          </w:tcPr>
          <w:p>
            <w:pPr>
              <w:spacing w:after="0"/>
              <w:rPr>
                <w:sz w:val="15"/>
                <w:szCs w:val="15"/>
                <w:color w:val="auto"/>
              </w:rPr>
            </w:pP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80" w:type="dxa"/>
            <w:vAlign w:val="bottom"/>
            <w:gridSpan w:val="2"/>
          </w:tcPr>
          <w:p>
            <w:pPr>
              <w:jc w:val="right"/>
              <w:ind w:right="20"/>
              <w:spacing w:after="0"/>
              <w:rPr>
                <w:sz w:val="20"/>
                <w:szCs w:val="20"/>
                <w:color w:val="auto"/>
              </w:rPr>
            </w:pPr>
            <w:r>
              <w:rPr>
                <w:rFonts w:ascii="Arial" w:cs="Arial" w:eastAsia="Arial" w:hAnsi="Arial"/>
                <w:sz w:val="14"/>
                <w:szCs w:val="14"/>
                <w:color w:val="auto"/>
              </w:rPr>
              <w:t>4,221</w:t>
            </w:r>
          </w:p>
        </w:tc>
        <w:tc>
          <w:tcPr>
            <w:tcW w:w="0" w:type="dxa"/>
            <w:vAlign w:val="bottom"/>
          </w:tcPr>
          <w:p>
            <w:pPr>
              <w:spacing w:after="0"/>
              <w:rPr>
                <w:sz w:val="1"/>
                <w:szCs w:val="1"/>
                <w:color w:val="auto"/>
              </w:rPr>
            </w:pPr>
          </w:p>
        </w:tc>
      </w:tr>
      <w:tr>
        <w:trPr>
          <w:trHeight w:val="176"/>
        </w:trPr>
        <w:tc>
          <w:tcPr>
            <w:tcW w:w="6740" w:type="dxa"/>
            <w:vAlign w:val="bottom"/>
          </w:tcPr>
          <w:p>
            <w:pPr>
              <w:ind w:left="620"/>
              <w:spacing w:after="0"/>
              <w:rPr>
                <w:sz w:val="20"/>
                <w:szCs w:val="20"/>
                <w:color w:val="auto"/>
              </w:rPr>
            </w:pPr>
            <w:r>
              <w:rPr>
                <w:rFonts w:ascii="Arial" w:cs="Arial" w:eastAsia="Arial" w:hAnsi="Arial"/>
                <w:sz w:val="14"/>
                <w:szCs w:val="14"/>
                <w:color w:val="auto"/>
              </w:rPr>
              <w:t>Research and development</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0"/>
              <w:spacing w:after="0"/>
              <w:rPr>
                <w:sz w:val="20"/>
                <w:szCs w:val="20"/>
                <w:color w:val="auto"/>
              </w:rPr>
            </w:pPr>
            <w:r>
              <w:rPr>
                <w:rFonts w:ascii="Arial" w:cs="Arial" w:eastAsia="Arial" w:hAnsi="Arial"/>
                <w:sz w:val="14"/>
                <w:szCs w:val="14"/>
                <w:color w:val="auto"/>
              </w:rPr>
              <w:t>18,925</w:t>
            </w:r>
          </w:p>
        </w:tc>
        <w:tc>
          <w:tcPr>
            <w:tcW w:w="100" w:type="dxa"/>
            <w:vAlign w:val="bottom"/>
          </w:tcPr>
          <w:p>
            <w:pPr>
              <w:spacing w:after="0"/>
              <w:rPr>
                <w:sz w:val="15"/>
                <w:szCs w:val="15"/>
                <w:color w:val="auto"/>
              </w:rPr>
            </w:pP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80" w:type="dxa"/>
            <w:vAlign w:val="bottom"/>
            <w:gridSpan w:val="2"/>
          </w:tcPr>
          <w:p>
            <w:pPr>
              <w:jc w:val="right"/>
              <w:ind w:right="20"/>
              <w:spacing w:after="0"/>
              <w:rPr>
                <w:sz w:val="20"/>
                <w:szCs w:val="20"/>
                <w:color w:val="auto"/>
              </w:rPr>
            </w:pPr>
            <w:r>
              <w:rPr>
                <w:rFonts w:ascii="Arial" w:cs="Arial" w:eastAsia="Arial" w:hAnsi="Arial"/>
                <w:sz w:val="14"/>
                <w:szCs w:val="14"/>
                <w:color w:val="auto"/>
              </w:rPr>
              <w:t>19,728</w:t>
            </w:r>
          </w:p>
        </w:tc>
        <w:tc>
          <w:tcPr>
            <w:tcW w:w="0" w:type="dxa"/>
            <w:vAlign w:val="bottom"/>
          </w:tcPr>
          <w:p>
            <w:pPr>
              <w:spacing w:after="0"/>
              <w:rPr>
                <w:sz w:val="1"/>
                <w:szCs w:val="1"/>
                <w:color w:val="auto"/>
              </w:rPr>
            </w:pPr>
          </w:p>
        </w:tc>
      </w:tr>
      <w:tr>
        <w:trPr>
          <w:trHeight w:val="182"/>
        </w:trPr>
        <w:tc>
          <w:tcPr>
            <w:tcW w:w="6740" w:type="dxa"/>
            <w:vAlign w:val="bottom"/>
          </w:tcPr>
          <w:p>
            <w:pPr>
              <w:ind w:left="620"/>
              <w:spacing w:after="0"/>
              <w:rPr>
                <w:sz w:val="20"/>
                <w:szCs w:val="20"/>
                <w:color w:val="auto"/>
              </w:rPr>
            </w:pPr>
            <w:r>
              <w:rPr>
                <w:rFonts w:ascii="Arial" w:cs="Arial" w:eastAsia="Arial" w:hAnsi="Arial"/>
                <w:sz w:val="14"/>
                <w:szCs w:val="14"/>
                <w:color w:val="auto"/>
              </w:rPr>
              <w:t>Selling, marketing, general and administrative</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0"/>
              <w:spacing w:after="0"/>
              <w:rPr>
                <w:sz w:val="20"/>
                <w:szCs w:val="20"/>
                <w:color w:val="auto"/>
              </w:rPr>
            </w:pPr>
            <w:r>
              <w:rPr>
                <w:rFonts w:ascii="Arial" w:cs="Arial" w:eastAsia="Arial" w:hAnsi="Arial"/>
                <w:sz w:val="14"/>
                <w:szCs w:val="14"/>
                <w:color w:val="auto"/>
              </w:rPr>
              <w:t>12,384</w:t>
            </w:r>
          </w:p>
        </w:tc>
        <w:tc>
          <w:tcPr>
            <w:tcW w:w="100" w:type="dxa"/>
            <w:vAlign w:val="bottom"/>
          </w:tcPr>
          <w:p>
            <w:pPr>
              <w:spacing w:after="0"/>
              <w:rPr>
                <w:sz w:val="15"/>
                <w:szCs w:val="15"/>
                <w:color w:val="auto"/>
              </w:rPr>
            </w:pP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80" w:type="dxa"/>
            <w:vAlign w:val="bottom"/>
            <w:gridSpan w:val="2"/>
          </w:tcPr>
          <w:p>
            <w:pPr>
              <w:jc w:val="right"/>
              <w:ind w:right="20"/>
              <w:spacing w:after="0"/>
              <w:rPr>
                <w:sz w:val="20"/>
                <w:szCs w:val="20"/>
                <w:color w:val="auto"/>
              </w:rPr>
            </w:pPr>
            <w:r>
              <w:rPr>
                <w:rFonts w:ascii="Arial" w:cs="Arial" w:eastAsia="Arial" w:hAnsi="Arial"/>
                <w:sz w:val="14"/>
                <w:szCs w:val="14"/>
                <w:color w:val="auto"/>
              </w:rPr>
              <w:t>13,953</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(2) Balances have been restated to reflect the full retrospective adoption of Accounting Standards Update (ASU) 2014-09, Revenue from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27202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ANALOG DEVICES,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1960" w:type="dxa"/>
            <w:vAlign w:val="bottom"/>
          </w:tcPr>
          <w:p>
            <w:pPr>
              <w:jc w:val="right"/>
              <w:ind w:right="28"/>
              <w:spacing w:after="0"/>
              <w:rPr>
                <w:sz w:val="20"/>
                <w:szCs w:val="20"/>
                <w:color w:val="auto"/>
              </w:rPr>
            </w:pPr>
            <w:r>
              <w:rPr>
                <w:rFonts w:ascii="Arial" w:cs="Arial" w:eastAsia="Arial" w:hAnsi="Arial"/>
                <w:sz w:val="14"/>
                <w:szCs w:val="14"/>
                <w:b w:val="1"/>
                <w:bCs w:val="1"/>
                <w:color w:val="auto"/>
              </w:rPr>
              <w:t>February 2, 2019</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2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November 3, 2018 (1)</w:t>
            </w:r>
          </w:p>
        </w:tc>
      </w:tr>
      <w:tr>
        <w:trPr>
          <w:trHeight w:val="164"/>
        </w:trPr>
        <w:tc>
          <w:tcPr>
            <w:tcW w:w="51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960" w:type="dxa"/>
            <w:vAlign w:val="bottom"/>
            <w:tcBorders>
              <w:top w:val="single" w:sz="8" w:color="auto"/>
            </w:tcBorders>
          </w:tcPr>
          <w:p>
            <w:pPr>
              <w:jc w:val="right"/>
              <w:ind w:right="16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605,864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2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816,591</w:t>
            </w:r>
          </w:p>
        </w:tc>
        <w:tc>
          <w:tcPr>
            <w:tcW w:w="20" w:type="dxa"/>
            <w:vAlign w:val="bottom"/>
          </w:tcPr>
          <w:p>
            <w:pPr>
              <w:spacing w:after="0"/>
              <w:rPr>
                <w:sz w:val="14"/>
                <w:szCs w:val="14"/>
                <w:color w:val="auto"/>
              </w:rPr>
            </w:pPr>
          </w:p>
        </w:tc>
      </w:tr>
      <w:tr>
        <w:trPr>
          <w:trHeight w:val="176"/>
        </w:trPr>
        <w:tc>
          <w:tcPr>
            <w:tcW w:w="5160" w:type="dxa"/>
            <w:vAlign w:val="bottom"/>
          </w:tcPr>
          <w:p>
            <w:pPr>
              <w:spacing w:after="0"/>
              <w:rPr>
                <w:sz w:val="20"/>
                <w:szCs w:val="20"/>
                <w:color w:val="auto"/>
              </w:rPr>
            </w:pPr>
            <w:r>
              <w:rPr>
                <w:rFonts w:ascii="Arial" w:cs="Arial" w:eastAsia="Arial" w:hAnsi="Arial"/>
                <w:sz w:val="14"/>
                <w:szCs w:val="14"/>
                <w:color w:val="auto"/>
              </w:rPr>
              <w:t>Accounts receivable</w:t>
            </w:r>
          </w:p>
        </w:tc>
        <w:tc>
          <w:tcPr>
            <w:tcW w:w="1960" w:type="dxa"/>
            <w:vAlign w:val="bottom"/>
          </w:tcPr>
          <w:p>
            <w:pPr>
              <w:spacing w:after="0"/>
              <w:rPr>
                <w:sz w:val="15"/>
                <w:szCs w:val="15"/>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713,730</w:t>
            </w:r>
          </w:p>
        </w:tc>
        <w:tc>
          <w:tcPr>
            <w:tcW w:w="700" w:type="dxa"/>
            <w:vAlign w:val="bottom"/>
          </w:tcPr>
          <w:p>
            <w:pPr>
              <w:spacing w:after="0"/>
              <w:rPr>
                <w:sz w:val="15"/>
                <w:szCs w:val="15"/>
                <w:color w:val="auto"/>
              </w:rPr>
            </w:pPr>
          </w:p>
        </w:tc>
        <w:tc>
          <w:tcPr>
            <w:tcW w:w="2720" w:type="dxa"/>
            <w:vAlign w:val="bottom"/>
            <w:gridSpan w:val="2"/>
          </w:tcPr>
          <w:p>
            <w:pPr>
              <w:jc w:val="right"/>
              <w:ind w:right="20"/>
              <w:spacing w:after="0"/>
              <w:rPr>
                <w:sz w:val="20"/>
                <w:szCs w:val="20"/>
                <w:color w:val="auto"/>
              </w:rPr>
            </w:pPr>
            <w:r>
              <w:rPr>
                <w:rFonts w:ascii="Arial" w:cs="Arial" w:eastAsia="Arial" w:hAnsi="Arial"/>
                <w:sz w:val="14"/>
                <w:szCs w:val="14"/>
                <w:color w:val="auto"/>
              </w:rPr>
              <w:t>639,717</w:t>
            </w:r>
          </w:p>
        </w:tc>
      </w:tr>
      <w:tr>
        <w:trPr>
          <w:trHeight w:val="176"/>
        </w:trPr>
        <w:tc>
          <w:tcPr>
            <w:tcW w:w="5160" w:type="dxa"/>
            <w:vAlign w:val="bottom"/>
          </w:tcPr>
          <w:p>
            <w:pPr>
              <w:spacing w:after="0"/>
              <w:rPr>
                <w:sz w:val="20"/>
                <w:szCs w:val="20"/>
                <w:color w:val="auto"/>
              </w:rPr>
            </w:pPr>
            <w:r>
              <w:rPr>
                <w:rFonts w:ascii="Arial" w:cs="Arial" w:eastAsia="Arial" w:hAnsi="Arial"/>
                <w:sz w:val="14"/>
                <w:szCs w:val="14"/>
                <w:color w:val="auto"/>
              </w:rPr>
              <w:t>Inventories (2)</w:t>
            </w:r>
          </w:p>
        </w:tc>
        <w:tc>
          <w:tcPr>
            <w:tcW w:w="196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593,211</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720" w:type="dxa"/>
            <w:vAlign w:val="bottom"/>
            <w:gridSpan w:val="2"/>
          </w:tcPr>
          <w:p>
            <w:pPr>
              <w:jc w:val="right"/>
              <w:ind w:right="20"/>
              <w:spacing w:after="0"/>
              <w:rPr>
                <w:sz w:val="20"/>
                <w:szCs w:val="20"/>
                <w:color w:val="auto"/>
              </w:rPr>
            </w:pPr>
            <w:r>
              <w:rPr>
                <w:rFonts w:ascii="Arial" w:cs="Arial" w:eastAsia="Arial" w:hAnsi="Arial"/>
                <w:sz w:val="14"/>
                <w:szCs w:val="14"/>
                <w:color w:val="auto"/>
              </w:rPr>
              <w:t>586,760</w:t>
            </w:r>
          </w:p>
        </w:tc>
      </w:tr>
      <w:tr>
        <w:trPr>
          <w:trHeight w:val="181"/>
        </w:trPr>
        <w:tc>
          <w:tcPr>
            <w:tcW w:w="5160" w:type="dxa"/>
            <w:vAlign w:val="bottom"/>
          </w:tcPr>
          <w:p>
            <w:pPr>
              <w:spacing w:after="0"/>
              <w:rPr>
                <w:sz w:val="20"/>
                <w:szCs w:val="20"/>
                <w:color w:val="auto"/>
              </w:rPr>
            </w:pPr>
            <w:r>
              <w:rPr>
                <w:rFonts w:ascii="Arial" w:cs="Arial" w:eastAsia="Arial" w:hAnsi="Arial"/>
                <w:sz w:val="14"/>
                <w:szCs w:val="14"/>
                <w:color w:val="auto"/>
              </w:rPr>
              <w:t>Other current assets</w:t>
            </w:r>
          </w:p>
        </w:tc>
        <w:tc>
          <w:tcPr>
            <w:tcW w:w="1960" w:type="dxa"/>
            <w:vAlign w:val="bottom"/>
          </w:tcPr>
          <w:p>
            <w:pPr>
              <w:spacing w:after="0"/>
              <w:rPr>
                <w:sz w:val="15"/>
                <w:szCs w:val="15"/>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72,375</w:t>
            </w:r>
          </w:p>
        </w:tc>
        <w:tc>
          <w:tcPr>
            <w:tcW w:w="700" w:type="dxa"/>
            <w:vAlign w:val="bottom"/>
          </w:tcPr>
          <w:p>
            <w:pPr>
              <w:spacing w:after="0"/>
              <w:rPr>
                <w:sz w:val="15"/>
                <w:szCs w:val="15"/>
                <w:color w:val="auto"/>
              </w:rPr>
            </w:pPr>
          </w:p>
        </w:tc>
        <w:tc>
          <w:tcPr>
            <w:tcW w:w="2720" w:type="dxa"/>
            <w:vAlign w:val="bottom"/>
            <w:gridSpan w:val="2"/>
          </w:tcPr>
          <w:p>
            <w:pPr>
              <w:jc w:val="right"/>
              <w:ind w:right="20"/>
              <w:spacing w:after="0"/>
              <w:rPr>
                <w:sz w:val="20"/>
                <w:szCs w:val="20"/>
                <w:color w:val="auto"/>
              </w:rPr>
            </w:pPr>
            <w:r>
              <w:rPr>
                <w:rFonts w:ascii="Arial" w:cs="Arial" w:eastAsia="Arial" w:hAnsi="Arial"/>
                <w:sz w:val="14"/>
                <w:szCs w:val="14"/>
                <w:color w:val="auto"/>
              </w:rPr>
              <w:t>69,058</w:t>
            </w:r>
          </w:p>
        </w:tc>
      </w:tr>
      <w:tr>
        <w:trPr>
          <w:trHeight w:val="169"/>
        </w:trPr>
        <w:tc>
          <w:tcPr>
            <w:tcW w:w="5160" w:type="dxa"/>
            <w:vAlign w:val="bottom"/>
          </w:tcPr>
          <w:p>
            <w:pPr>
              <w:spacing w:after="0"/>
              <w:rPr>
                <w:sz w:val="20"/>
                <w:szCs w:val="20"/>
                <w:color w:val="auto"/>
              </w:rPr>
            </w:pPr>
            <w:r>
              <w:rPr>
                <w:rFonts w:ascii="Arial" w:cs="Arial" w:eastAsia="Arial" w:hAnsi="Arial"/>
                <w:sz w:val="14"/>
                <w:szCs w:val="14"/>
                <w:color w:val="auto"/>
              </w:rPr>
              <w:t>Total current assets</w:t>
            </w:r>
          </w:p>
        </w:tc>
        <w:tc>
          <w:tcPr>
            <w:tcW w:w="19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1,985,180</w:t>
            </w:r>
          </w:p>
        </w:tc>
        <w:tc>
          <w:tcPr>
            <w:tcW w:w="140" w:type="dxa"/>
            <w:vAlign w:val="bottom"/>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2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2,112,126</w:t>
            </w:r>
          </w:p>
        </w:tc>
        <w:tc>
          <w:tcPr>
            <w:tcW w:w="20" w:type="dxa"/>
            <w:vAlign w:val="bottom"/>
          </w:tcPr>
          <w:p>
            <w:pPr>
              <w:spacing w:after="0"/>
              <w:rPr>
                <w:sz w:val="14"/>
                <w:szCs w:val="14"/>
                <w:color w:val="auto"/>
              </w:rPr>
            </w:pPr>
          </w:p>
        </w:tc>
      </w:tr>
      <w:tr>
        <w:trPr>
          <w:trHeight w:val="164"/>
        </w:trPr>
        <w:tc>
          <w:tcPr>
            <w:tcW w:w="5160" w:type="dxa"/>
            <w:vAlign w:val="bottom"/>
          </w:tcPr>
          <w:p>
            <w:pPr>
              <w:spacing w:after="0"/>
              <w:rPr>
                <w:sz w:val="20"/>
                <w:szCs w:val="20"/>
                <w:color w:val="auto"/>
              </w:rPr>
            </w:pPr>
            <w:r>
              <w:rPr>
                <w:rFonts w:ascii="Arial" w:cs="Arial" w:eastAsia="Arial" w:hAnsi="Arial"/>
                <w:sz w:val="14"/>
                <w:szCs w:val="14"/>
                <w:color w:val="auto"/>
              </w:rPr>
              <w:t>Net property, plant and equipment</w:t>
            </w:r>
          </w:p>
        </w:tc>
        <w:tc>
          <w:tcPr>
            <w:tcW w:w="19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1,181,735</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700" w:type="dxa"/>
            <w:vAlign w:val="bottom"/>
          </w:tcPr>
          <w:p>
            <w:pPr>
              <w:jc w:val="right"/>
              <w:spacing w:after="0"/>
              <w:rPr>
                <w:sz w:val="20"/>
                <w:szCs w:val="20"/>
                <w:color w:val="auto"/>
              </w:rPr>
            </w:pPr>
            <w:r>
              <w:rPr>
                <w:rFonts w:ascii="Arial" w:cs="Arial" w:eastAsia="Arial" w:hAnsi="Arial"/>
                <w:sz w:val="14"/>
                <w:szCs w:val="14"/>
                <w:color w:val="auto"/>
              </w:rPr>
              <w:t>1,154,328</w:t>
            </w:r>
          </w:p>
        </w:tc>
        <w:tc>
          <w:tcPr>
            <w:tcW w:w="20" w:type="dxa"/>
            <w:vAlign w:val="bottom"/>
          </w:tcPr>
          <w:p>
            <w:pPr>
              <w:spacing w:after="0"/>
              <w:rPr>
                <w:sz w:val="14"/>
                <w:szCs w:val="14"/>
                <w:color w:val="auto"/>
              </w:rPr>
            </w:pPr>
          </w:p>
        </w:tc>
      </w:tr>
      <w:tr>
        <w:trPr>
          <w:trHeight w:val="176"/>
        </w:trPr>
        <w:tc>
          <w:tcPr>
            <w:tcW w:w="5160" w:type="dxa"/>
            <w:vAlign w:val="bottom"/>
          </w:tcPr>
          <w:p>
            <w:pPr>
              <w:spacing w:after="0"/>
              <w:rPr>
                <w:sz w:val="20"/>
                <w:szCs w:val="20"/>
                <w:color w:val="auto"/>
              </w:rPr>
            </w:pPr>
            <w:r>
              <w:rPr>
                <w:rFonts w:ascii="Arial" w:cs="Arial" w:eastAsia="Arial" w:hAnsi="Arial"/>
                <w:sz w:val="14"/>
                <w:szCs w:val="14"/>
                <w:color w:val="auto"/>
              </w:rPr>
              <w:t>Investments</w:t>
            </w:r>
          </w:p>
        </w:tc>
        <w:tc>
          <w:tcPr>
            <w:tcW w:w="1960" w:type="dxa"/>
            <w:vAlign w:val="bottom"/>
          </w:tcPr>
          <w:p>
            <w:pPr>
              <w:spacing w:after="0"/>
              <w:rPr>
                <w:sz w:val="15"/>
                <w:szCs w:val="15"/>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78,127</w:t>
            </w:r>
          </w:p>
        </w:tc>
        <w:tc>
          <w:tcPr>
            <w:tcW w:w="700" w:type="dxa"/>
            <w:vAlign w:val="bottom"/>
          </w:tcPr>
          <w:p>
            <w:pPr>
              <w:spacing w:after="0"/>
              <w:rPr>
                <w:sz w:val="15"/>
                <w:szCs w:val="15"/>
                <w:color w:val="auto"/>
              </w:rPr>
            </w:pPr>
          </w:p>
        </w:tc>
        <w:tc>
          <w:tcPr>
            <w:tcW w:w="2720" w:type="dxa"/>
            <w:vAlign w:val="bottom"/>
            <w:gridSpan w:val="2"/>
          </w:tcPr>
          <w:p>
            <w:pPr>
              <w:jc w:val="right"/>
              <w:ind w:right="20"/>
              <w:spacing w:after="0"/>
              <w:rPr>
                <w:sz w:val="20"/>
                <w:szCs w:val="20"/>
                <w:color w:val="auto"/>
              </w:rPr>
            </w:pPr>
            <w:r>
              <w:rPr>
                <w:rFonts w:ascii="Arial" w:cs="Arial" w:eastAsia="Arial" w:hAnsi="Arial"/>
                <w:sz w:val="14"/>
                <w:szCs w:val="14"/>
                <w:color w:val="auto"/>
              </w:rPr>
              <w:t>68,583</w:t>
            </w:r>
          </w:p>
        </w:tc>
      </w:tr>
      <w:tr>
        <w:trPr>
          <w:trHeight w:val="176"/>
        </w:trPr>
        <w:tc>
          <w:tcPr>
            <w:tcW w:w="5160" w:type="dxa"/>
            <w:vAlign w:val="bottom"/>
          </w:tcPr>
          <w:p>
            <w:pPr>
              <w:spacing w:after="0"/>
              <w:rPr>
                <w:sz w:val="20"/>
                <w:szCs w:val="20"/>
                <w:color w:val="auto"/>
              </w:rPr>
            </w:pPr>
            <w:r>
              <w:rPr>
                <w:rFonts w:ascii="Arial" w:cs="Arial" w:eastAsia="Arial" w:hAnsi="Arial"/>
                <w:sz w:val="14"/>
                <w:szCs w:val="14"/>
                <w:color w:val="auto"/>
              </w:rPr>
              <w:t>Goodwill</w:t>
            </w:r>
          </w:p>
        </w:tc>
        <w:tc>
          <w:tcPr>
            <w:tcW w:w="196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12,253,891</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720" w:type="dxa"/>
            <w:vAlign w:val="bottom"/>
            <w:gridSpan w:val="2"/>
          </w:tcPr>
          <w:p>
            <w:pPr>
              <w:jc w:val="right"/>
              <w:ind w:right="20"/>
              <w:spacing w:after="0"/>
              <w:rPr>
                <w:sz w:val="20"/>
                <w:szCs w:val="20"/>
                <w:color w:val="auto"/>
              </w:rPr>
            </w:pPr>
            <w:r>
              <w:rPr>
                <w:rFonts w:ascii="Arial" w:cs="Arial" w:eastAsia="Arial" w:hAnsi="Arial"/>
                <w:sz w:val="14"/>
                <w:szCs w:val="14"/>
                <w:color w:val="auto"/>
              </w:rPr>
              <w:t>12,252,604</w:t>
            </w:r>
          </w:p>
        </w:tc>
      </w:tr>
      <w:tr>
        <w:trPr>
          <w:trHeight w:val="176"/>
        </w:trPr>
        <w:tc>
          <w:tcPr>
            <w:tcW w:w="5160" w:type="dxa"/>
            <w:vAlign w:val="bottom"/>
          </w:tcPr>
          <w:p>
            <w:pPr>
              <w:spacing w:after="0"/>
              <w:rPr>
                <w:sz w:val="20"/>
                <w:szCs w:val="20"/>
                <w:color w:val="auto"/>
              </w:rPr>
            </w:pPr>
            <w:r>
              <w:rPr>
                <w:rFonts w:ascii="Arial" w:cs="Arial" w:eastAsia="Arial" w:hAnsi="Arial"/>
                <w:sz w:val="14"/>
                <w:szCs w:val="14"/>
                <w:color w:val="auto"/>
              </w:rPr>
              <w:t>Intangible assets, net</w:t>
            </w:r>
          </w:p>
        </w:tc>
        <w:tc>
          <w:tcPr>
            <w:tcW w:w="196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4,631,697</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720" w:type="dxa"/>
            <w:vAlign w:val="bottom"/>
            <w:gridSpan w:val="2"/>
          </w:tcPr>
          <w:p>
            <w:pPr>
              <w:jc w:val="right"/>
              <w:ind w:right="20"/>
              <w:spacing w:after="0"/>
              <w:rPr>
                <w:sz w:val="20"/>
                <w:szCs w:val="20"/>
                <w:color w:val="auto"/>
              </w:rPr>
            </w:pPr>
            <w:r>
              <w:rPr>
                <w:rFonts w:ascii="Arial" w:cs="Arial" w:eastAsia="Arial" w:hAnsi="Arial"/>
                <w:sz w:val="14"/>
                <w:szCs w:val="14"/>
                <w:color w:val="auto"/>
              </w:rPr>
              <w:t>4,778,192</w:t>
            </w:r>
          </w:p>
        </w:tc>
      </w:tr>
      <w:tr>
        <w:trPr>
          <w:trHeight w:val="176"/>
        </w:trPr>
        <w:tc>
          <w:tcPr>
            <w:tcW w:w="5160" w:type="dxa"/>
            <w:vAlign w:val="bottom"/>
          </w:tcPr>
          <w:p>
            <w:pPr>
              <w:spacing w:after="0"/>
              <w:rPr>
                <w:sz w:val="20"/>
                <w:szCs w:val="20"/>
                <w:color w:val="auto"/>
              </w:rPr>
            </w:pPr>
            <w:r>
              <w:rPr>
                <w:rFonts w:ascii="Arial" w:cs="Arial" w:eastAsia="Arial" w:hAnsi="Arial"/>
                <w:sz w:val="14"/>
                <w:szCs w:val="14"/>
                <w:color w:val="auto"/>
              </w:rPr>
              <w:t>Deferred tax assets (3)</w:t>
            </w:r>
          </w:p>
        </w:tc>
        <w:tc>
          <w:tcPr>
            <w:tcW w:w="196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1,634,719</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720" w:type="dxa"/>
            <w:vAlign w:val="bottom"/>
            <w:gridSpan w:val="2"/>
          </w:tcPr>
          <w:p>
            <w:pPr>
              <w:jc w:val="right"/>
              <w:ind w:right="20"/>
              <w:spacing w:after="0"/>
              <w:rPr>
                <w:sz w:val="20"/>
                <w:szCs w:val="20"/>
                <w:color w:val="auto"/>
              </w:rPr>
            </w:pPr>
            <w:r>
              <w:rPr>
                <w:rFonts w:ascii="Arial" w:cs="Arial" w:eastAsia="Arial" w:hAnsi="Arial"/>
                <w:sz w:val="14"/>
                <w:szCs w:val="14"/>
                <w:color w:val="auto"/>
              </w:rPr>
              <w:t>1,725</w:t>
            </w:r>
          </w:p>
        </w:tc>
      </w:tr>
      <w:tr>
        <w:trPr>
          <w:trHeight w:val="181"/>
        </w:trPr>
        <w:tc>
          <w:tcPr>
            <w:tcW w:w="5160" w:type="dxa"/>
            <w:vAlign w:val="bottom"/>
          </w:tcPr>
          <w:p>
            <w:pPr>
              <w:spacing w:after="0"/>
              <w:rPr>
                <w:sz w:val="20"/>
                <w:szCs w:val="20"/>
                <w:color w:val="auto"/>
              </w:rPr>
            </w:pPr>
            <w:r>
              <w:rPr>
                <w:rFonts w:ascii="Arial" w:cs="Arial" w:eastAsia="Arial" w:hAnsi="Arial"/>
                <w:sz w:val="14"/>
                <w:szCs w:val="14"/>
                <w:color w:val="auto"/>
              </w:rPr>
              <w:t>Other</w:t>
            </w:r>
          </w:p>
        </w:tc>
        <w:tc>
          <w:tcPr>
            <w:tcW w:w="1960" w:type="dxa"/>
            <w:vAlign w:val="bottom"/>
          </w:tcPr>
          <w:p>
            <w:pPr>
              <w:spacing w:after="0"/>
              <w:rPr>
                <w:sz w:val="15"/>
                <w:szCs w:val="15"/>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62,929</w:t>
            </w:r>
          </w:p>
        </w:tc>
        <w:tc>
          <w:tcPr>
            <w:tcW w:w="700" w:type="dxa"/>
            <w:vAlign w:val="bottom"/>
          </w:tcPr>
          <w:p>
            <w:pPr>
              <w:spacing w:after="0"/>
              <w:rPr>
                <w:sz w:val="15"/>
                <w:szCs w:val="15"/>
                <w:color w:val="auto"/>
              </w:rPr>
            </w:pPr>
          </w:p>
        </w:tc>
        <w:tc>
          <w:tcPr>
            <w:tcW w:w="2720" w:type="dxa"/>
            <w:vAlign w:val="bottom"/>
            <w:gridSpan w:val="2"/>
          </w:tcPr>
          <w:p>
            <w:pPr>
              <w:jc w:val="right"/>
              <w:ind w:right="20"/>
              <w:spacing w:after="0"/>
              <w:rPr>
                <w:sz w:val="20"/>
                <w:szCs w:val="20"/>
                <w:color w:val="auto"/>
              </w:rPr>
            </w:pPr>
            <w:r>
              <w:rPr>
                <w:rFonts w:ascii="Arial" w:cs="Arial" w:eastAsia="Arial" w:hAnsi="Arial"/>
                <w:sz w:val="14"/>
                <w:szCs w:val="14"/>
                <w:color w:val="auto"/>
              </w:rPr>
              <w:t>62,868</w:t>
            </w:r>
          </w:p>
        </w:tc>
      </w:tr>
      <w:tr>
        <w:trPr>
          <w:trHeight w:val="169"/>
        </w:trPr>
        <w:tc>
          <w:tcPr>
            <w:tcW w:w="5160" w:type="dxa"/>
            <w:vAlign w:val="bottom"/>
          </w:tcPr>
          <w:p>
            <w:pPr>
              <w:spacing w:after="0"/>
              <w:rPr>
                <w:sz w:val="20"/>
                <w:szCs w:val="20"/>
                <w:color w:val="auto"/>
              </w:rPr>
            </w:pPr>
            <w:r>
              <w:rPr>
                <w:rFonts w:ascii="Arial" w:cs="Arial" w:eastAsia="Arial" w:hAnsi="Arial"/>
                <w:sz w:val="14"/>
                <w:szCs w:val="14"/>
                <w:color w:val="auto"/>
              </w:rPr>
              <w:t>Total assets</w:t>
            </w:r>
          </w:p>
        </w:tc>
        <w:tc>
          <w:tcPr>
            <w:tcW w:w="1960" w:type="dxa"/>
            <w:vAlign w:val="bottom"/>
            <w:tcBorders>
              <w:top w:val="single" w:sz="8" w:color="auto"/>
              <w:bottom w:val="single" w:sz="8" w:color="auto"/>
            </w:tcBorders>
          </w:tcPr>
          <w:p>
            <w:pPr>
              <w:jc w:val="right"/>
              <w:ind w:right="16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21,828,278</w:t>
            </w:r>
          </w:p>
        </w:tc>
        <w:tc>
          <w:tcPr>
            <w:tcW w:w="14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2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20,430,426</w:t>
            </w:r>
          </w:p>
        </w:tc>
        <w:tc>
          <w:tcPr>
            <w:tcW w:w="20" w:type="dxa"/>
            <w:vAlign w:val="bottom"/>
          </w:tcPr>
          <w:p>
            <w:pPr>
              <w:spacing w:after="0"/>
              <w:rPr>
                <w:sz w:val="14"/>
                <w:szCs w:val="14"/>
                <w:color w:val="auto"/>
              </w:rPr>
            </w:pPr>
          </w:p>
        </w:tc>
      </w:tr>
      <w:tr>
        <w:trPr>
          <w:trHeight w:val="20"/>
        </w:trPr>
        <w:tc>
          <w:tcPr>
            <w:tcW w:w="51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6"/>
        </w:trPr>
        <w:tc>
          <w:tcPr>
            <w:tcW w:w="5160" w:type="dxa"/>
            <w:vAlign w:val="bottom"/>
          </w:tcPr>
          <w:p>
            <w:pPr>
              <w:spacing w:after="0"/>
              <w:rPr>
                <w:sz w:val="20"/>
                <w:szCs w:val="20"/>
                <w:color w:val="auto"/>
              </w:rPr>
            </w:pPr>
            <w:r>
              <w:rPr>
                <w:rFonts w:ascii="Arial" w:cs="Arial" w:eastAsia="Arial" w:hAnsi="Arial"/>
                <w:sz w:val="14"/>
                <w:szCs w:val="14"/>
                <w:color w:val="auto"/>
              </w:rPr>
              <w:t>Other current liabilities</w:t>
            </w:r>
          </w:p>
        </w:tc>
        <w:tc>
          <w:tcPr>
            <w:tcW w:w="1960" w:type="dxa"/>
            <w:vAlign w:val="bottom"/>
          </w:tcPr>
          <w:p>
            <w:pPr>
              <w:spacing w:after="0"/>
              <w:rPr>
                <w:sz w:val="24"/>
                <w:szCs w:val="2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849,955</w:t>
            </w:r>
          </w:p>
        </w:tc>
        <w:tc>
          <w:tcPr>
            <w:tcW w:w="700" w:type="dxa"/>
            <w:vAlign w:val="bottom"/>
          </w:tcPr>
          <w:p>
            <w:pPr>
              <w:spacing w:after="0"/>
              <w:rPr>
                <w:sz w:val="24"/>
                <w:szCs w:val="24"/>
                <w:color w:val="auto"/>
              </w:rPr>
            </w:pPr>
          </w:p>
        </w:tc>
        <w:tc>
          <w:tcPr>
            <w:tcW w:w="2720" w:type="dxa"/>
            <w:vAlign w:val="bottom"/>
            <w:gridSpan w:val="2"/>
          </w:tcPr>
          <w:p>
            <w:pPr>
              <w:jc w:val="right"/>
              <w:ind w:right="20"/>
              <w:spacing w:after="0"/>
              <w:rPr>
                <w:sz w:val="20"/>
                <w:szCs w:val="20"/>
                <w:color w:val="auto"/>
              </w:rPr>
            </w:pPr>
            <w:r>
              <w:rPr>
                <w:rFonts w:ascii="Arial" w:cs="Arial" w:eastAsia="Arial" w:hAnsi="Arial"/>
                <w:sz w:val="14"/>
                <w:szCs w:val="14"/>
                <w:color w:val="auto"/>
              </w:rPr>
              <w:t>984,748</w:t>
            </w:r>
          </w:p>
        </w:tc>
      </w:tr>
      <w:tr>
        <w:trPr>
          <w:trHeight w:val="176"/>
        </w:trPr>
        <w:tc>
          <w:tcPr>
            <w:tcW w:w="5160" w:type="dxa"/>
            <w:vAlign w:val="bottom"/>
          </w:tcPr>
          <w:p>
            <w:pPr>
              <w:spacing w:after="0"/>
              <w:rPr>
                <w:sz w:val="20"/>
                <w:szCs w:val="20"/>
                <w:color w:val="auto"/>
              </w:rPr>
            </w:pPr>
            <w:r>
              <w:rPr>
                <w:rFonts w:ascii="Arial" w:cs="Arial" w:eastAsia="Arial" w:hAnsi="Arial"/>
                <w:sz w:val="14"/>
                <w:szCs w:val="14"/>
                <w:color w:val="auto"/>
              </w:rPr>
              <w:t>Debt, current</w:t>
            </w:r>
          </w:p>
        </w:tc>
        <w:tc>
          <w:tcPr>
            <w:tcW w:w="196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720" w:type="dxa"/>
            <w:vAlign w:val="bottom"/>
            <w:gridSpan w:val="2"/>
          </w:tcPr>
          <w:p>
            <w:pPr>
              <w:jc w:val="right"/>
              <w:ind w:right="20"/>
              <w:spacing w:after="0"/>
              <w:rPr>
                <w:sz w:val="20"/>
                <w:szCs w:val="20"/>
                <w:color w:val="auto"/>
              </w:rPr>
            </w:pPr>
            <w:r>
              <w:rPr>
                <w:rFonts w:ascii="Arial" w:cs="Arial" w:eastAsia="Arial" w:hAnsi="Arial"/>
                <w:sz w:val="14"/>
                <w:szCs w:val="14"/>
                <w:color w:val="auto"/>
              </w:rPr>
              <w:t>67,000</w:t>
            </w:r>
          </w:p>
        </w:tc>
      </w:tr>
      <w:tr>
        <w:trPr>
          <w:trHeight w:val="176"/>
        </w:trPr>
        <w:tc>
          <w:tcPr>
            <w:tcW w:w="5160" w:type="dxa"/>
            <w:vAlign w:val="bottom"/>
          </w:tcPr>
          <w:p>
            <w:pPr>
              <w:spacing w:after="0"/>
              <w:rPr>
                <w:sz w:val="20"/>
                <w:szCs w:val="20"/>
                <w:color w:val="auto"/>
              </w:rPr>
            </w:pPr>
            <w:r>
              <w:rPr>
                <w:rFonts w:ascii="Arial" w:cs="Arial" w:eastAsia="Arial" w:hAnsi="Arial"/>
                <w:sz w:val="14"/>
                <w:szCs w:val="14"/>
                <w:color w:val="auto"/>
              </w:rPr>
              <w:t>Long-term debt</w:t>
            </w:r>
          </w:p>
        </w:tc>
        <w:tc>
          <w:tcPr>
            <w:tcW w:w="196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6,234,517</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720" w:type="dxa"/>
            <w:vAlign w:val="bottom"/>
            <w:gridSpan w:val="2"/>
          </w:tcPr>
          <w:p>
            <w:pPr>
              <w:jc w:val="right"/>
              <w:ind w:right="20"/>
              <w:spacing w:after="0"/>
              <w:rPr>
                <w:sz w:val="20"/>
                <w:szCs w:val="20"/>
                <w:color w:val="auto"/>
              </w:rPr>
            </w:pPr>
            <w:r>
              <w:rPr>
                <w:rFonts w:ascii="Arial" w:cs="Arial" w:eastAsia="Arial" w:hAnsi="Arial"/>
                <w:sz w:val="14"/>
                <w:szCs w:val="14"/>
                <w:color w:val="auto"/>
              </w:rPr>
              <w:t>6,265,674</w:t>
            </w:r>
          </w:p>
        </w:tc>
      </w:tr>
      <w:tr>
        <w:trPr>
          <w:trHeight w:val="176"/>
        </w:trPr>
        <w:tc>
          <w:tcPr>
            <w:tcW w:w="5160" w:type="dxa"/>
            <w:vAlign w:val="bottom"/>
          </w:tcPr>
          <w:p>
            <w:pPr>
              <w:spacing w:after="0"/>
              <w:rPr>
                <w:sz w:val="20"/>
                <w:szCs w:val="20"/>
                <w:color w:val="auto"/>
              </w:rPr>
            </w:pPr>
            <w:r>
              <w:rPr>
                <w:rFonts w:ascii="Arial" w:cs="Arial" w:eastAsia="Arial" w:hAnsi="Arial"/>
                <w:sz w:val="14"/>
                <w:szCs w:val="14"/>
                <w:color w:val="auto"/>
              </w:rPr>
              <w:t>Deferred income taxes (3)</w:t>
            </w:r>
          </w:p>
        </w:tc>
        <w:tc>
          <w:tcPr>
            <w:tcW w:w="196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2,288,615</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720" w:type="dxa"/>
            <w:vAlign w:val="bottom"/>
            <w:gridSpan w:val="2"/>
          </w:tcPr>
          <w:p>
            <w:pPr>
              <w:jc w:val="right"/>
              <w:ind w:right="20"/>
              <w:spacing w:after="0"/>
              <w:rPr>
                <w:sz w:val="20"/>
                <w:szCs w:val="20"/>
                <w:color w:val="auto"/>
              </w:rPr>
            </w:pPr>
            <w:r>
              <w:rPr>
                <w:rFonts w:ascii="Arial" w:cs="Arial" w:eastAsia="Arial" w:hAnsi="Arial"/>
                <w:sz w:val="14"/>
                <w:szCs w:val="14"/>
                <w:color w:val="auto"/>
              </w:rPr>
              <w:t>982,469</w:t>
            </w:r>
          </w:p>
        </w:tc>
      </w:tr>
      <w:tr>
        <w:trPr>
          <w:trHeight w:val="176"/>
        </w:trPr>
        <w:tc>
          <w:tcPr>
            <w:tcW w:w="516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1960" w:type="dxa"/>
            <w:vAlign w:val="bottom"/>
          </w:tcPr>
          <w:p>
            <w:pPr>
              <w:spacing w:after="0"/>
              <w:rPr>
                <w:sz w:val="15"/>
                <w:szCs w:val="15"/>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869,754</w:t>
            </w:r>
          </w:p>
        </w:tc>
        <w:tc>
          <w:tcPr>
            <w:tcW w:w="700" w:type="dxa"/>
            <w:vAlign w:val="bottom"/>
          </w:tcPr>
          <w:p>
            <w:pPr>
              <w:spacing w:after="0"/>
              <w:rPr>
                <w:sz w:val="15"/>
                <w:szCs w:val="15"/>
                <w:color w:val="auto"/>
              </w:rPr>
            </w:pPr>
          </w:p>
        </w:tc>
        <w:tc>
          <w:tcPr>
            <w:tcW w:w="2720" w:type="dxa"/>
            <w:vAlign w:val="bottom"/>
            <w:gridSpan w:val="2"/>
          </w:tcPr>
          <w:p>
            <w:pPr>
              <w:jc w:val="right"/>
              <w:ind w:right="20"/>
              <w:spacing w:after="0"/>
              <w:rPr>
                <w:sz w:val="20"/>
                <w:szCs w:val="20"/>
                <w:color w:val="auto"/>
              </w:rPr>
            </w:pPr>
            <w:r>
              <w:rPr>
                <w:rFonts w:ascii="Arial" w:cs="Arial" w:eastAsia="Arial" w:hAnsi="Arial"/>
                <w:sz w:val="14"/>
                <w:szCs w:val="14"/>
                <w:color w:val="auto"/>
              </w:rPr>
              <w:t>862,362</w:t>
            </w:r>
          </w:p>
        </w:tc>
      </w:tr>
      <w:tr>
        <w:trPr>
          <w:trHeight w:val="181"/>
        </w:trPr>
        <w:tc>
          <w:tcPr>
            <w:tcW w:w="5160" w:type="dxa"/>
            <w:vAlign w:val="bottom"/>
          </w:tcPr>
          <w:p>
            <w:pPr>
              <w:spacing w:after="0"/>
              <w:rPr>
                <w:sz w:val="20"/>
                <w:szCs w:val="20"/>
                <w:color w:val="auto"/>
              </w:rPr>
            </w:pPr>
            <w:r>
              <w:rPr>
                <w:rFonts w:ascii="Arial" w:cs="Arial" w:eastAsia="Arial" w:hAnsi="Arial"/>
                <w:sz w:val="14"/>
                <w:szCs w:val="14"/>
                <w:color w:val="auto"/>
              </w:rPr>
              <w:t>Shareholders' equity</w:t>
            </w:r>
          </w:p>
        </w:tc>
        <w:tc>
          <w:tcPr>
            <w:tcW w:w="1960" w:type="dxa"/>
            <w:vAlign w:val="bottom"/>
          </w:tcPr>
          <w:p>
            <w:pPr>
              <w:spacing w:after="0"/>
              <w:rPr>
                <w:sz w:val="15"/>
                <w:szCs w:val="15"/>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11,585,437</w:t>
            </w:r>
          </w:p>
        </w:tc>
        <w:tc>
          <w:tcPr>
            <w:tcW w:w="700" w:type="dxa"/>
            <w:vAlign w:val="bottom"/>
          </w:tcPr>
          <w:p>
            <w:pPr>
              <w:spacing w:after="0"/>
              <w:rPr>
                <w:sz w:val="15"/>
                <w:szCs w:val="15"/>
                <w:color w:val="auto"/>
              </w:rPr>
            </w:pPr>
          </w:p>
        </w:tc>
        <w:tc>
          <w:tcPr>
            <w:tcW w:w="2720" w:type="dxa"/>
            <w:vAlign w:val="bottom"/>
            <w:gridSpan w:val="2"/>
          </w:tcPr>
          <w:p>
            <w:pPr>
              <w:jc w:val="right"/>
              <w:ind w:right="20"/>
              <w:spacing w:after="0"/>
              <w:rPr>
                <w:sz w:val="20"/>
                <w:szCs w:val="20"/>
                <w:color w:val="auto"/>
              </w:rPr>
            </w:pPr>
            <w:r>
              <w:rPr>
                <w:rFonts w:ascii="Arial" w:cs="Arial" w:eastAsia="Arial" w:hAnsi="Arial"/>
                <w:sz w:val="14"/>
                <w:szCs w:val="14"/>
                <w:color w:val="auto"/>
              </w:rPr>
              <w:t>11,268,173</w:t>
            </w:r>
          </w:p>
        </w:tc>
      </w:tr>
      <w:tr>
        <w:trPr>
          <w:trHeight w:val="169"/>
        </w:trPr>
        <w:tc>
          <w:tcPr>
            <w:tcW w:w="5160" w:type="dxa"/>
            <w:vAlign w:val="bottom"/>
          </w:tcPr>
          <w:p>
            <w:pPr>
              <w:spacing w:after="0"/>
              <w:rPr>
                <w:sz w:val="20"/>
                <w:szCs w:val="20"/>
                <w:color w:val="auto"/>
              </w:rPr>
            </w:pPr>
            <w:r>
              <w:rPr>
                <w:rFonts w:ascii="Arial" w:cs="Arial" w:eastAsia="Arial" w:hAnsi="Arial"/>
                <w:sz w:val="14"/>
                <w:szCs w:val="14"/>
                <w:color w:val="auto"/>
              </w:rPr>
              <w:t>Total liabilities and equity</w:t>
            </w:r>
          </w:p>
        </w:tc>
        <w:tc>
          <w:tcPr>
            <w:tcW w:w="1960" w:type="dxa"/>
            <w:vAlign w:val="bottom"/>
            <w:tcBorders>
              <w:top w:val="single" w:sz="8" w:color="auto"/>
              <w:bottom w:val="single" w:sz="8" w:color="auto"/>
            </w:tcBorders>
          </w:tcPr>
          <w:p>
            <w:pPr>
              <w:jc w:val="right"/>
              <w:ind w:right="16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21,828,278</w:t>
            </w:r>
          </w:p>
        </w:tc>
        <w:tc>
          <w:tcPr>
            <w:tcW w:w="14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2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20,430,426</w:t>
            </w:r>
          </w:p>
        </w:tc>
        <w:tc>
          <w:tcPr>
            <w:tcW w:w="20" w:type="dxa"/>
            <w:vAlign w:val="bottom"/>
          </w:tcPr>
          <w:p>
            <w:pPr>
              <w:spacing w:after="0"/>
              <w:rPr>
                <w:sz w:val="14"/>
                <w:szCs w:val="14"/>
                <w:color w:val="auto"/>
              </w:rPr>
            </w:pPr>
          </w:p>
        </w:tc>
      </w:tr>
      <w:tr>
        <w:trPr>
          <w:trHeight w:val="20"/>
        </w:trPr>
        <w:tc>
          <w:tcPr>
            <w:tcW w:w="51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70" w:lineRule="exact"/>
        <w:rPr>
          <w:sz w:val="20"/>
          <w:szCs w:val="20"/>
          <w:color w:val="auto"/>
        </w:rPr>
      </w:pPr>
    </w:p>
    <w:p>
      <w:pPr>
        <w:ind w:right="40" w:firstLine="8"/>
        <w:spacing w:after="0" w:line="239" w:lineRule="auto"/>
        <w:tabs>
          <w:tab w:leader="none" w:pos="306" w:val="left"/>
        </w:tabs>
        <w:numPr>
          <w:ilvl w:val="0"/>
          <w:numId w:val="2"/>
        </w:numPr>
        <w:rPr>
          <w:rFonts w:ascii="Arial" w:cs="Arial" w:eastAsia="Arial" w:hAnsi="Arial"/>
          <w:sz w:val="22"/>
          <w:szCs w:val="22"/>
          <w:color w:val="auto"/>
        </w:rPr>
      </w:pPr>
      <w:r>
        <w:rPr>
          <w:rFonts w:ascii="Arial" w:cs="Arial" w:eastAsia="Arial" w:hAnsi="Arial"/>
          <w:sz w:val="22"/>
          <w:szCs w:val="22"/>
          <w:color w:val="auto"/>
        </w:rPr>
        <w:t>Balances have been restated to reflect the full retrospective adoption of Accounting Standards Update (ASU) 2014-09, Revenue from Contracts with Customers.</w:t>
      </w:r>
    </w:p>
    <w:p>
      <w:pPr>
        <w:ind w:left="320" w:hanging="312"/>
        <w:spacing w:after="0"/>
        <w:tabs>
          <w:tab w:leader="none" w:pos="320" w:val="left"/>
        </w:tabs>
        <w:numPr>
          <w:ilvl w:val="0"/>
          <w:numId w:val="2"/>
        </w:numPr>
        <w:rPr>
          <w:rFonts w:ascii="Arial" w:cs="Arial" w:eastAsia="Arial" w:hAnsi="Arial"/>
          <w:sz w:val="19"/>
          <w:szCs w:val="19"/>
          <w:color w:val="auto"/>
        </w:rPr>
      </w:pPr>
      <w:r>
        <w:rPr>
          <w:rFonts w:ascii="Arial" w:cs="Arial" w:eastAsia="Arial" w:hAnsi="Arial"/>
          <w:sz w:val="19"/>
          <w:szCs w:val="19"/>
          <w:color w:val="auto"/>
        </w:rPr>
        <w:t>Includes $6,694 and $7,128 related to stock-based compensation at February 2, 2019 and November 3, 2018, respectively.</w:t>
      </w:r>
    </w:p>
    <w:p>
      <w:pPr>
        <w:spacing w:after="0" w:line="24" w:lineRule="exact"/>
        <w:rPr>
          <w:rFonts w:ascii="Arial" w:cs="Arial" w:eastAsia="Arial" w:hAnsi="Arial"/>
          <w:sz w:val="19"/>
          <w:szCs w:val="19"/>
          <w:color w:val="auto"/>
        </w:rPr>
      </w:pPr>
    </w:p>
    <w:p>
      <w:pPr>
        <w:ind w:right="40" w:firstLine="8"/>
        <w:spacing w:after="0" w:line="234" w:lineRule="auto"/>
        <w:tabs>
          <w:tab w:leader="none" w:pos="306" w:val="left"/>
        </w:tabs>
        <w:numPr>
          <w:ilvl w:val="0"/>
          <w:numId w:val="2"/>
        </w:numPr>
        <w:rPr>
          <w:rFonts w:ascii="Arial" w:cs="Arial" w:eastAsia="Arial" w:hAnsi="Arial"/>
          <w:sz w:val="22"/>
          <w:szCs w:val="22"/>
          <w:color w:val="auto"/>
        </w:rPr>
      </w:pPr>
      <w:r>
        <w:rPr>
          <w:rFonts w:ascii="Arial" w:cs="Arial" w:eastAsia="Arial" w:hAnsi="Arial"/>
          <w:sz w:val="22"/>
          <w:szCs w:val="22"/>
          <w:color w:val="auto"/>
        </w:rPr>
        <w:t>Includes $1,655,129 and $1,324,103 in deferred tax assets and deferred income taxes, respectively, at Feb. 2, 2019 related to the adoption of ASU 2016-16, Income Taxes, which requires recognition of the income tax consequences of an intra-entity transfer of an asset, other than inventory, when the transfer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27202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ANALOG DEVICES,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80" w:type="dxa"/>
            <w:vAlign w:val="bottom"/>
            <w:gridSpan w:val="6"/>
          </w:tcPr>
          <w:p>
            <w:pPr>
              <w:jc w:val="right"/>
              <w:ind w:right="1400"/>
              <w:spacing w:after="0"/>
              <w:rPr>
                <w:sz w:val="20"/>
                <w:szCs w:val="20"/>
                <w:color w:val="auto"/>
              </w:rPr>
            </w:pPr>
            <w:r>
              <w:rPr>
                <w:rFonts w:ascii="Arial" w:cs="Arial" w:eastAsia="Arial" w:hAnsi="Arial"/>
                <w:sz w:val="14"/>
                <w:szCs w:val="14"/>
                <w:b w:val="1"/>
                <w:bCs w:val="1"/>
                <w:color w:val="auto"/>
              </w:rPr>
              <w:t>Three Months Ended</w:t>
            </w:r>
          </w:p>
        </w:tc>
      </w:tr>
      <w:tr>
        <w:trPr>
          <w:trHeight w:val="169"/>
        </w:trPr>
        <w:tc>
          <w:tcPr>
            <w:tcW w:w="73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520" w:type="dxa"/>
            <w:vAlign w:val="bottom"/>
            <w:tcBorders>
              <w:top w:val="single" w:sz="8" w:color="auto"/>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99"/>
              </w:rPr>
              <w:t>February 2, 2019</w:t>
            </w:r>
          </w:p>
        </w:tc>
        <w:tc>
          <w:tcPr>
            <w:tcW w:w="10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8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February 3, 2018 (1)</w:t>
            </w:r>
          </w:p>
        </w:tc>
        <w:tc>
          <w:tcPr>
            <w:tcW w:w="20" w:type="dxa"/>
            <w:vAlign w:val="bottom"/>
          </w:tcPr>
          <w:p>
            <w:pPr>
              <w:spacing w:after="0"/>
              <w:rPr>
                <w:sz w:val="14"/>
                <w:szCs w:val="14"/>
                <w:color w:val="auto"/>
              </w:rPr>
            </w:pPr>
          </w:p>
        </w:tc>
      </w:tr>
      <w:tr>
        <w:trPr>
          <w:trHeight w:val="164"/>
        </w:trPr>
        <w:tc>
          <w:tcPr>
            <w:tcW w:w="7360" w:type="dxa"/>
            <w:vAlign w:val="bottom"/>
          </w:tcPr>
          <w:p>
            <w:pPr>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736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355,006</w:t>
            </w:r>
          </w:p>
        </w:tc>
        <w:tc>
          <w:tcPr>
            <w:tcW w:w="4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293,240</w:t>
            </w:r>
          </w:p>
        </w:tc>
      </w:tr>
      <w:tr>
        <w:trPr>
          <w:trHeight w:val="176"/>
        </w:trPr>
        <w:tc>
          <w:tcPr>
            <w:tcW w:w="7360" w:type="dxa"/>
            <w:vAlign w:val="bottom"/>
          </w:tcPr>
          <w:p>
            <w:pPr>
              <w:ind w:left="140"/>
              <w:spacing w:after="0"/>
              <w:rPr>
                <w:sz w:val="20"/>
                <w:szCs w:val="20"/>
                <w:color w:val="auto"/>
              </w:rPr>
            </w:pPr>
            <w:r>
              <w:rPr>
                <w:rFonts w:ascii="Arial" w:cs="Arial" w:eastAsia="Arial" w:hAnsi="Arial"/>
                <w:sz w:val="14"/>
                <w:szCs w:val="14"/>
                <w:color w:val="auto"/>
              </w:rPr>
              <w:t>Adjustments to reconcile net income to net cash provided by operations:</w:t>
            </w: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360" w:type="dxa"/>
            <w:vAlign w:val="bottom"/>
          </w:tcPr>
          <w:p>
            <w:pPr>
              <w:ind w:left="480"/>
              <w:spacing w:after="0"/>
              <w:rPr>
                <w:sz w:val="20"/>
                <w:szCs w:val="20"/>
                <w:color w:val="auto"/>
              </w:rPr>
            </w:pPr>
            <w:r>
              <w:rPr>
                <w:rFonts w:ascii="Arial" w:cs="Arial" w:eastAsia="Arial" w:hAnsi="Arial"/>
                <w:sz w:val="14"/>
                <w:szCs w:val="14"/>
                <w:color w:val="auto"/>
              </w:rPr>
              <w:t>Depreciation</w:t>
            </w:r>
          </w:p>
        </w:tc>
        <w:tc>
          <w:tcPr>
            <w:tcW w:w="300" w:type="dxa"/>
            <w:vAlign w:val="bottom"/>
          </w:tcPr>
          <w:p>
            <w:pPr>
              <w:spacing w:after="0"/>
              <w:rPr>
                <w:sz w:val="15"/>
                <w:szCs w:val="15"/>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58,293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56,415</w:t>
            </w:r>
          </w:p>
        </w:tc>
      </w:tr>
      <w:tr>
        <w:trPr>
          <w:trHeight w:val="176"/>
        </w:trPr>
        <w:tc>
          <w:tcPr>
            <w:tcW w:w="7360" w:type="dxa"/>
            <w:vAlign w:val="bottom"/>
          </w:tcPr>
          <w:p>
            <w:pPr>
              <w:ind w:left="480"/>
              <w:spacing w:after="0"/>
              <w:rPr>
                <w:sz w:val="20"/>
                <w:szCs w:val="20"/>
                <w:color w:val="auto"/>
              </w:rPr>
            </w:pPr>
            <w:r>
              <w:rPr>
                <w:rFonts w:ascii="Arial" w:cs="Arial" w:eastAsia="Arial" w:hAnsi="Arial"/>
                <w:sz w:val="14"/>
                <w:szCs w:val="14"/>
                <w:color w:val="auto"/>
              </w:rPr>
              <w:t>Amortization of intangibles</w:t>
            </w:r>
          </w:p>
        </w:tc>
        <w:tc>
          <w:tcPr>
            <w:tcW w:w="300" w:type="dxa"/>
            <w:vAlign w:val="bottom"/>
          </w:tcPr>
          <w:p>
            <w:pPr>
              <w:spacing w:after="0"/>
              <w:rPr>
                <w:sz w:val="15"/>
                <w:szCs w:val="15"/>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142,292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142,050</w:t>
            </w:r>
          </w:p>
        </w:tc>
      </w:tr>
      <w:tr>
        <w:trPr>
          <w:trHeight w:val="176"/>
        </w:trPr>
        <w:tc>
          <w:tcPr>
            <w:tcW w:w="7360" w:type="dxa"/>
            <w:vAlign w:val="bottom"/>
          </w:tcPr>
          <w:p>
            <w:pPr>
              <w:ind w:left="480"/>
              <w:spacing w:after="0"/>
              <w:rPr>
                <w:sz w:val="20"/>
                <w:szCs w:val="20"/>
                <w:color w:val="auto"/>
              </w:rPr>
            </w:pPr>
            <w:r>
              <w:rPr>
                <w:rFonts w:ascii="Arial" w:cs="Arial" w:eastAsia="Arial" w:hAnsi="Arial"/>
                <w:sz w:val="14"/>
                <w:szCs w:val="14"/>
                <w:color w:val="auto"/>
              </w:rPr>
              <w:t>Stock-based compensation expense</w:t>
            </w:r>
          </w:p>
        </w:tc>
        <w:tc>
          <w:tcPr>
            <w:tcW w:w="300" w:type="dxa"/>
            <w:vAlign w:val="bottom"/>
          </w:tcPr>
          <w:p>
            <w:pPr>
              <w:spacing w:after="0"/>
              <w:rPr>
                <w:sz w:val="15"/>
                <w:szCs w:val="15"/>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36,393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37,902</w:t>
            </w:r>
          </w:p>
        </w:tc>
      </w:tr>
      <w:tr>
        <w:trPr>
          <w:trHeight w:val="176"/>
        </w:trPr>
        <w:tc>
          <w:tcPr>
            <w:tcW w:w="7360" w:type="dxa"/>
            <w:vAlign w:val="bottom"/>
          </w:tcPr>
          <w:p>
            <w:pPr>
              <w:ind w:left="480"/>
              <w:spacing w:after="0"/>
              <w:rPr>
                <w:sz w:val="20"/>
                <w:szCs w:val="20"/>
                <w:color w:val="auto"/>
              </w:rPr>
            </w:pPr>
            <w:r>
              <w:rPr>
                <w:rFonts w:ascii="Arial" w:cs="Arial" w:eastAsia="Arial" w:hAnsi="Arial"/>
                <w:sz w:val="14"/>
                <w:szCs w:val="14"/>
                <w:color w:val="auto"/>
              </w:rPr>
              <w:t>Non-cash portion of special charge</w:t>
            </w:r>
          </w:p>
        </w:tc>
        <w:tc>
          <w:tcPr>
            <w:tcW w:w="300" w:type="dxa"/>
            <w:vAlign w:val="bottom"/>
          </w:tcPr>
          <w:p>
            <w:pPr>
              <w:spacing w:after="0"/>
              <w:rPr>
                <w:sz w:val="15"/>
                <w:szCs w:val="15"/>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4,367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176"/>
        </w:trPr>
        <w:tc>
          <w:tcPr>
            <w:tcW w:w="7360" w:type="dxa"/>
            <w:vAlign w:val="bottom"/>
          </w:tcPr>
          <w:p>
            <w:pPr>
              <w:ind w:left="48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5"/>
                <w:szCs w:val="15"/>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15,652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(677,603)</w:t>
            </w:r>
          </w:p>
        </w:tc>
      </w:tr>
      <w:tr>
        <w:trPr>
          <w:trHeight w:val="176"/>
        </w:trPr>
        <w:tc>
          <w:tcPr>
            <w:tcW w:w="7360" w:type="dxa"/>
            <w:vAlign w:val="bottom"/>
          </w:tcPr>
          <w:p>
            <w:pPr>
              <w:ind w:left="480"/>
              <w:spacing w:after="0"/>
              <w:rPr>
                <w:sz w:val="20"/>
                <w:szCs w:val="20"/>
                <w:color w:val="auto"/>
              </w:rPr>
            </w:pPr>
            <w:r>
              <w:rPr>
                <w:rFonts w:ascii="Arial" w:cs="Arial" w:eastAsia="Arial" w:hAnsi="Arial"/>
                <w:sz w:val="14"/>
                <w:szCs w:val="14"/>
                <w:color w:val="auto"/>
              </w:rPr>
              <w:t>Other non-cash activity</w:t>
            </w:r>
          </w:p>
        </w:tc>
        <w:tc>
          <w:tcPr>
            <w:tcW w:w="300" w:type="dxa"/>
            <w:vAlign w:val="bottom"/>
          </w:tcPr>
          <w:p>
            <w:pPr>
              <w:spacing w:after="0"/>
              <w:rPr>
                <w:sz w:val="15"/>
                <w:szCs w:val="15"/>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6,693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6,762</w:t>
            </w:r>
          </w:p>
        </w:tc>
      </w:tr>
      <w:tr>
        <w:trPr>
          <w:trHeight w:val="181"/>
        </w:trPr>
        <w:tc>
          <w:tcPr>
            <w:tcW w:w="7360" w:type="dxa"/>
            <w:vAlign w:val="bottom"/>
          </w:tcPr>
          <w:p>
            <w:pPr>
              <w:ind w:left="14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tcPr>
          <w:p>
            <w:pPr>
              <w:spacing w:after="0"/>
              <w:rPr>
                <w:sz w:val="15"/>
                <w:szCs w:val="15"/>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(246,929)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529,922</w:t>
            </w:r>
          </w:p>
        </w:tc>
      </w:tr>
      <w:tr>
        <w:trPr>
          <w:trHeight w:val="169"/>
        </w:trPr>
        <w:tc>
          <w:tcPr>
            <w:tcW w:w="7360" w:type="dxa"/>
            <w:vAlign w:val="bottom"/>
          </w:tcPr>
          <w:p>
            <w:pPr>
              <w:ind w:left="140"/>
              <w:spacing w:after="0"/>
              <w:rPr>
                <w:sz w:val="20"/>
                <w:szCs w:val="20"/>
                <w:color w:val="auto"/>
              </w:rPr>
            </w:pPr>
            <w:r>
              <w:rPr>
                <w:rFonts w:ascii="Arial" w:cs="Arial" w:eastAsia="Arial" w:hAnsi="Arial"/>
                <w:sz w:val="14"/>
                <w:szCs w:val="14"/>
                <w:color w:val="auto"/>
              </w:rPr>
              <w:t>Total adjustments</w:t>
            </w:r>
          </w:p>
        </w:tc>
        <w:tc>
          <w:tcPr>
            <w:tcW w:w="300" w:type="dxa"/>
            <w:vAlign w:val="bottom"/>
            <w:tcBorders>
              <w:top w:val="single" w:sz="8" w:color="auto"/>
              <w:bottom w:val="single" w:sz="8" w:color="auto"/>
            </w:tcBorders>
          </w:tcPr>
          <w:p>
            <w:pPr>
              <w:spacing w:after="0"/>
              <w:rPr>
                <w:sz w:val="14"/>
                <w:szCs w:val="14"/>
                <w:color w:val="auto"/>
              </w:rPr>
            </w:pPr>
          </w:p>
        </w:tc>
        <w:tc>
          <w:tcPr>
            <w:tcW w:w="1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16,761</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95,448</w:t>
            </w:r>
          </w:p>
        </w:tc>
        <w:tc>
          <w:tcPr>
            <w:tcW w:w="20" w:type="dxa"/>
            <w:vAlign w:val="bottom"/>
          </w:tcPr>
          <w:p>
            <w:pPr>
              <w:spacing w:after="0"/>
              <w:rPr>
                <w:sz w:val="14"/>
                <w:szCs w:val="14"/>
                <w:color w:val="auto"/>
              </w:rPr>
            </w:pPr>
          </w:p>
        </w:tc>
      </w:tr>
      <w:tr>
        <w:trPr>
          <w:trHeight w:val="169"/>
        </w:trPr>
        <w:tc>
          <w:tcPr>
            <w:tcW w:w="7360" w:type="dxa"/>
            <w:vAlign w:val="bottom"/>
          </w:tcPr>
          <w:p>
            <w:pPr>
              <w:ind w:left="14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Pr>
          <w:p>
            <w:pPr>
              <w:spacing w:after="0"/>
              <w:rPr>
                <w:sz w:val="14"/>
                <w:szCs w:val="14"/>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371,767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388,688</w:t>
            </w:r>
          </w:p>
        </w:tc>
        <w:tc>
          <w:tcPr>
            <w:tcW w:w="20" w:type="dxa"/>
            <w:vAlign w:val="bottom"/>
          </w:tcPr>
          <w:p>
            <w:pPr>
              <w:spacing w:after="0"/>
              <w:rPr>
                <w:sz w:val="14"/>
                <w:szCs w:val="14"/>
                <w:color w:val="auto"/>
              </w:rPr>
            </w:pPr>
          </w:p>
        </w:tc>
      </w:tr>
      <w:tr>
        <w:trPr>
          <w:trHeight w:val="164"/>
        </w:trPr>
        <w:tc>
          <w:tcPr>
            <w:tcW w:w="736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7360" w:type="dxa"/>
            <w:vAlign w:val="bottom"/>
          </w:tcPr>
          <w:p>
            <w:pPr>
              <w:ind w:left="140"/>
              <w:spacing w:after="0"/>
              <w:rPr>
                <w:sz w:val="20"/>
                <w:szCs w:val="20"/>
                <w:color w:val="auto"/>
              </w:rPr>
            </w:pPr>
            <w:r>
              <w:rPr>
                <w:rFonts w:ascii="Arial" w:cs="Arial" w:eastAsia="Arial" w:hAnsi="Arial"/>
                <w:sz w:val="14"/>
                <w:szCs w:val="14"/>
                <w:color w:val="auto"/>
              </w:rPr>
              <w:t>Additions to property, plant and equipment</w:t>
            </w:r>
          </w:p>
        </w:tc>
        <w:tc>
          <w:tcPr>
            <w:tcW w:w="300" w:type="dxa"/>
            <w:vAlign w:val="bottom"/>
          </w:tcPr>
          <w:p>
            <w:pPr>
              <w:spacing w:after="0"/>
              <w:rPr>
                <w:sz w:val="15"/>
                <w:szCs w:val="15"/>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(90,993)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(63,222)</w:t>
            </w:r>
          </w:p>
        </w:tc>
      </w:tr>
      <w:tr>
        <w:trPr>
          <w:trHeight w:val="181"/>
        </w:trPr>
        <w:tc>
          <w:tcPr>
            <w:tcW w:w="7360" w:type="dxa"/>
            <w:vAlign w:val="bottom"/>
          </w:tcPr>
          <w:p>
            <w:pPr>
              <w:ind w:left="140"/>
              <w:spacing w:after="0"/>
              <w:rPr>
                <w:sz w:val="20"/>
                <w:szCs w:val="20"/>
                <w:color w:val="auto"/>
              </w:rPr>
            </w:pPr>
            <w:r>
              <w:rPr>
                <w:rFonts w:ascii="Arial" w:cs="Arial" w:eastAsia="Arial" w:hAnsi="Arial"/>
                <w:sz w:val="14"/>
                <w:szCs w:val="14"/>
                <w:color w:val="auto"/>
              </w:rPr>
              <w:t>Change in other assets</w:t>
            </w:r>
          </w:p>
        </w:tc>
        <w:tc>
          <w:tcPr>
            <w:tcW w:w="300" w:type="dxa"/>
            <w:vAlign w:val="bottom"/>
          </w:tcPr>
          <w:p>
            <w:pPr>
              <w:spacing w:after="0"/>
              <w:rPr>
                <w:sz w:val="15"/>
                <w:szCs w:val="15"/>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(5,222)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(1,278)</w:t>
            </w:r>
          </w:p>
        </w:tc>
      </w:tr>
      <w:tr>
        <w:trPr>
          <w:trHeight w:val="169"/>
        </w:trPr>
        <w:tc>
          <w:tcPr>
            <w:tcW w:w="7360" w:type="dxa"/>
            <w:vAlign w:val="bottom"/>
          </w:tcPr>
          <w:p>
            <w:pPr>
              <w:ind w:left="140"/>
              <w:spacing w:after="0"/>
              <w:rPr>
                <w:sz w:val="20"/>
                <w:szCs w:val="20"/>
                <w:color w:val="auto"/>
              </w:rPr>
            </w:pPr>
            <w:r>
              <w:rPr>
                <w:rFonts w:ascii="Arial" w:cs="Arial" w:eastAsia="Arial" w:hAnsi="Arial"/>
                <w:sz w:val="14"/>
                <w:szCs w:val="14"/>
                <w:color w:val="auto"/>
              </w:rPr>
              <w:t>Net cash used for investing activities</w:t>
            </w:r>
          </w:p>
        </w:tc>
        <w:tc>
          <w:tcPr>
            <w:tcW w:w="3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(96,215)</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(64,500)</w:t>
            </w:r>
          </w:p>
        </w:tc>
        <w:tc>
          <w:tcPr>
            <w:tcW w:w="20" w:type="dxa"/>
            <w:vAlign w:val="bottom"/>
          </w:tcPr>
          <w:p>
            <w:pPr>
              <w:spacing w:after="0"/>
              <w:rPr>
                <w:sz w:val="14"/>
                <w:szCs w:val="14"/>
                <w:color w:val="auto"/>
              </w:rPr>
            </w:pPr>
          </w:p>
        </w:tc>
      </w:tr>
      <w:tr>
        <w:trPr>
          <w:trHeight w:val="164"/>
        </w:trPr>
        <w:tc>
          <w:tcPr>
            <w:tcW w:w="736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7360" w:type="dxa"/>
            <w:vAlign w:val="bottom"/>
          </w:tcPr>
          <w:p>
            <w:pPr>
              <w:ind w:left="140"/>
              <w:spacing w:after="0"/>
              <w:rPr>
                <w:sz w:val="20"/>
                <w:szCs w:val="20"/>
                <w:color w:val="auto"/>
              </w:rPr>
            </w:pPr>
            <w:r>
              <w:rPr>
                <w:rFonts w:ascii="Arial" w:cs="Arial" w:eastAsia="Arial" w:hAnsi="Arial"/>
                <w:sz w:val="14"/>
                <w:szCs w:val="14"/>
                <w:color w:val="auto"/>
              </w:rPr>
              <w:t>Proceeds from revolver</w:t>
            </w:r>
          </w:p>
        </w:tc>
        <w:tc>
          <w:tcPr>
            <w:tcW w:w="300" w:type="dxa"/>
            <w:vAlign w:val="bottom"/>
          </w:tcPr>
          <w:p>
            <w:pPr>
              <w:spacing w:after="0"/>
              <w:rPr>
                <w:sz w:val="15"/>
                <w:szCs w:val="15"/>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75,000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176"/>
        </w:trPr>
        <w:tc>
          <w:tcPr>
            <w:tcW w:w="7360" w:type="dxa"/>
            <w:vAlign w:val="bottom"/>
          </w:tcPr>
          <w:p>
            <w:pPr>
              <w:ind w:left="140"/>
              <w:spacing w:after="0"/>
              <w:rPr>
                <w:sz w:val="20"/>
                <w:szCs w:val="20"/>
                <w:color w:val="auto"/>
              </w:rPr>
            </w:pPr>
            <w:r>
              <w:rPr>
                <w:rFonts w:ascii="Arial" w:cs="Arial" w:eastAsia="Arial" w:hAnsi="Arial"/>
                <w:sz w:val="14"/>
                <w:szCs w:val="14"/>
                <w:color w:val="auto"/>
              </w:rPr>
              <w:t>Payments on revolver</w:t>
            </w:r>
          </w:p>
        </w:tc>
        <w:tc>
          <w:tcPr>
            <w:tcW w:w="300" w:type="dxa"/>
            <w:vAlign w:val="bottom"/>
          </w:tcPr>
          <w:p>
            <w:pPr>
              <w:spacing w:after="0"/>
              <w:rPr>
                <w:sz w:val="15"/>
                <w:szCs w:val="15"/>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(75,000)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176"/>
        </w:trPr>
        <w:tc>
          <w:tcPr>
            <w:tcW w:w="7360" w:type="dxa"/>
            <w:vAlign w:val="bottom"/>
          </w:tcPr>
          <w:p>
            <w:pPr>
              <w:ind w:left="140"/>
              <w:spacing w:after="0"/>
              <w:rPr>
                <w:sz w:val="20"/>
                <w:szCs w:val="20"/>
                <w:color w:val="auto"/>
              </w:rPr>
            </w:pPr>
            <w:r>
              <w:rPr>
                <w:rFonts w:ascii="Arial" w:cs="Arial" w:eastAsia="Arial" w:hAnsi="Arial"/>
                <w:sz w:val="14"/>
                <w:szCs w:val="14"/>
                <w:color w:val="auto"/>
              </w:rPr>
              <w:t>Debt repayments</w:t>
            </w:r>
          </w:p>
        </w:tc>
        <w:tc>
          <w:tcPr>
            <w:tcW w:w="300" w:type="dxa"/>
            <w:vAlign w:val="bottom"/>
          </w:tcPr>
          <w:p>
            <w:pPr>
              <w:spacing w:after="0"/>
              <w:rPr>
                <w:sz w:val="15"/>
                <w:szCs w:val="15"/>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(420,000)</w:t>
            </w:r>
          </w:p>
        </w:tc>
      </w:tr>
      <w:tr>
        <w:trPr>
          <w:trHeight w:val="176"/>
        </w:trPr>
        <w:tc>
          <w:tcPr>
            <w:tcW w:w="7360" w:type="dxa"/>
            <w:vAlign w:val="bottom"/>
          </w:tcPr>
          <w:p>
            <w:pPr>
              <w:ind w:left="140"/>
              <w:spacing w:after="0"/>
              <w:rPr>
                <w:sz w:val="20"/>
                <w:szCs w:val="20"/>
                <w:color w:val="auto"/>
              </w:rPr>
            </w:pPr>
            <w:r>
              <w:rPr>
                <w:rFonts w:ascii="Arial" w:cs="Arial" w:eastAsia="Arial" w:hAnsi="Arial"/>
                <w:sz w:val="14"/>
                <w:szCs w:val="14"/>
                <w:color w:val="auto"/>
              </w:rPr>
              <w:t>Dividend payments to shareholders</w:t>
            </w:r>
          </w:p>
        </w:tc>
        <w:tc>
          <w:tcPr>
            <w:tcW w:w="300" w:type="dxa"/>
            <w:vAlign w:val="bottom"/>
          </w:tcPr>
          <w:p>
            <w:pPr>
              <w:spacing w:after="0"/>
              <w:rPr>
                <w:sz w:val="15"/>
                <w:szCs w:val="15"/>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(177,716)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(166,719)</w:t>
            </w:r>
          </w:p>
        </w:tc>
      </w:tr>
      <w:tr>
        <w:trPr>
          <w:trHeight w:val="176"/>
        </w:trPr>
        <w:tc>
          <w:tcPr>
            <w:tcW w:w="736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300" w:type="dxa"/>
            <w:vAlign w:val="bottom"/>
          </w:tcPr>
          <w:p>
            <w:pPr>
              <w:spacing w:after="0"/>
              <w:rPr>
                <w:sz w:val="15"/>
                <w:szCs w:val="15"/>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(227,093)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(7,930)</w:t>
            </w:r>
          </w:p>
        </w:tc>
      </w:tr>
      <w:tr>
        <w:trPr>
          <w:trHeight w:val="176"/>
        </w:trPr>
        <w:tc>
          <w:tcPr>
            <w:tcW w:w="7360" w:type="dxa"/>
            <w:vAlign w:val="bottom"/>
          </w:tcPr>
          <w:p>
            <w:pPr>
              <w:ind w:left="140"/>
              <w:spacing w:after="0"/>
              <w:rPr>
                <w:sz w:val="20"/>
                <w:szCs w:val="20"/>
                <w:color w:val="auto"/>
              </w:rPr>
            </w:pPr>
            <w:r>
              <w:rPr>
                <w:rFonts w:ascii="Arial" w:cs="Arial" w:eastAsia="Arial" w:hAnsi="Arial"/>
                <w:sz w:val="14"/>
                <w:szCs w:val="14"/>
                <w:color w:val="auto"/>
              </w:rPr>
              <w:t>Proceeds from employee stock plans</w:t>
            </w:r>
          </w:p>
        </w:tc>
        <w:tc>
          <w:tcPr>
            <w:tcW w:w="300" w:type="dxa"/>
            <w:vAlign w:val="bottom"/>
          </w:tcPr>
          <w:p>
            <w:pPr>
              <w:spacing w:after="0"/>
              <w:rPr>
                <w:sz w:val="15"/>
                <w:szCs w:val="15"/>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19,229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37,812</w:t>
            </w:r>
          </w:p>
        </w:tc>
      </w:tr>
      <w:tr>
        <w:trPr>
          <w:trHeight w:val="181"/>
        </w:trPr>
        <w:tc>
          <w:tcPr>
            <w:tcW w:w="7360" w:type="dxa"/>
            <w:vAlign w:val="bottom"/>
          </w:tcPr>
          <w:p>
            <w:pPr>
              <w:ind w:left="140"/>
              <w:spacing w:after="0"/>
              <w:rPr>
                <w:sz w:val="20"/>
                <w:szCs w:val="20"/>
                <w:color w:val="auto"/>
              </w:rPr>
            </w:pPr>
            <w:r>
              <w:rPr>
                <w:rFonts w:ascii="Arial" w:cs="Arial" w:eastAsia="Arial" w:hAnsi="Arial"/>
                <w:sz w:val="14"/>
                <w:szCs w:val="14"/>
                <w:color w:val="auto"/>
              </w:rPr>
              <w:t>Changes in other financing activities</w:t>
            </w: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(569)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8,811</w:t>
            </w:r>
          </w:p>
        </w:tc>
      </w:tr>
      <w:tr>
        <w:trPr>
          <w:trHeight w:val="169"/>
        </w:trPr>
        <w:tc>
          <w:tcPr>
            <w:tcW w:w="7360" w:type="dxa"/>
            <w:vAlign w:val="bottom"/>
          </w:tcPr>
          <w:p>
            <w:pPr>
              <w:ind w:left="140"/>
              <w:spacing w:after="0"/>
              <w:rPr>
                <w:sz w:val="20"/>
                <w:szCs w:val="20"/>
                <w:color w:val="auto"/>
              </w:rPr>
            </w:pPr>
            <w:r>
              <w:rPr>
                <w:rFonts w:ascii="Arial" w:cs="Arial" w:eastAsia="Arial" w:hAnsi="Arial"/>
                <w:sz w:val="14"/>
                <w:szCs w:val="14"/>
                <w:color w:val="auto"/>
              </w:rPr>
              <w:t>Net cash used for financing activities</w:t>
            </w:r>
          </w:p>
        </w:tc>
        <w:tc>
          <w:tcPr>
            <w:tcW w:w="30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(486,149)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(548,026)</w:t>
            </w:r>
          </w:p>
        </w:tc>
        <w:tc>
          <w:tcPr>
            <w:tcW w:w="20" w:type="dxa"/>
            <w:vAlign w:val="bottom"/>
          </w:tcPr>
          <w:p>
            <w:pPr>
              <w:spacing w:after="0"/>
              <w:rPr>
                <w:sz w:val="14"/>
                <w:szCs w:val="14"/>
                <w:color w:val="auto"/>
              </w:rPr>
            </w:pPr>
          </w:p>
        </w:tc>
      </w:tr>
      <w:tr>
        <w:trPr>
          <w:trHeight w:val="169"/>
        </w:trPr>
        <w:tc>
          <w:tcPr>
            <w:tcW w:w="7360" w:type="dxa"/>
            <w:vAlign w:val="bottom"/>
          </w:tcPr>
          <w:p>
            <w:pPr>
              <w:spacing w:after="0"/>
              <w:rPr>
                <w:sz w:val="20"/>
                <w:szCs w:val="20"/>
                <w:color w:val="auto"/>
              </w:rPr>
            </w:pPr>
            <w:r>
              <w:rPr>
                <w:rFonts w:ascii="Arial" w:cs="Arial" w:eastAsia="Arial" w:hAnsi="Arial"/>
                <w:sz w:val="14"/>
                <w:szCs w:val="14"/>
                <w:color w:val="auto"/>
              </w:rPr>
              <w:t>Effect of exchange rate changes on cash</w:t>
            </w: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3,550</w:t>
            </w:r>
          </w:p>
        </w:tc>
        <w:tc>
          <w:tcPr>
            <w:tcW w:w="20" w:type="dxa"/>
            <w:vAlign w:val="bottom"/>
          </w:tcPr>
          <w:p>
            <w:pPr>
              <w:spacing w:after="0"/>
              <w:rPr>
                <w:sz w:val="14"/>
                <w:szCs w:val="14"/>
                <w:color w:val="auto"/>
              </w:rPr>
            </w:pPr>
          </w:p>
        </w:tc>
      </w:tr>
      <w:tr>
        <w:trPr>
          <w:trHeight w:val="164"/>
        </w:trPr>
        <w:tc>
          <w:tcPr>
            <w:tcW w:w="7360" w:type="dxa"/>
            <w:vAlign w:val="bottom"/>
          </w:tcPr>
          <w:p>
            <w:pPr>
              <w:spacing w:after="0"/>
              <w:rPr>
                <w:sz w:val="20"/>
                <w:szCs w:val="20"/>
                <w:color w:val="auto"/>
              </w:rPr>
            </w:pPr>
            <w:r>
              <w:rPr>
                <w:rFonts w:ascii="Arial" w:cs="Arial" w:eastAsia="Arial" w:hAnsi="Arial"/>
                <w:sz w:val="14"/>
                <w:szCs w:val="14"/>
                <w:color w:val="auto"/>
              </w:rPr>
              <w:t>Net decrease in cash and cash equivalents</w:t>
            </w:r>
          </w:p>
        </w:tc>
        <w:tc>
          <w:tcPr>
            <w:tcW w:w="3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(210,727)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(220,288)</w:t>
            </w:r>
          </w:p>
        </w:tc>
        <w:tc>
          <w:tcPr>
            <w:tcW w:w="20" w:type="dxa"/>
            <w:vAlign w:val="bottom"/>
          </w:tcPr>
          <w:p>
            <w:pPr>
              <w:spacing w:after="0"/>
              <w:rPr>
                <w:sz w:val="14"/>
                <w:szCs w:val="14"/>
                <w:color w:val="auto"/>
              </w:rPr>
            </w:pPr>
          </w:p>
        </w:tc>
      </w:tr>
      <w:tr>
        <w:trPr>
          <w:trHeight w:val="181"/>
        </w:trPr>
        <w:tc>
          <w:tcPr>
            <w:tcW w:w="736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300" w:type="dxa"/>
            <w:vAlign w:val="bottom"/>
          </w:tcPr>
          <w:p>
            <w:pPr>
              <w:spacing w:after="0"/>
              <w:rPr>
                <w:sz w:val="15"/>
                <w:szCs w:val="15"/>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816,591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1,047,838</w:t>
            </w:r>
          </w:p>
        </w:tc>
      </w:tr>
      <w:tr>
        <w:trPr>
          <w:trHeight w:val="169"/>
        </w:trPr>
        <w:tc>
          <w:tcPr>
            <w:tcW w:w="736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3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605,864</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827,550</w:t>
            </w:r>
          </w:p>
        </w:tc>
        <w:tc>
          <w:tcPr>
            <w:tcW w:w="20" w:type="dxa"/>
            <w:vAlign w:val="bottom"/>
          </w:tcPr>
          <w:p>
            <w:pPr>
              <w:spacing w:after="0"/>
              <w:rPr>
                <w:sz w:val="14"/>
                <w:szCs w:val="14"/>
                <w:color w:val="auto"/>
              </w:rPr>
            </w:pPr>
          </w:p>
        </w:tc>
      </w:tr>
    </w:tbl>
    <w:p>
      <w:pPr>
        <w:spacing w:after="0" w:line="370" w:lineRule="exact"/>
        <w:rPr>
          <w:sz w:val="20"/>
          <w:szCs w:val="20"/>
          <w:color w:val="auto"/>
        </w:rPr>
      </w:pPr>
    </w:p>
    <w:p>
      <w:pPr>
        <w:ind w:right="40" w:firstLine="8"/>
        <w:spacing w:after="0" w:line="251" w:lineRule="auto"/>
        <w:tabs>
          <w:tab w:leader="none" w:pos="306" w:val="left"/>
        </w:tabs>
        <w:numPr>
          <w:ilvl w:val="0"/>
          <w:numId w:val="3"/>
        </w:numPr>
        <w:rPr>
          <w:rFonts w:ascii="Arial" w:cs="Arial" w:eastAsia="Arial" w:hAnsi="Arial"/>
          <w:sz w:val="22"/>
          <w:szCs w:val="22"/>
          <w:color w:val="auto"/>
        </w:rPr>
      </w:pPr>
      <w:r>
        <w:rPr>
          <w:rFonts w:ascii="Arial" w:cs="Arial" w:eastAsia="Arial" w:hAnsi="Arial"/>
          <w:sz w:val="22"/>
          <w:szCs w:val="22"/>
          <w:color w:val="auto"/>
        </w:rPr>
        <w:t>Balances have been restated to reflect the full retrospective adoption of Accounting Standards Update (ASU) 2014-09, Revenue from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ANALOG DEVICES,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REVENUE TRENDS BY END MARKET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83" w:lineRule="exact"/>
        <w:rPr>
          <w:sz w:val="20"/>
          <w:szCs w:val="20"/>
          <w:color w:val="auto"/>
        </w:rPr>
      </w:pPr>
    </w:p>
    <w:p>
      <w:pPr>
        <w:ind w:right="220"/>
        <w:spacing w:after="0" w:line="234" w:lineRule="auto"/>
        <w:rPr>
          <w:sz w:val="20"/>
          <w:szCs w:val="20"/>
          <w:color w:val="auto"/>
        </w:rPr>
      </w:pPr>
      <w:r>
        <w:rPr>
          <w:rFonts w:ascii="Arial" w:cs="Arial" w:eastAsia="Arial" w:hAnsi="Arial"/>
          <w:sz w:val="14"/>
          <w:szCs w:val="14"/>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4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spacing w:after="0"/>
              <w:rPr>
                <w:sz w:val="16"/>
                <w:szCs w:val="16"/>
                <w:color w:val="auto"/>
              </w:rPr>
            </w:pPr>
          </w:p>
        </w:tc>
        <w:tc>
          <w:tcPr>
            <w:tcW w:w="1700" w:type="dxa"/>
            <w:vAlign w:val="bottom"/>
            <w:tcBorders>
              <w:top w:val="single" w:sz="8" w:color="auto"/>
              <w:bottom w:val="single" w:sz="8" w:color="auto"/>
            </w:tcBorders>
          </w:tcPr>
          <w:p>
            <w:pPr>
              <w:spacing w:after="0"/>
              <w:rPr>
                <w:sz w:val="16"/>
                <w:szCs w:val="16"/>
                <w:color w:val="auto"/>
              </w:rPr>
            </w:pPr>
          </w:p>
        </w:tc>
        <w:tc>
          <w:tcPr>
            <w:tcW w:w="1700" w:type="dxa"/>
            <w:vAlign w:val="bottom"/>
            <w:tcBorders>
              <w:top w:val="single" w:sz="8" w:color="auto"/>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6"/>
              </w:rPr>
              <w:t>Three Months Ended</w:t>
            </w:r>
          </w:p>
        </w:tc>
        <w:tc>
          <w:tcPr>
            <w:tcW w:w="280" w:type="dxa"/>
            <w:vAlign w:val="bottom"/>
            <w:tcBorders>
              <w:top w:val="single" w:sz="8" w:color="auto"/>
              <w:bottom w:val="single" w:sz="8" w:color="auto"/>
            </w:tcBorders>
          </w:tcPr>
          <w:p>
            <w:pPr>
              <w:spacing w:after="0"/>
              <w:rPr>
                <w:sz w:val="16"/>
                <w:szCs w:val="16"/>
                <w:color w:val="auto"/>
              </w:rPr>
            </w:pPr>
          </w:p>
        </w:tc>
        <w:tc>
          <w:tcPr>
            <w:tcW w:w="1640" w:type="dxa"/>
            <w:vAlign w:val="bottom"/>
            <w:tcBorders>
              <w:top w:val="single" w:sz="8" w:color="auto"/>
              <w:bottom w:val="single" w:sz="8" w:color="auto"/>
            </w:tcBorders>
          </w:tcPr>
          <w:p>
            <w:pPr>
              <w:spacing w:after="0"/>
              <w:rPr>
                <w:sz w:val="16"/>
                <w:szCs w:val="16"/>
                <w:color w:val="auto"/>
              </w:rPr>
            </w:pPr>
          </w:p>
        </w:tc>
        <w:tc>
          <w:tcPr>
            <w:tcW w:w="1820" w:type="dxa"/>
            <w:vAlign w:val="bottom"/>
            <w:tcBorders>
              <w:top w:val="single" w:sz="8" w:color="auto"/>
              <w:bottom w:val="single" w:sz="8" w:color="auto"/>
            </w:tcBorders>
          </w:tcPr>
          <w:p>
            <w:pPr>
              <w:spacing w:after="0"/>
              <w:rPr>
                <w:sz w:val="16"/>
                <w:szCs w:val="16"/>
                <w:color w:val="auto"/>
              </w:rPr>
            </w:pPr>
          </w:p>
        </w:tc>
      </w:tr>
      <w:tr>
        <w:trPr>
          <w:trHeight w:val="169"/>
        </w:trPr>
        <w:tc>
          <w:tcPr>
            <w:tcW w:w="25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February 2, 2019</w:t>
            </w:r>
          </w:p>
        </w:tc>
        <w:tc>
          <w:tcPr>
            <w:tcW w:w="1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rPr>
              <w:t>February 3, 2018 (1)</w:t>
            </w:r>
          </w:p>
        </w:tc>
      </w:tr>
      <w:tr>
        <w:trPr>
          <w:trHeight w:val="169"/>
        </w:trPr>
        <w:tc>
          <w:tcPr>
            <w:tcW w:w="25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Revenue</w:t>
            </w: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 of revenue</w:t>
            </w:r>
          </w:p>
        </w:tc>
        <w:tc>
          <w:tcPr>
            <w:tcW w:w="148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Y/Y %</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Revenue</w:t>
            </w:r>
          </w:p>
        </w:tc>
        <w:tc>
          <w:tcPr>
            <w:tcW w:w="18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 of revenue</w:t>
            </w:r>
          </w:p>
        </w:tc>
      </w:tr>
      <w:tr>
        <w:trPr>
          <w:trHeight w:val="164"/>
        </w:trPr>
        <w:tc>
          <w:tcPr>
            <w:tcW w:w="2540" w:type="dxa"/>
            <w:vAlign w:val="bottom"/>
          </w:tcPr>
          <w:p>
            <w:pPr>
              <w:spacing w:after="0"/>
              <w:rPr>
                <w:sz w:val="20"/>
                <w:szCs w:val="20"/>
                <w:color w:val="auto"/>
              </w:rPr>
            </w:pPr>
            <w:r>
              <w:rPr>
                <w:rFonts w:ascii="Arial" w:cs="Arial" w:eastAsia="Arial" w:hAnsi="Arial"/>
                <w:sz w:val="14"/>
                <w:szCs w:val="14"/>
                <w:color w:val="auto"/>
              </w:rPr>
              <w:t>Industrial</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728,122</w:t>
            </w:r>
          </w:p>
        </w:tc>
        <w:tc>
          <w:tcPr>
            <w:tcW w:w="1700" w:type="dxa"/>
            <w:vAlign w:val="bottom"/>
          </w:tcPr>
          <w:p>
            <w:pPr>
              <w:jc w:val="center"/>
              <w:ind w:left="168"/>
              <w:spacing w:after="0"/>
              <w:rPr>
                <w:sz w:val="20"/>
                <w:szCs w:val="20"/>
                <w:color w:val="auto"/>
              </w:rPr>
            </w:pPr>
            <w:r>
              <w:rPr>
                <w:rFonts w:ascii="Arial" w:cs="Arial" w:eastAsia="Arial" w:hAnsi="Arial"/>
                <w:sz w:val="14"/>
                <w:szCs w:val="14"/>
                <w:color w:val="auto"/>
                <w:w w:val="92"/>
              </w:rPr>
              <w:t>47%</w:t>
            </w:r>
          </w:p>
        </w:tc>
        <w:tc>
          <w:tcPr>
            <w:tcW w:w="1480" w:type="dxa"/>
            <w:vAlign w:val="bottom"/>
          </w:tcPr>
          <w:p>
            <w:pPr>
              <w:jc w:val="center"/>
              <w:ind w:left="348"/>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328"/>
              <w:spacing w:after="0"/>
              <w:rPr>
                <w:sz w:val="20"/>
                <w:szCs w:val="20"/>
                <w:color w:val="auto"/>
              </w:rPr>
            </w:pPr>
            <w:r>
              <w:rPr>
                <w:rFonts w:ascii="Arial" w:cs="Arial" w:eastAsia="Arial" w:hAnsi="Arial"/>
                <w:sz w:val="14"/>
                <w:szCs w:val="14"/>
                <w:color w:val="auto"/>
              </w:rPr>
              <w:t>781,317</w:t>
            </w:r>
          </w:p>
        </w:tc>
        <w:tc>
          <w:tcPr>
            <w:tcW w:w="1820" w:type="dxa"/>
            <w:vAlign w:val="bottom"/>
          </w:tcPr>
          <w:p>
            <w:pPr>
              <w:jc w:val="center"/>
              <w:ind w:right="168"/>
              <w:spacing w:after="0"/>
              <w:rPr>
                <w:sz w:val="20"/>
                <w:szCs w:val="20"/>
                <w:color w:val="auto"/>
              </w:rPr>
            </w:pPr>
            <w:r>
              <w:rPr>
                <w:rFonts w:ascii="Arial" w:cs="Arial" w:eastAsia="Arial" w:hAnsi="Arial"/>
                <w:sz w:val="14"/>
                <w:szCs w:val="14"/>
                <w:color w:val="auto"/>
                <w:w w:val="92"/>
              </w:rPr>
              <w:t>50%</w:t>
            </w:r>
          </w:p>
        </w:tc>
      </w:tr>
      <w:tr>
        <w:trPr>
          <w:trHeight w:val="176"/>
        </w:trPr>
        <w:tc>
          <w:tcPr>
            <w:tcW w:w="2540" w:type="dxa"/>
            <w:vAlign w:val="bottom"/>
          </w:tcPr>
          <w:p>
            <w:pPr>
              <w:spacing w:after="0"/>
              <w:rPr>
                <w:sz w:val="20"/>
                <w:szCs w:val="20"/>
                <w:color w:val="auto"/>
              </w:rPr>
            </w:pPr>
            <w:r>
              <w:rPr>
                <w:rFonts w:ascii="Arial" w:cs="Arial" w:eastAsia="Arial" w:hAnsi="Arial"/>
                <w:sz w:val="14"/>
                <w:szCs w:val="14"/>
                <w:color w:val="auto"/>
              </w:rPr>
              <w:t>Automotive</w:t>
            </w:r>
          </w:p>
        </w:tc>
        <w:tc>
          <w:tcPr>
            <w:tcW w:w="340" w:type="dxa"/>
            <w:vAlign w:val="bottom"/>
          </w:tcPr>
          <w:p>
            <w:pPr>
              <w:spacing w:after="0"/>
              <w:rPr>
                <w:sz w:val="15"/>
                <w:szCs w:val="15"/>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259,484</w:t>
            </w:r>
          </w:p>
        </w:tc>
        <w:tc>
          <w:tcPr>
            <w:tcW w:w="1700" w:type="dxa"/>
            <w:vAlign w:val="bottom"/>
          </w:tcPr>
          <w:p>
            <w:pPr>
              <w:jc w:val="center"/>
              <w:ind w:left="168"/>
              <w:spacing w:after="0"/>
              <w:rPr>
                <w:sz w:val="20"/>
                <w:szCs w:val="20"/>
                <w:color w:val="auto"/>
              </w:rPr>
            </w:pPr>
            <w:r>
              <w:rPr>
                <w:rFonts w:ascii="Arial" w:cs="Arial" w:eastAsia="Arial" w:hAnsi="Arial"/>
                <w:sz w:val="14"/>
                <w:szCs w:val="14"/>
                <w:color w:val="auto"/>
                <w:w w:val="92"/>
              </w:rPr>
              <w:t>17%</w:t>
            </w:r>
          </w:p>
        </w:tc>
        <w:tc>
          <w:tcPr>
            <w:tcW w:w="1480" w:type="dxa"/>
            <w:vAlign w:val="bottom"/>
          </w:tcPr>
          <w:p>
            <w:pPr>
              <w:jc w:val="center"/>
              <w:ind w:left="348"/>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right"/>
              <w:ind w:right="328"/>
              <w:spacing w:after="0"/>
              <w:rPr>
                <w:sz w:val="20"/>
                <w:szCs w:val="20"/>
                <w:color w:val="auto"/>
              </w:rPr>
            </w:pPr>
            <w:r>
              <w:rPr>
                <w:rFonts w:ascii="Arial" w:cs="Arial" w:eastAsia="Arial" w:hAnsi="Arial"/>
                <w:sz w:val="14"/>
                <w:szCs w:val="14"/>
                <w:color w:val="auto"/>
              </w:rPr>
              <w:t>263,575</w:t>
            </w:r>
          </w:p>
        </w:tc>
        <w:tc>
          <w:tcPr>
            <w:tcW w:w="1820" w:type="dxa"/>
            <w:vAlign w:val="bottom"/>
          </w:tcPr>
          <w:p>
            <w:pPr>
              <w:jc w:val="center"/>
              <w:ind w:right="168"/>
              <w:spacing w:after="0"/>
              <w:rPr>
                <w:sz w:val="20"/>
                <w:szCs w:val="20"/>
                <w:color w:val="auto"/>
              </w:rPr>
            </w:pPr>
            <w:r>
              <w:rPr>
                <w:rFonts w:ascii="Arial" w:cs="Arial" w:eastAsia="Arial" w:hAnsi="Arial"/>
                <w:sz w:val="14"/>
                <w:szCs w:val="14"/>
                <w:color w:val="auto"/>
                <w:w w:val="92"/>
              </w:rPr>
              <w:t>17%</w:t>
            </w:r>
          </w:p>
        </w:tc>
      </w:tr>
      <w:tr>
        <w:trPr>
          <w:trHeight w:val="176"/>
        </w:trPr>
        <w:tc>
          <w:tcPr>
            <w:tcW w:w="2540" w:type="dxa"/>
            <w:vAlign w:val="bottom"/>
          </w:tcPr>
          <w:p>
            <w:pPr>
              <w:spacing w:after="0"/>
              <w:rPr>
                <w:sz w:val="20"/>
                <w:szCs w:val="20"/>
                <w:color w:val="auto"/>
              </w:rPr>
            </w:pPr>
            <w:r>
              <w:rPr>
                <w:rFonts w:ascii="Arial" w:cs="Arial" w:eastAsia="Arial" w:hAnsi="Arial"/>
                <w:sz w:val="14"/>
                <w:szCs w:val="14"/>
                <w:color w:val="auto"/>
              </w:rPr>
              <w:t>Consumer</w:t>
            </w:r>
          </w:p>
        </w:tc>
        <w:tc>
          <w:tcPr>
            <w:tcW w:w="340" w:type="dxa"/>
            <w:vAlign w:val="bottom"/>
          </w:tcPr>
          <w:p>
            <w:pPr>
              <w:spacing w:after="0"/>
              <w:rPr>
                <w:sz w:val="15"/>
                <w:szCs w:val="15"/>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208,334</w:t>
            </w:r>
          </w:p>
        </w:tc>
        <w:tc>
          <w:tcPr>
            <w:tcW w:w="1700" w:type="dxa"/>
            <w:vAlign w:val="bottom"/>
          </w:tcPr>
          <w:p>
            <w:pPr>
              <w:jc w:val="center"/>
              <w:ind w:left="168"/>
              <w:spacing w:after="0"/>
              <w:rPr>
                <w:sz w:val="20"/>
                <w:szCs w:val="20"/>
                <w:color w:val="auto"/>
              </w:rPr>
            </w:pPr>
            <w:r>
              <w:rPr>
                <w:rFonts w:ascii="Arial" w:cs="Arial" w:eastAsia="Arial" w:hAnsi="Arial"/>
                <w:sz w:val="14"/>
                <w:szCs w:val="14"/>
                <w:color w:val="auto"/>
                <w:w w:val="92"/>
              </w:rPr>
              <w:t>14%</w:t>
            </w:r>
          </w:p>
        </w:tc>
        <w:tc>
          <w:tcPr>
            <w:tcW w:w="1480" w:type="dxa"/>
            <w:vAlign w:val="bottom"/>
          </w:tcPr>
          <w:p>
            <w:pPr>
              <w:jc w:val="center"/>
              <w:ind w:left="328"/>
              <w:spacing w:after="0"/>
              <w:rPr>
                <w:sz w:val="20"/>
                <w:szCs w:val="20"/>
                <w:color w:val="auto"/>
              </w:rPr>
            </w:pPr>
            <w:r>
              <w:rPr>
                <w:rFonts w:ascii="Arial" w:cs="Arial" w:eastAsia="Arial" w:hAnsi="Arial"/>
                <w:sz w:val="14"/>
                <w:szCs w:val="14"/>
                <w:color w:val="auto"/>
                <w:w w:val="96"/>
              </w:rPr>
              <w:t>(21)%</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right"/>
              <w:ind w:right="328"/>
              <w:spacing w:after="0"/>
              <w:rPr>
                <w:sz w:val="20"/>
                <w:szCs w:val="20"/>
                <w:color w:val="auto"/>
              </w:rPr>
            </w:pPr>
            <w:r>
              <w:rPr>
                <w:rFonts w:ascii="Arial" w:cs="Arial" w:eastAsia="Arial" w:hAnsi="Arial"/>
                <w:sz w:val="14"/>
                <w:szCs w:val="14"/>
                <w:color w:val="auto"/>
              </w:rPr>
              <w:t>264,510</w:t>
            </w:r>
          </w:p>
        </w:tc>
        <w:tc>
          <w:tcPr>
            <w:tcW w:w="1820" w:type="dxa"/>
            <w:vAlign w:val="bottom"/>
          </w:tcPr>
          <w:p>
            <w:pPr>
              <w:jc w:val="center"/>
              <w:ind w:right="168"/>
              <w:spacing w:after="0"/>
              <w:rPr>
                <w:sz w:val="20"/>
                <w:szCs w:val="20"/>
                <w:color w:val="auto"/>
              </w:rPr>
            </w:pPr>
            <w:r>
              <w:rPr>
                <w:rFonts w:ascii="Arial" w:cs="Arial" w:eastAsia="Arial" w:hAnsi="Arial"/>
                <w:sz w:val="14"/>
                <w:szCs w:val="14"/>
                <w:color w:val="auto"/>
                <w:w w:val="92"/>
              </w:rPr>
              <w:t>17%</w:t>
            </w:r>
          </w:p>
        </w:tc>
      </w:tr>
      <w:tr>
        <w:trPr>
          <w:trHeight w:val="181"/>
        </w:trPr>
        <w:tc>
          <w:tcPr>
            <w:tcW w:w="2540" w:type="dxa"/>
            <w:vAlign w:val="bottom"/>
          </w:tcPr>
          <w:p>
            <w:pPr>
              <w:spacing w:after="0"/>
              <w:rPr>
                <w:sz w:val="20"/>
                <w:szCs w:val="20"/>
                <w:color w:val="auto"/>
              </w:rPr>
            </w:pPr>
            <w:r>
              <w:rPr>
                <w:rFonts w:ascii="Arial" w:cs="Arial" w:eastAsia="Arial" w:hAnsi="Arial"/>
                <w:sz w:val="14"/>
                <w:szCs w:val="14"/>
                <w:color w:val="auto"/>
              </w:rPr>
              <w:t>Communications</w:t>
            </w: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345,161</w:t>
            </w:r>
          </w:p>
        </w:tc>
        <w:tc>
          <w:tcPr>
            <w:tcW w:w="170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color w:val="auto"/>
                <w:w w:val="92"/>
              </w:rPr>
              <w:t>22%</w:t>
            </w:r>
          </w:p>
        </w:tc>
        <w:tc>
          <w:tcPr>
            <w:tcW w:w="148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color w:val="auto"/>
                <w:w w:val="92"/>
              </w:rPr>
              <w:t>34%</w:t>
            </w: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257,468</w:t>
            </w:r>
          </w:p>
        </w:tc>
        <w:tc>
          <w:tcPr>
            <w:tcW w:w="18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w w:val="92"/>
              </w:rPr>
              <w:t>16%</w:t>
            </w:r>
          </w:p>
        </w:tc>
      </w:tr>
      <w:tr>
        <w:trPr>
          <w:trHeight w:val="169"/>
        </w:trPr>
        <w:tc>
          <w:tcPr>
            <w:tcW w:w="2540" w:type="dxa"/>
            <w:vAlign w:val="bottom"/>
          </w:tcPr>
          <w:p>
            <w:pPr>
              <w:spacing w:after="0"/>
              <w:rPr>
                <w:sz w:val="20"/>
                <w:szCs w:val="20"/>
                <w:color w:val="auto"/>
              </w:rPr>
            </w:pPr>
            <w:r>
              <w:rPr>
                <w:rFonts w:ascii="Arial" w:cs="Arial" w:eastAsia="Arial" w:hAnsi="Arial"/>
                <w:sz w:val="14"/>
                <w:szCs w:val="14"/>
                <w:color w:val="auto"/>
              </w:rPr>
              <w:t>Total revenue</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1,541,101</w:t>
            </w:r>
          </w:p>
        </w:tc>
        <w:tc>
          <w:tcPr>
            <w:tcW w:w="170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color w:val="auto"/>
                <w:w w:val="94"/>
              </w:rPr>
              <w:t>100%</w:t>
            </w:r>
          </w:p>
        </w:tc>
        <w:tc>
          <w:tcPr>
            <w:tcW w:w="148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1,566,870</w:t>
            </w:r>
          </w:p>
        </w:tc>
        <w:tc>
          <w:tcPr>
            <w:tcW w:w="18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w w:val="94"/>
              </w:rPr>
              <w:t>100%</w:t>
            </w:r>
          </w:p>
        </w:tc>
      </w:tr>
      <w:tr>
        <w:trPr>
          <w:trHeight w:val="20"/>
        </w:trPr>
        <w:tc>
          <w:tcPr>
            <w:tcW w:w="2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ind w:right="40" w:firstLine="8"/>
        <w:spacing w:after="0" w:line="251" w:lineRule="auto"/>
        <w:tabs>
          <w:tab w:leader="none" w:pos="306" w:val="left"/>
        </w:tabs>
        <w:numPr>
          <w:ilvl w:val="0"/>
          <w:numId w:val="4"/>
        </w:numPr>
        <w:rPr>
          <w:rFonts w:ascii="Arial" w:cs="Arial" w:eastAsia="Arial" w:hAnsi="Arial"/>
          <w:sz w:val="22"/>
          <w:szCs w:val="22"/>
          <w:color w:val="auto"/>
        </w:rPr>
      </w:pPr>
      <w:r>
        <w:rPr>
          <w:rFonts w:ascii="Arial" w:cs="Arial" w:eastAsia="Arial" w:hAnsi="Arial"/>
          <w:sz w:val="22"/>
          <w:szCs w:val="22"/>
          <w:color w:val="auto"/>
        </w:rPr>
        <w:t>Balances have been restated to reflect the full retrospective adoption of Accounting Standards Update (ASU) 2014-09, Revenue from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ANALOG DEVICES,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OF GAAP TO NON-GAAP ADJUSTED RESULTS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960" w:type="dxa"/>
            <w:vAlign w:val="bottom"/>
            <w:gridSpan w:val="6"/>
          </w:tcPr>
          <w:p>
            <w:pPr>
              <w:ind w:left="11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9"/>
        </w:trPr>
        <w:tc>
          <w:tcPr>
            <w:tcW w:w="71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gridSpan w:val="2"/>
          </w:tcPr>
          <w:p>
            <w:pPr>
              <w:jc w:val="right"/>
              <w:ind w:right="720"/>
              <w:spacing w:after="0"/>
              <w:rPr>
                <w:sz w:val="20"/>
                <w:szCs w:val="20"/>
                <w:color w:val="auto"/>
              </w:rPr>
            </w:pPr>
            <w:r>
              <w:rPr>
                <w:rFonts w:ascii="Arial" w:cs="Arial" w:eastAsia="Arial" w:hAnsi="Arial"/>
                <w:sz w:val="14"/>
                <w:szCs w:val="14"/>
                <w:b w:val="1"/>
                <w:bCs w:val="1"/>
                <w:color w:val="auto"/>
              </w:rPr>
              <w:t>Feb. 2, 2019</w:t>
            </w:r>
          </w:p>
        </w:tc>
        <w:tc>
          <w:tcPr>
            <w:tcW w:w="460" w:type="dxa"/>
            <w:vAlign w:val="bottom"/>
            <w:tcBorders>
              <w:top w:val="single" w:sz="8" w:color="auto"/>
              <w:bottom w:val="single" w:sz="8" w:color="auto"/>
            </w:tcBorders>
          </w:tcPr>
          <w:p>
            <w:pPr>
              <w:spacing w:after="0"/>
              <w:rPr>
                <w:sz w:val="14"/>
                <w:szCs w:val="14"/>
                <w:color w:val="auto"/>
              </w:rPr>
            </w:pPr>
          </w:p>
        </w:tc>
        <w:tc>
          <w:tcPr>
            <w:tcW w:w="184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Feb. 3, 2018 (1)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140" w:type="dxa"/>
            <w:vAlign w:val="bottom"/>
          </w:tcPr>
          <w:p>
            <w:pPr>
              <w:spacing w:after="0"/>
              <w:rPr>
                <w:sz w:val="20"/>
                <w:szCs w:val="20"/>
                <w:color w:val="auto"/>
              </w:rPr>
            </w:pPr>
            <w:r>
              <w:rPr>
                <w:rFonts w:ascii="Arial" w:cs="Arial" w:eastAsia="Arial" w:hAnsi="Arial"/>
                <w:sz w:val="14"/>
                <w:szCs w:val="14"/>
                <w:color w:val="auto"/>
              </w:rPr>
              <w:t>Gross margin</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1,039,656</w:t>
            </w:r>
          </w:p>
        </w:tc>
        <w:tc>
          <w:tcPr>
            <w:tcW w:w="180" w:type="dxa"/>
            <w:vAlign w:val="bottom"/>
          </w:tcPr>
          <w:p>
            <w:pPr>
              <w:spacing w:after="0"/>
              <w:rPr>
                <w:sz w:val="14"/>
                <w:szCs w:val="14"/>
                <w:color w:val="auto"/>
              </w:rPr>
            </w:pPr>
          </w:p>
        </w:tc>
        <w:tc>
          <w:tcPr>
            <w:tcW w:w="4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840" w:type="dxa"/>
            <w:vAlign w:val="bottom"/>
          </w:tcPr>
          <w:p>
            <w:pPr>
              <w:jc w:val="right"/>
              <w:spacing w:after="0"/>
              <w:rPr>
                <w:sz w:val="20"/>
                <w:szCs w:val="20"/>
                <w:color w:val="auto"/>
              </w:rPr>
            </w:pPr>
            <w:r>
              <w:rPr>
                <w:rFonts w:ascii="Arial" w:cs="Arial" w:eastAsia="Arial" w:hAnsi="Arial"/>
                <w:sz w:val="14"/>
                <w:szCs w:val="14"/>
                <w:color w:val="auto"/>
              </w:rPr>
              <w:t>1,071,683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140" w:type="dxa"/>
            <w:vAlign w:val="bottom"/>
          </w:tcPr>
          <w:p>
            <w:pPr>
              <w:ind w:left="140"/>
              <w:spacing w:after="0"/>
              <w:rPr>
                <w:sz w:val="20"/>
                <w:szCs w:val="20"/>
                <w:color w:val="auto"/>
              </w:rPr>
            </w:pPr>
            <w:r>
              <w:rPr>
                <w:rFonts w:ascii="Arial" w:cs="Arial" w:eastAsia="Arial" w:hAnsi="Arial"/>
                <w:sz w:val="14"/>
                <w:szCs w:val="14"/>
                <w:color w:val="auto"/>
              </w:rPr>
              <w:t>Gross margin percentage</w:t>
            </w: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67.5%</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80" w:type="dxa"/>
            <w:vAlign w:val="bottom"/>
            <w:gridSpan w:val="3"/>
          </w:tcPr>
          <w:p>
            <w:pPr>
              <w:jc w:val="right"/>
              <w:ind w:right="40"/>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181"/>
        </w:trPr>
        <w:tc>
          <w:tcPr>
            <w:tcW w:w="7140" w:type="dxa"/>
            <w:vAlign w:val="bottom"/>
          </w:tcPr>
          <w:p>
            <w:pPr>
              <w:ind w:left="420"/>
              <w:spacing w:after="0"/>
              <w:rPr>
                <w:sz w:val="20"/>
                <w:szCs w:val="20"/>
                <w:color w:val="auto"/>
              </w:rPr>
            </w:pPr>
            <w:r>
              <w:rPr>
                <w:rFonts w:ascii="Arial" w:cs="Arial" w:eastAsia="Arial" w:hAnsi="Arial"/>
                <w:sz w:val="14"/>
                <w:szCs w:val="14"/>
                <w:color w:val="auto"/>
              </w:rPr>
              <w:t>Acquisition related expenses</w:t>
            </w:r>
          </w:p>
        </w:tc>
        <w:tc>
          <w:tcPr>
            <w:tcW w:w="3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43,495</w:t>
            </w: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43,776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140" w:type="dxa"/>
            <w:vAlign w:val="bottom"/>
          </w:tcPr>
          <w:p>
            <w:pPr>
              <w:spacing w:after="0"/>
              <w:rPr>
                <w:sz w:val="20"/>
                <w:szCs w:val="20"/>
                <w:color w:val="auto"/>
              </w:rPr>
            </w:pPr>
            <w:r>
              <w:rPr>
                <w:rFonts w:ascii="Arial" w:cs="Arial" w:eastAsia="Arial" w:hAnsi="Arial"/>
                <w:sz w:val="14"/>
                <w:szCs w:val="14"/>
                <w:color w:val="auto"/>
              </w:rPr>
              <w:t>Adjusted gross margin</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1,083,151</w:t>
            </w: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1,115,459</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4"/>
                <w:szCs w:val="14"/>
                <w:color w:val="auto"/>
              </w:rPr>
              <w:t>Adjusted gross margin percentage</w:t>
            </w: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140" w:type="dxa"/>
            <w:vAlign w:val="bottom"/>
            <w:vMerge w:val="continue"/>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70.3%</w:t>
            </w:r>
          </w:p>
        </w:tc>
        <w:tc>
          <w:tcPr>
            <w:tcW w:w="1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71.2%</w:t>
            </w: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7140" w:type="dxa"/>
            <w:vAlign w:val="bottom"/>
          </w:tcPr>
          <w:p>
            <w:pPr>
              <w:spacing w:after="0"/>
              <w:rPr>
                <w:sz w:val="20"/>
                <w:szCs w:val="20"/>
                <w:color w:val="auto"/>
              </w:rPr>
            </w:pPr>
            <w:r>
              <w:rPr>
                <w:rFonts w:ascii="Arial" w:cs="Arial" w:eastAsia="Arial" w:hAnsi="Arial"/>
                <w:sz w:val="14"/>
                <w:szCs w:val="14"/>
                <w:color w:val="auto"/>
              </w:rPr>
              <w:t>Operating expenses</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583,830</w:t>
            </w:r>
          </w:p>
        </w:tc>
        <w:tc>
          <w:tcPr>
            <w:tcW w:w="180" w:type="dxa"/>
            <w:vAlign w:val="bottom"/>
          </w:tcPr>
          <w:p>
            <w:pPr>
              <w:spacing w:after="0"/>
              <w:rPr>
                <w:sz w:val="24"/>
                <w:szCs w:val="24"/>
                <w:color w:val="auto"/>
              </w:rPr>
            </w:pPr>
          </w:p>
        </w:tc>
        <w:tc>
          <w:tcPr>
            <w:tcW w:w="4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860" w:type="dxa"/>
            <w:vAlign w:val="bottom"/>
            <w:gridSpan w:val="2"/>
          </w:tcPr>
          <w:p>
            <w:pPr>
              <w:jc w:val="right"/>
              <w:ind w:right="20"/>
              <w:spacing w:after="0"/>
              <w:rPr>
                <w:sz w:val="20"/>
                <w:szCs w:val="20"/>
                <w:color w:val="auto"/>
              </w:rPr>
            </w:pPr>
            <w:r>
              <w:rPr>
                <w:rFonts w:ascii="Arial" w:cs="Arial" w:eastAsia="Arial" w:hAnsi="Arial"/>
                <w:sz w:val="14"/>
                <w:szCs w:val="14"/>
                <w:color w:val="auto"/>
              </w:rPr>
              <w:t>629,842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140" w:type="dxa"/>
            <w:vAlign w:val="bottom"/>
          </w:tcPr>
          <w:p>
            <w:pPr>
              <w:ind w:left="140"/>
              <w:spacing w:after="0"/>
              <w:rPr>
                <w:sz w:val="20"/>
                <w:szCs w:val="20"/>
                <w:color w:val="auto"/>
              </w:rPr>
            </w:pPr>
            <w:r>
              <w:rPr>
                <w:rFonts w:ascii="Arial" w:cs="Arial" w:eastAsia="Arial" w:hAnsi="Arial"/>
                <w:sz w:val="14"/>
                <w:szCs w:val="14"/>
                <w:color w:val="auto"/>
              </w:rPr>
              <w:t>Percent of revenue</w:t>
            </w: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i w:val="1"/>
                <w:iCs w:val="1"/>
                <w:color w:val="auto"/>
              </w:rPr>
              <w:t>37.9%</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80" w:type="dxa"/>
            <w:vAlign w:val="bottom"/>
            <w:gridSpan w:val="3"/>
          </w:tcPr>
          <w:p>
            <w:pPr>
              <w:jc w:val="right"/>
              <w:ind w:right="40"/>
              <w:spacing w:after="0"/>
              <w:rPr>
                <w:sz w:val="20"/>
                <w:szCs w:val="20"/>
                <w:color w:val="auto"/>
              </w:rPr>
            </w:pPr>
            <w:r>
              <w:rPr>
                <w:rFonts w:ascii="Arial" w:cs="Arial" w:eastAsia="Arial" w:hAnsi="Arial"/>
                <w:sz w:val="14"/>
                <w:szCs w:val="14"/>
                <w:i w:val="1"/>
                <w:iCs w:val="1"/>
                <w:color w:val="auto"/>
              </w:rPr>
              <w:t>40.2%</w:t>
            </w:r>
          </w:p>
        </w:tc>
        <w:tc>
          <w:tcPr>
            <w:tcW w:w="0" w:type="dxa"/>
            <w:vAlign w:val="bottom"/>
          </w:tcPr>
          <w:p>
            <w:pPr>
              <w:spacing w:after="0"/>
              <w:rPr>
                <w:sz w:val="1"/>
                <w:szCs w:val="1"/>
                <w:color w:val="auto"/>
              </w:rPr>
            </w:pPr>
          </w:p>
        </w:tc>
      </w:tr>
      <w:tr>
        <w:trPr>
          <w:trHeight w:val="176"/>
        </w:trPr>
        <w:tc>
          <w:tcPr>
            <w:tcW w:w="7140" w:type="dxa"/>
            <w:vAlign w:val="bottom"/>
          </w:tcPr>
          <w:p>
            <w:pPr>
              <w:ind w:left="420"/>
              <w:spacing w:after="0"/>
              <w:rPr>
                <w:sz w:val="20"/>
                <w:szCs w:val="20"/>
                <w:color w:val="auto"/>
              </w:rPr>
            </w:pPr>
            <w:r>
              <w:rPr>
                <w:rFonts w:ascii="Arial" w:cs="Arial" w:eastAsia="Arial" w:hAnsi="Arial"/>
                <w:sz w:val="14"/>
                <w:szCs w:val="14"/>
                <w:color w:val="auto"/>
              </w:rPr>
              <w:t>Acquisition related expenses</w:t>
            </w: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(113,832)</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4"/>
                <w:szCs w:val="14"/>
                <w:color w:val="auto"/>
              </w:rPr>
              <w:t>(117,978)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40" w:type="dxa"/>
            <w:vAlign w:val="bottom"/>
          </w:tcPr>
          <w:p>
            <w:pPr>
              <w:ind w:left="420"/>
              <w:spacing w:after="0"/>
              <w:rPr>
                <w:sz w:val="20"/>
                <w:szCs w:val="20"/>
                <w:color w:val="auto"/>
              </w:rPr>
            </w:pPr>
            <w:r>
              <w:rPr>
                <w:rFonts w:ascii="Arial" w:cs="Arial" w:eastAsia="Arial" w:hAnsi="Arial"/>
                <w:sz w:val="14"/>
                <w:szCs w:val="14"/>
                <w:color w:val="auto"/>
              </w:rPr>
              <w:t>Acquisition related transaction costs</w:t>
            </w: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80" w:type="dxa"/>
            <w:vAlign w:val="bottom"/>
            <w:gridSpan w:val="3"/>
          </w:tcPr>
          <w:p>
            <w:pPr>
              <w:jc w:val="right"/>
              <w:ind w:right="40"/>
              <w:spacing w:after="0"/>
              <w:rPr>
                <w:sz w:val="20"/>
                <w:szCs w:val="20"/>
                <w:color w:val="auto"/>
              </w:rPr>
            </w:pPr>
            <w:r>
              <w:rPr>
                <w:rFonts w:ascii="Arial" w:cs="Arial" w:eastAsia="Arial" w:hAnsi="Arial"/>
                <w:sz w:val="14"/>
                <w:szCs w:val="14"/>
                <w:color w:val="auto"/>
              </w:rPr>
              <w:t>(8,736)</w:t>
            </w:r>
          </w:p>
        </w:tc>
        <w:tc>
          <w:tcPr>
            <w:tcW w:w="0" w:type="dxa"/>
            <w:vAlign w:val="bottom"/>
          </w:tcPr>
          <w:p>
            <w:pPr>
              <w:spacing w:after="0"/>
              <w:rPr>
                <w:sz w:val="1"/>
                <w:szCs w:val="1"/>
                <w:color w:val="auto"/>
              </w:rPr>
            </w:pPr>
          </w:p>
        </w:tc>
      </w:tr>
      <w:tr>
        <w:trPr>
          <w:trHeight w:val="181"/>
        </w:trPr>
        <w:tc>
          <w:tcPr>
            <w:tcW w:w="7140" w:type="dxa"/>
            <w:vAlign w:val="bottom"/>
          </w:tcPr>
          <w:p>
            <w:pPr>
              <w:ind w:left="420"/>
              <w:spacing w:after="0"/>
              <w:rPr>
                <w:sz w:val="20"/>
                <w:szCs w:val="20"/>
                <w:color w:val="auto"/>
              </w:rPr>
            </w:pPr>
            <w:r>
              <w:rPr>
                <w:rFonts w:ascii="Arial" w:cs="Arial" w:eastAsia="Arial" w:hAnsi="Arial"/>
                <w:sz w:val="14"/>
                <w:szCs w:val="14"/>
                <w:color w:val="auto"/>
              </w:rPr>
              <w:t>Restructuring related expense</w:t>
            </w: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(21,782)</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80" w:type="dxa"/>
            <w:vAlign w:val="bottom"/>
            <w:gridSpan w:val="3"/>
          </w:tcPr>
          <w:p>
            <w:pPr>
              <w:jc w:val="right"/>
              <w:ind w:right="40"/>
              <w:spacing w:after="0"/>
              <w:rPr>
                <w:sz w:val="20"/>
                <w:szCs w:val="20"/>
                <w:color w:val="auto"/>
              </w:rPr>
            </w:pPr>
            <w:r>
              <w:rPr>
                <w:rFonts w:ascii="Arial" w:cs="Arial" w:eastAsia="Arial" w:hAnsi="Arial"/>
                <w:sz w:val="14"/>
                <w:szCs w:val="14"/>
                <w:color w:val="auto"/>
              </w:rPr>
              <w:t>(57,318)</w:t>
            </w:r>
          </w:p>
        </w:tc>
        <w:tc>
          <w:tcPr>
            <w:tcW w:w="0" w:type="dxa"/>
            <w:vAlign w:val="bottom"/>
          </w:tcPr>
          <w:p>
            <w:pPr>
              <w:spacing w:after="0"/>
              <w:rPr>
                <w:sz w:val="1"/>
                <w:szCs w:val="1"/>
                <w:color w:val="auto"/>
              </w:rPr>
            </w:pPr>
          </w:p>
        </w:tc>
      </w:tr>
      <w:tr>
        <w:trPr>
          <w:trHeight w:val="169"/>
        </w:trPr>
        <w:tc>
          <w:tcPr>
            <w:tcW w:w="7140" w:type="dxa"/>
            <w:vAlign w:val="bottom"/>
          </w:tcPr>
          <w:p>
            <w:pPr>
              <w:spacing w:after="0"/>
              <w:rPr>
                <w:sz w:val="20"/>
                <w:szCs w:val="20"/>
                <w:color w:val="auto"/>
              </w:rPr>
            </w:pPr>
            <w:r>
              <w:rPr>
                <w:rFonts w:ascii="Arial" w:cs="Arial" w:eastAsia="Arial" w:hAnsi="Arial"/>
                <w:sz w:val="14"/>
                <w:szCs w:val="14"/>
                <w:color w:val="auto"/>
              </w:rPr>
              <w:t>Adjusted operating expenses</w:t>
            </w:r>
          </w:p>
        </w:tc>
        <w:tc>
          <w:tcPr>
            <w:tcW w:w="3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448,216</w:t>
            </w:r>
          </w:p>
        </w:tc>
        <w:tc>
          <w:tcPr>
            <w:tcW w:w="1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445,810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4"/>
                <w:szCs w:val="14"/>
                <w:color w:val="auto"/>
              </w:rPr>
              <w:t>Adjusted operating expenses percentage</w:t>
            </w: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140" w:type="dxa"/>
            <w:vAlign w:val="bottom"/>
            <w:vMerge w:val="continue"/>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29.1%</w:t>
            </w:r>
          </w:p>
        </w:tc>
        <w:tc>
          <w:tcPr>
            <w:tcW w:w="1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28.5%</w:t>
            </w: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7140" w:type="dxa"/>
            <w:vAlign w:val="bottom"/>
          </w:tcPr>
          <w:p>
            <w:pPr>
              <w:spacing w:after="0"/>
              <w:rPr>
                <w:sz w:val="20"/>
                <w:szCs w:val="20"/>
                <w:color w:val="auto"/>
              </w:rPr>
            </w:pPr>
            <w:r>
              <w:rPr>
                <w:rFonts w:ascii="Arial" w:cs="Arial" w:eastAsia="Arial" w:hAnsi="Arial"/>
                <w:sz w:val="14"/>
                <w:szCs w:val="14"/>
                <w:color w:val="auto"/>
              </w:rPr>
              <w:t>Operating income</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455,826</w:t>
            </w:r>
          </w:p>
        </w:tc>
        <w:tc>
          <w:tcPr>
            <w:tcW w:w="180" w:type="dxa"/>
            <w:vAlign w:val="bottom"/>
          </w:tcPr>
          <w:p>
            <w:pPr>
              <w:spacing w:after="0"/>
              <w:rPr>
                <w:sz w:val="24"/>
                <w:szCs w:val="24"/>
                <w:color w:val="auto"/>
              </w:rPr>
            </w:pPr>
          </w:p>
        </w:tc>
        <w:tc>
          <w:tcPr>
            <w:tcW w:w="4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860" w:type="dxa"/>
            <w:vAlign w:val="bottom"/>
            <w:gridSpan w:val="2"/>
          </w:tcPr>
          <w:p>
            <w:pPr>
              <w:jc w:val="right"/>
              <w:ind w:right="20"/>
              <w:spacing w:after="0"/>
              <w:rPr>
                <w:sz w:val="20"/>
                <w:szCs w:val="20"/>
                <w:color w:val="auto"/>
              </w:rPr>
            </w:pPr>
            <w:r>
              <w:rPr>
                <w:rFonts w:ascii="Arial" w:cs="Arial" w:eastAsia="Arial" w:hAnsi="Arial"/>
                <w:sz w:val="14"/>
                <w:szCs w:val="14"/>
                <w:color w:val="auto"/>
              </w:rPr>
              <w:t>441,841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140" w:type="dxa"/>
            <w:vAlign w:val="bottom"/>
          </w:tcPr>
          <w:p>
            <w:pPr>
              <w:ind w:left="140"/>
              <w:spacing w:after="0"/>
              <w:rPr>
                <w:sz w:val="20"/>
                <w:szCs w:val="20"/>
                <w:color w:val="auto"/>
              </w:rPr>
            </w:pPr>
            <w:r>
              <w:rPr>
                <w:rFonts w:ascii="Arial" w:cs="Arial" w:eastAsia="Arial" w:hAnsi="Arial"/>
                <w:sz w:val="14"/>
                <w:szCs w:val="14"/>
                <w:color w:val="auto"/>
              </w:rPr>
              <w:t>Operating margin</w:t>
            </w: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i w:val="1"/>
                <w:iCs w:val="1"/>
                <w:color w:val="auto"/>
              </w:rPr>
              <w:t>29.6%</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80" w:type="dxa"/>
            <w:vAlign w:val="bottom"/>
            <w:gridSpan w:val="3"/>
          </w:tcPr>
          <w:p>
            <w:pPr>
              <w:jc w:val="right"/>
              <w:ind w:right="40"/>
              <w:spacing w:after="0"/>
              <w:rPr>
                <w:sz w:val="20"/>
                <w:szCs w:val="20"/>
                <w:color w:val="auto"/>
              </w:rPr>
            </w:pPr>
            <w:r>
              <w:rPr>
                <w:rFonts w:ascii="Arial" w:cs="Arial" w:eastAsia="Arial" w:hAnsi="Arial"/>
                <w:sz w:val="14"/>
                <w:szCs w:val="14"/>
                <w:i w:val="1"/>
                <w:iCs w:val="1"/>
                <w:color w:val="auto"/>
              </w:rPr>
              <w:t>28.2%</w:t>
            </w:r>
          </w:p>
        </w:tc>
        <w:tc>
          <w:tcPr>
            <w:tcW w:w="0" w:type="dxa"/>
            <w:vAlign w:val="bottom"/>
          </w:tcPr>
          <w:p>
            <w:pPr>
              <w:spacing w:after="0"/>
              <w:rPr>
                <w:sz w:val="1"/>
                <w:szCs w:val="1"/>
                <w:color w:val="auto"/>
              </w:rPr>
            </w:pPr>
          </w:p>
        </w:tc>
      </w:tr>
      <w:tr>
        <w:trPr>
          <w:trHeight w:val="176"/>
        </w:trPr>
        <w:tc>
          <w:tcPr>
            <w:tcW w:w="7140" w:type="dxa"/>
            <w:vAlign w:val="bottom"/>
          </w:tcPr>
          <w:p>
            <w:pPr>
              <w:ind w:left="420"/>
              <w:spacing w:after="0"/>
              <w:rPr>
                <w:sz w:val="20"/>
                <w:szCs w:val="20"/>
                <w:color w:val="auto"/>
              </w:rPr>
            </w:pPr>
            <w:r>
              <w:rPr>
                <w:rFonts w:ascii="Arial" w:cs="Arial" w:eastAsia="Arial" w:hAnsi="Arial"/>
                <w:sz w:val="14"/>
                <w:szCs w:val="14"/>
                <w:color w:val="auto"/>
              </w:rPr>
              <w:t>Acquisition related expenses</w:t>
            </w: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157,327</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4"/>
                <w:szCs w:val="14"/>
                <w:color w:val="auto"/>
              </w:rPr>
              <w:t>161,754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40" w:type="dxa"/>
            <w:vAlign w:val="bottom"/>
          </w:tcPr>
          <w:p>
            <w:pPr>
              <w:ind w:left="420"/>
              <w:spacing w:after="0"/>
              <w:rPr>
                <w:sz w:val="20"/>
                <w:szCs w:val="20"/>
                <w:color w:val="auto"/>
              </w:rPr>
            </w:pPr>
            <w:r>
              <w:rPr>
                <w:rFonts w:ascii="Arial" w:cs="Arial" w:eastAsia="Arial" w:hAnsi="Arial"/>
                <w:sz w:val="14"/>
                <w:szCs w:val="14"/>
                <w:color w:val="auto"/>
              </w:rPr>
              <w:t>Acquisition related transaction costs</w:t>
            </w: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4"/>
                <w:szCs w:val="14"/>
                <w:color w:val="auto"/>
              </w:rPr>
              <w:t>8,736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140" w:type="dxa"/>
            <w:vAlign w:val="bottom"/>
          </w:tcPr>
          <w:p>
            <w:pPr>
              <w:ind w:left="420"/>
              <w:spacing w:after="0"/>
              <w:rPr>
                <w:sz w:val="20"/>
                <w:szCs w:val="20"/>
                <w:color w:val="auto"/>
              </w:rPr>
            </w:pPr>
            <w:r>
              <w:rPr>
                <w:rFonts w:ascii="Arial" w:cs="Arial" w:eastAsia="Arial" w:hAnsi="Arial"/>
                <w:sz w:val="14"/>
                <w:szCs w:val="14"/>
                <w:color w:val="auto"/>
              </w:rPr>
              <w:t>Restructuring related expense</w:t>
            </w:r>
          </w:p>
        </w:tc>
        <w:tc>
          <w:tcPr>
            <w:tcW w:w="3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21,782</w:t>
            </w: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57,318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140" w:type="dxa"/>
            <w:vAlign w:val="bottom"/>
          </w:tcPr>
          <w:p>
            <w:pPr>
              <w:spacing w:after="0"/>
              <w:rPr>
                <w:sz w:val="20"/>
                <w:szCs w:val="20"/>
                <w:color w:val="auto"/>
              </w:rPr>
            </w:pPr>
            <w:r>
              <w:rPr>
                <w:rFonts w:ascii="Arial" w:cs="Arial" w:eastAsia="Arial" w:hAnsi="Arial"/>
                <w:sz w:val="14"/>
                <w:szCs w:val="14"/>
                <w:color w:val="auto"/>
              </w:rPr>
              <w:t>Adjusted operating income</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634,935</w:t>
            </w: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669,649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4"/>
                <w:szCs w:val="14"/>
                <w:color w:val="auto"/>
              </w:rPr>
              <w:t>Adjusted operating margin</w:t>
            </w: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140" w:type="dxa"/>
            <w:vAlign w:val="bottom"/>
            <w:vMerge w:val="continue"/>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41.2%</w:t>
            </w:r>
          </w:p>
        </w:tc>
        <w:tc>
          <w:tcPr>
            <w:tcW w:w="1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42.7%</w:t>
            </w: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714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44,940</w:t>
            </w:r>
          </w:p>
        </w:tc>
        <w:tc>
          <w:tcPr>
            <w:tcW w:w="180" w:type="dxa"/>
            <w:vAlign w:val="bottom"/>
          </w:tcPr>
          <w:p>
            <w:pPr>
              <w:spacing w:after="0"/>
              <w:rPr>
                <w:sz w:val="24"/>
                <w:szCs w:val="24"/>
                <w:color w:val="auto"/>
              </w:rPr>
            </w:pPr>
          </w:p>
        </w:tc>
        <w:tc>
          <w:tcPr>
            <w:tcW w:w="4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860" w:type="dxa"/>
            <w:vAlign w:val="bottom"/>
            <w:gridSpan w:val="2"/>
          </w:tcPr>
          <w:p>
            <w:pPr>
              <w:jc w:val="right"/>
              <w:ind w:right="20"/>
              <w:spacing w:after="0"/>
              <w:rPr>
                <w:sz w:val="20"/>
                <w:szCs w:val="20"/>
                <w:color w:val="auto"/>
              </w:rPr>
            </w:pPr>
            <w:r>
              <w:rPr>
                <w:rFonts w:ascii="Arial" w:cs="Arial" w:eastAsia="Arial" w:hAnsi="Arial"/>
                <w:sz w:val="14"/>
                <w:szCs w:val="14"/>
                <w:color w:val="auto"/>
              </w:rPr>
              <w:t>82,107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140" w:type="dxa"/>
            <w:vAlign w:val="bottom"/>
          </w:tcPr>
          <w:p>
            <w:pPr>
              <w:ind w:left="420"/>
              <w:spacing w:after="0"/>
              <w:rPr>
                <w:sz w:val="20"/>
                <w:szCs w:val="20"/>
                <w:color w:val="auto"/>
              </w:rPr>
            </w:pPr>
            <w:r>
              <w:rPr>
                <w:rFonts w:ascii="Arial" w:cs="Arial" w:eastAsia="Arial" w:hAnsi="Arial"/>
                <w:sz w:val="14"/>
                <w:szCs w:val="14"/>
                <w:color w:val="auto"/>
              </w:rPr>
              <w:t>Income tax on non discrete tax items above</w:t>
            </w: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24,900</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4"/>
                <w:szCs w:val="14"/>
                <w:color w:val="auto"/>
              </w:rPr>
              <w:t>11,981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40" w:type="dxa"/>
            <w:vAlign w:val="bottom"/>
          </w:tcPr>
          <w:p>
            <w:pPr>
              <w:ind w:left="420"/>
              <w:spacing w:after="0"/>
              <w:rPr>
                <w:sz w:val="20"/>
                <w:szCs w:val="20"/>
                <w:color w:val="auto"/>
              </w:rPr>
            </w:pPr>
            <w:r>
              <w:rPr>
                <w:rFonts w:ascii="Arial" w:cs="Arial" w:eastAsia="Arial" w:hAnsi="Arial"/>
                <w:sz w:val="14"/>
                <w:szCs w:val="14"/>
                <w:color w:val="auto"/>
              </w:rPr>
              <w:t>Income tax one time transitional tax</w:t>
            </w: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7,500</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80" w:type="dxa"/>
            <w:vAlign w:val="bottom"/>
            <w:gridSpan w:val="3"/>
          </w:tcPr>
          <w:p>
            <w:pPr>
              <w:jc w:val="right"/>
              <w:ind w:right="40"/>
              <w:spacing w:after="0"/>
              <w:rPr>
                <w:sz w:val="20"/>
                <w:szCs w:val="20"/>
                <w:color w:val="auto"/>
              </w:rPr>
            </w:pPr>
            <w:r>
              <w:rPr>
                <w:rFonts w:ascii="Arial" w:cs="Arial" w:eastAsia="Arial" w:hAnsi="Arial"/>
                <w:sz w:val="14"/>
                <w:szCs w:val="14"/>
                <w:color w:val="auto"/>
              </w:rPr>
              <w:t>(687,061)</w:t>
            </w:r>
          </w:p>
        </w:tc>
        <w:tc>
          <w:tcPr>
            <w:tcW w:w="0" w:type="dxa"/>
            <w:vAlign w:val="bottom"/>
          </w:tcPr>
          <w:p>
            <w:pPr>
              <w:spacing w:after="0"/>
              <w:rPr>
                <w:sz w:val="1"/>
                <w:szCs w:val="1"/>
                <w:color w:val="auto"/>
              </w:rPr>
            </w:pPr>
          </w:p>
        </w:tc>
      </w:tr>
      <w:tr>
        <w:trPr>
          <w:trHeight w:val="181"/>
        </w:trPr>
        <w:tc>
          <w:tcPr>
            <w:tcW w:w="7140" w:type="dxa"/>
            <w:vAlign w:val="bottom"/>
          </w:tcPr>
          <w:p>
            <w:pPr>
              <w:ind w:left="420"/>
              <w:spacing w:after="0"/>
              <w:rPr>
                <w:sz w:val="20"/>
                <w:szCs w:val="20"/>
                <w:color w:val="auto"/>
              </w:rPr>
            </w:pPr>
            <w:r>
              <w:rPr>
                <w:rFonts w:ascii="Arial" w:cs="Arial" w:eastAsia="Arial" w:hAnsi="Arial"/>
                <w:sz w:val="14"/>
                <w:szCs w:val="14"/>
                <w:color w:val="auto"/>
              </w:rPr>
              <w:t>Income tax on deferred tax recalibration</w:t>
            </w: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5,060</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4"/>
                <w:szCs w:val="14"/>
                <w:color w:val="auto"/>
              </w:rPr>
              <w:t>639,698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140" w:type="dxa"/>
            <w:vAlign w:val="bottom"/>
          </w:tcPr>
          <w:p>
            <w:pPr>
              <w:spacing w:after="0"/>
              <w:rPr>
                <w:sz w:val="20"/>
                <w:szCs w:val="20"/>
                <w:color w:val="auto"/>
              </w:rPr>
            </w:pPr>
            <w:r>
              <w:rPr>
                <w:rFonts w:ascii="Arial" w:cs="Arial" w:eastAsia="Arial" w:hAnsi="Arial"/>
                <w:sz w:val="14"/>
                <w:szCs w:val="14"/>
                <w:color w:val="auto"/>
              </w:rPr>
              <w:t>Adjusted provision for income taxes</w:t>
            </w:r>
          </w:p>
        </w:tc>
        <w:tc>
          <w:tcPr>
            <w:tcW w:w="3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82,400</w:t>
            </w:r>
          </w:p>
        </w:tc>
        <w:tc>
          <w:tcPr>
            <w:tcW w:w="18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46,725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14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399,946</w:t>
            </w:r>
          </w:p>
        </w:tc>
        <w:tc>
          <w:tcPr>
            <w:tcW w:w="180" w:type="dxa"/>
            <w:vAlign w:val="bottom"/>
          </w:tcPr>
          <w:p>
            <w:pPr>
              <w:spacing w:after="0"/>
              <w:rPr>
                <w:sz w:val="24"/>
                <w:szCs w:val="24"/>
                <w:color w:val="auto"/>
              </w:rPr>
            </w:pPr>
          </w:p>
        </w:tc>
        <w:tc>
          <w:tcPr>
            <w:tcW w:w="4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860" w:type="dxa"/>
            <w:vAlign w:val="bottom"/>
            <w:gridSpan w:val="2"/>
          </w:tcPr>
          <w:p>
            <w:pPr>
              <w:jc w:val="right"/>
              <w:ind w:right="20"/>
              <w:spacing w:after="0"/>
              <w:rPr>
                <w:sz w:val="20"/>
                <w:szCs w:val="20"/>
                <w:color w:val="auto"/>
              </w:rPr>
            </w:pPr>
            <w:r>
              <w:rPr>
                <w:rFonts w:ascii="Arial" w:cs="Arial" w:eastAsia="Arial" w:hAnsi="Arial"/>
                <w:sz w:val="14"/>
                <w:szCs w:val="14"/>
                <w:color w:val="auto"/>
              </w:rPr>
              <w:t>375,347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140" w:type="dxa"/>
            <w:vAlign w:val="bottom"/>
          </w:tcPr>
          <w:p>
            <w:pPr>
              <w:ind w:left="140"/>
              <w:spacing w:after="0"/>
              <w:rPr>
                <w:sz w:val="20"/>
                <w:szCs w:val="20"/>
                <w:color w:val="auto"/>
              </w:rPr>
            </w:pPr>
            <w:r>
              <w:rPr>
                <w:rFonts w:ascii="Arial" w:cs="Arial" w:eastAsia="Arial" w:hAnsi="Arial"/>
                <w:sz w:val="14"/>
                <w:szCs w:val="14"/>
                <w:color w:val="auto"/>
              </w:rPr>
              <w:t>Effective tax rate</w:t>
            </w:r>
          </w:p>
        </w:tc>
        <w:tc>
          <w:tcPr>
            <w:tcW w:w="360" w:type="dxa"/>
            <w:vAlign w:val="bottom"/>
          </w:tcPr>
          <w:p>
            <w:pPr>
              <w:spacing w:after="0"/>
              <w:rPr>
                <w:sz w:val="15"/>
                <w:szCs w:val="15"/>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4"/>
                <w:szCs w:val="14"/>
                <w:i w:val="1"/>
                <w:iCs w:val="1"/>
                <w:color w:val="auto"/>
              </w:rPr>
              <w:t>11.2%</w:t>
            </w:r>
          </w:p>
        </w:tc>
        <w:tc>
          <w:tcPr>
            <w:tcW w:w="460" w:type="dxa"/>
            <w:vAlign w:val="bottom"/>
          </w:tcPr>
          <w:p>
            <w:pPr>
              <w:spacing w:after="0"/>
              <w:rPr>
                <w:sz w:val="15"/>
                <w:szCs w:val="15"/>
                <w:color w:val="auto"/>
              </w:rPr>
            </w:pPr>
          </w:p>
        </w:tc>
        <w:tc>
          <w:tcPr>
            <w:tcW w:w="1880" w:type="dxa"/>
            <w:vAlign w:val="bottom"/>
            <w:gridSpan w:val="3"/>
          </w:tcPr>
          <w:p>
            <w:pPr>
              <w:jc w:val="right"/>
              <w:ind w:right="40"/>
              <w:spacing w:after="0"/>
              <w:rPr>
                <w:sz w:val="20"/>
                <w:szCs w:val="20"/>
                <w:color w:val="auto"/>
              </w:rPr>
            </w:pPr>
            <w:r>
              <w:rPr>
                <w:rFonts w:ascii="Arial" w:cs="Arial" w:eastAsia="Arial" w:hAnsi="Arial"/>
                <w:sz w:val="14"/>
                <w:szCs w:val="14"/>
                <w:i w:val="1"/>
                <w:iCs w:val="1"/>
                <w:color w:val="auto"/>
              </w:rPr>
              <w:t>21.9%</w:t>
            </w:r>
          </w:p>
        </w:tc>
        <w:tc>
          <w:tcPr>
            <w:tcW w:w="0" w:type="dxa"/>
            <w:vAlign w:val="bottom"/>
          </w:tcPr>
          <w:p>
            <w:pPr>
              <w:spacing w:after="0"/>
              <w:rPr>
                <w:sz w:val="1"/>
                <w:szCs w:val="1"/>
                <w:color w:val="auto"/>
              </w:rPr>
            </w:pPr>
          </w:p>
        </w:tc>
      </w:tr>
      <w:tr>
        <w:trPr>
          <w:trHeight w:val="176"/>
        </w:trPr>
        <w:tc>
          <w:tcPr>
            <w:tcW w:w="7140" w:type="dxa"/>
            <w:vAlign w:val="bottom"/>
          </w:tcPr>
          <w:p>
            <w:pPr>
              <w:ind w:left="420"/>
              <w:spacing w:after="0"/>
              <w:rPr>
                <w:sz w:val="20"/>
                <w:szCs w:val="20"/>
                <w:color w:val="auto"/>
              </w:rPr>
            </w:pPr>
            <w:r>
              <w:rPr>
                <w:rFonts w:ascii="Arial" w:cs="Arial" w:eastAsia="Arial" w:hAnsi="Arial"/>
                <w:sz w:val="14"/>
                <w:szCs w:val="14"/>
                <w:color w:val="auto"/>
              </w:rPr>
              <w:t>Acquisition related expenses</w:t>
            </w: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157,327</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4"/>
                <w:szCs w:val="14"/>
                <w:color w:val="auto"/>
              </w:rPr>
              <w:t>161,754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40" w:type="dxa"/>
            <w:vAlign w:val="bottom"/>
          </w:tcPr>
          <w:p>
            <w:pPr>
              <w:ind w:left="420"/>
              <w:spacing w:after="0"/>
              <w:rPr>
                <w:sz w:val="20"/>
                <w:szCs w:val="20"/>
                <w:color w:val="auto"/>
              </w:rPr>
            </w:pPr>
            <w:r>
              <w:rPr>
                <w:rFonts w:ascii="Arial" w:cs="Arial" w:eastAsia="Arial" w:hAnsi="Arial"/>
                <w:sz w:val="14"/>
                <w:szCs w:val="14"/>
                <w:color w:val="auto"/>
              </w:rPr>
              <w:t>Acquisition related transaction costs</w:t>
            </w: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4"/>
                <w:szCs w:val="14"/>
                <w:color w:val="auto"/>
              </w:rPr>
              <w:t>8,736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140" w:type="dxa"/>
            <w:vAlign w:val="bottom"/>
          </w:tcPr>
          <w:p>
            <w:pPr>
              <w:ind w:left="420"/>
              <w:spacing w:after="0"/>
              <w:rPr>
                <w:sz w:val="20"/>
                <w:szCs w:val="20"/>
                <w:color w:val="auto"/>
              </w:rPr>
            </w:pPr>
            <w:r>
              <w:rPr>
                <w:rFonts w:ascii="Arial" w:cs="Arial" w:eastAsia="Arial" w:hAnsi="Arial"/>
                <w:sz w:val="14"/>
                <w:szCs w:val="14"/>
                <w:color w:val="auto"/>
              </w:rPr>
              <w:t>Restructuring related expense</w:t>
            </w:r>
          </w:p>
        </w:tc>
        <w:tc>
          <w:tcPr>
            <w:tcW w:w="3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21,782</w:t>
            </w: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57,318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140" w:type="dxa"/>
            <w:vAlign w:val="bottom"/>
          </w:tcPr>
          <w:p>
            <w:pPr>
              <w:spacing w:after="0"/>
              <w:rPr>
                <w:sz w:val="20"/>
                <w:szCs w:val="20"/>
                <w:color w:val="auto"/>
              </w:rPr>
            </w:pPr>
            <w:r>
              <w:rPr>
                <w:rFonts w:ascii="Arial" w:cs="Arial" w:eastAsia="Arial" w:hAnsi="Arial"/>
                <w:sz w:val="14"/>
                <w:szCs w:val="14"/>
                <w:color w:val="auto"/>
              </w:rPr>
              <w:t>Adjusted income before income taxes</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579,055</w:t>
            </w: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603,155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4"/>
                <w:szCs w:val="14"/>
                <w:color w:val="auto"/>
              </w:rPr>
              <w:t>Adjusted tax rate</w:t>
            </w: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140" w:type="dxa"/>
            <w:vAlign w:val="bottom"/>
            <w:vMerge w:val="continue"/>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14.2%</w:t>
            </w:r>
          </w:p>
        </w:tc>
        <w:tc>
          <w:tcPr>
            <w:tcW w:w="1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7.7%</w:t>
            </w: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7140" w:type="dxa"/>
            <w:vAlign w:val="bottom"/>
          </w:tcPr>
          <w:p>
            <w:pPr>
              <w:spacing w:after="0"/>
              <w:rPr>
                <w:sz w:val="20"/>
                <w:szCs w:val="20"/>
                <w:color w:val="auto"/>
              </w:rPr>
            </w:pPr>
            <w:r>
              <w:rPr>
                <w:rFonts w:ascii="Arial" w:cs="Arial" w:eastAsia="Arial" w:hAnsi="Arial"/>
                <w:sz w:val="14"/>
                <w:szCs w:val="14"/>
                <w:color w:val="auto"/>
              </w:rPr>
              <w:t>Diluted EPS</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0.95</w:t>
            </w:r>
          </w:p>
        </w:tc>
        <w:tc>
          <w:tcPr>
            <w:tcW w:w="180" w:type="dxa"/>
            <w:vAlign w:val="bottom"/>
          </w:tcPr>
          <w:p>
            <w:pPr>
              <w:spacing w:after="0"/>
              <w:rPr>
                <w:sz w:val="24"/>
                <w:szCs w:val="24"/>
                <w:color w:val="auto"/>
              </w:rPr>
            </w:pPr>
          </w:p>
        </w:tc>
        <w:tc>
          <w:tcPr>
            <w:tcW w:w="4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860" w:type="dxa"/>
            <w:vAlign w:val="bottom"/>
            <w:gridSpan w:val="2"/>
          </w:tcPr>
          <w:p>
            <w:pPr>
              <w:jc w:val="right"/>
              <w:ind w:right="20"/>
              <w:spacing w:after="0"/>
              <w:rPr>
                <w:sz w:val="20"/>
                <w:szCs w:val="20"/>
                <w:color w:val="auto"/>
              </w:rPr>
            </w:pPr>
            <w:r>
              <w:rPr>
                <w:rFonts w:ascii="Arial" w:cs="Arial" w:eastAsia="Arial" w:hAnsi="Arial"/>
                <w:sz w:val="14"/>
                <w:szCs w:val="14"/>
                <w:color w:val="auto"/>
              </w:rPr>
              <w:t>0.78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140" w:type="dxa"/>
            <w:vAlign w:val="bottom"/>
          </w:tcPr>
          <w:p>
            <w:pPr>
              <w:ind w:left="420"/>
              <w:spacing w:after="0"/>
              <w:rPr>
                <w:sz w:val="20"/>
                <w:szCs w:val="20"/>
                <w:color w:val="auto"/>
              </w:rPr>
            </w:pPr>
            <w:r>
              <w:rPr>
                <w:rFonts w:ascii="Arial" w:cs="Arial" w:eastAsia="Arial" w:hAnsi="Arial"/>
                <w:sz w:val="14"/>
                <w:szCs w:val="14"/>
                <w:color w:val="auto"/>
              </w:rPr>
              <w:t>Acquisition related expenses</w:t>
            </w: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0.42</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4"/>
                <w:szCs w:val="14"/>
                <w:color w:val="auto"/>
              </w:rPr>
              <w:t>0.43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40" w:type="dxa"/>
            <w:vAlign w:val="bottom"/>
          </w:tcPr>
          <w:p>
            <w:pPr>
              <w:ind w:left="420"/>
              <w:spacing w:after="0"/>
              <w:rPr>
                <w:sz w:val="20"/>
                <w:szCs w:val="20"/>
                <w:color w:val="auto"/>
              </w:rPr>
            </w:pPr>
            <w:r>
              <w:rPr>
                <w:rFonts w:ascii="Arial" w:cs="Arial" w:eastAsia="Arial" w:hAnsi="Arial"/>
                <w:sz w:val="14"/>
                <w:szCs w:val="14"/>
                <w:color w:val="auto"/>
              </w:rPr>
              <w:t>Acquisition related transaction costs</w:t>
            </w: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4"/>
                <w:szCs w:val="14"/>
                <w:color w:val="auto"/>
              </w:rPr>
              <w:t>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40" w:type="dxa"/>
            <w:vAlign w:val="bottom"/>
          </w:tcPr>
          <w:p>
            <w:pPr>
              <w:ind w:left="420"/>
              <w:spacing w:after="0"/>
              <w:rPr>
                <w:sz w:val="20"/>
                <w:szCs w:val="20"/>
                <w:color w:val="auto"/>
              </w:rPr>
            </w:pPr>
            <w:r>
              <w:rPr>
                <w:rFonts w:ascii="Arial" w:cs="Arial" w:eastAsia="Arial" w:hAnsi="Arial"/>
                <w:sz w:val="14"/>
                <w:szCs w:val="14"/>
                <w:color w:val="auto"/>
              </w:rPr>
              <w:t>Restructuring related expense</w:t>
            </w: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0.06</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4"/>
                <w:szCs w:val="14"/>
                <w:color w:val="auto"/>
              </w:rPr>
              <w:t>0.15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40" w:type="dxa"/>
            <w:vAlign w:val="bottom"/>
          </w:tcPr>
          <w:p>
            <w:pPr>
              <w:ind w:left="420"/>
              <w:spacing w:after="0"/>
              <w:rPr>
                <w:sz w:val="20"/>
                <w:szCs w:val="20"/>
                <w:color w:val="auto"/>
              </w:rPr>
            </w:pPr>
            <w:r>
              <w:rPr>
                <w:rFonts w:ascii="Arial" w:cs="Arial" w:eastAsia="Arial" w:hAnsi="Arial"/>
                <w:sz w:val="14"/>
                <w:szCs w:val="14"/>
                <w:color w:val="auto"/>
              </w:rPr>
              <w:t>Income tax on non discrete tax items above</w:t>
            </w: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(0.07)</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80" w:type="dxa"/>
            <w:vAlign w:val="bottom"/>
            <w:gridSpan w:val="3"/>
          </w:tcPr>
          <w:p>
            <w:pPr>
              <w:jc w:val="right"/>
              <w:ind w:right="40"/>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76"/>
        </w:trPr>
        <w:tc>
          <w:tcPr>
            <w:tcW w:w="7140" w:type="dxa"/>
            <w:vAlign w:val="bottom"/>
          </w:tcPr>
          <w:p>
            <w:pPr>
              <w:ind w:left="420"/>
              <w:spacing w:after="0"/>
              <w:rPr>
                <w:sz w:val="20"/>
                <w:szCs w:val="20"/>
                <w:color w:val="auto"/>
              </w:rPr>
            </w:pPr>
            <w:r>
              <w:rPr>
                <w:rFonts w:ascii="Arial" w:cs="Arial" w:eastAsia="Arial" w:hAnsi="Arial"/>
                <w:sz w:val="14"/>
                <w:szCs w:val="14"/>
                <w:color w:val="auto"/>
              </w:rPr>
              <w:t>Income tax one time transitional tax</w:t>
            </w: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(0.02)</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4"/>
                <w:szCs w:val="14"/>
                <w:color w:val="auto"/>
              </w:rPr>
              <w:t>1.84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140" w:type="dxa"/>
            <w:vAlign w:val="bottom"/>
          </w:tcPr>
          <w:p>
            <w:pPr>
              <w:ind w:left="420"/>
              <w:spacing w:after="0"/>
              <w:rPr>
                <w:sz w:val="20"/>
                <w:szCs w:val="20"/>
                <w:color w:val="auto"/>
              </w:rPr>
            </w:pPr>
            <w:r>
              <w:rPr>
                <w:rFonts w:ascii="Arial" w:cs="Arial" w:eastAsia="Arial" w:hAnsi="Arial"/>
                <w:sz w:val="14"/>
                <w:szCs w:val="14"/>
                <w:color w:val="auto"/>
              </w:rPr>
              <w:t>Income tax on deferred tax recalibration</w:t>
            </w: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(0.01)</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80" w:type="dxa"/>
            <w:vAlign w:val="bottom"/>
            <w:gridSpan w:val="3"/>
          </w:tcPr>
          <w:p>
            <w:pPr>
              <w:jc w:val="right"/>
              <w:ind w:right="40"/>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69"/>
        </w:trPr>
        <w:tc>
          <w:tcPr>
            <w:tcW w:w="7140" w:type="dxa"/>
            <w:vAlign w:val="bottom"/>
          </w:tcPr>
          <w:p>
            <w:pPr>
              <w:spacing w:after="0"/>
              <w:rPr>
                <w:sz w:val="20"/>
                <w:szCs w:val="20"/>
                <w:color w:val="auto"/>
              </w:rPr>
            </w:pPr>
            <w:r>
              <w:rPr>
                <w:rFonts w:ascii="Arial" w:cs="Arial" w:eastAsia="Arial" w:hAnsi="Arial"/>
                <w:sz w:val="14"/>
                <w:szCs w:val="14"/>
                <w:color w:val="auto"/>
              </w:rPr>
              <w:t>Adjusted diluted EPS (2)</w:t>
            </w:r>
          </w:p>
        </w:tc>
        <w:tc>
          <w:tcPr>
            <w:tcW w:w="3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1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ind w:right="40" w:firstLine="8"/>
        <w:spacing w:after="0" w:line="239" w:lineRule="auto"/>
        <w:tabs>
          <w:tab w:leader="none" w:pos="306" w:val="left"/>
        </w:tabs>
        <w:numPr>
          <w:ilvl w:val="0"/>
          <w:numId w:val="5"/>
        </w:numPr>
        <w:rPr>
          <w:rFonts w:ascii="Arial" w:cs="Arial" w:eastAsia="Arial" w:hAnsi="Arial"/>
          <w:sz w:val="22"/>
          <w:szCs w:val="22"/>
          <w:color w:val="auto"/>
        </w:rPr>
      </w:pPr>
      <w:r>
        <w:rPr>
          <w:rFonts w:ascii="Arial" w:cs="Arial" w:eastAsia="Arial" w:hAnsi="Arial"/>
          <w:sz w:val="22"/>
          <w:szCs w:val="22"/>
          <w:color w:val="auto"/>
        </w:rPr>
        <w:t>Balances have been restated to reflect the full retrospective adoption of Accounting Standards Update (ASU) 2014-09, Revenue from Contracts with Customers.</w:t>
      </w:r>
    </w:p>
    <w:p>
      <w:pPr>
        <w:ind w:left="320" w:hanging="312"/>
        <w:spacing w:after="0"/>
        <w:tabs>
          <w:tab w:leader="none" w:pos="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sum of the individual per share amounts may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4"/>
          <w:szCs w:val="14"/>
          <w:b w:val="1"/>
          <w:bCs w:val="1"/>
          <w:color w:val="auto"/>
        </w:rPr>
        <w:t>ANALOG DEVICES,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OF NET CASH PROVIDED BY OPERATING ACTIVITIES TO FREE CASH FLOW</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Trailing Twelve Months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0"/>
        </w:trPr>
        <w:tc>
          <w:tcPr>
            <w:tcW w:w="39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tcPr>
          <w:p>
            <w:pPr>
              <w:jc w:val="center"/>
              <w:ind w:right="268"/>
              <w:spacing w:after="0" w:line="160" w:lineRule="exact"/>
              <w:rPr>
                <w:sz w:val="20"/>
                <w:szCs w:val="20"/>
                <w:color w:val="auto"/>
              </w:rPr>
            </w:pPr>
            <w:r>
              <w:rPr>
                <w:rFonts w:ascii="Arial" w:cs="Arial" w:eastAsia="Arial" w:hAnsi="Arial"/>
                <w:sz w:val="14"/>
                <w:szCs w:val="14"/>
                <w:b w:val="1"/>
                <w:bCs w:val="1"/>
                <w:color w:val="auto"/>
                <w:w w:val="94"/>
              </w:rPr>
              <w:t>Feb. 2,</w:t>
            </w:r>
          </w:p>
        </w:tc>
        <w:tc>
          <w:tcPr>
            <w:tcW w:w="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80"/>
              <w:spacing w:after="0" w:line="160" w:lineRule="exact"/>
              <w:rPr>
                <w:sz w:val="20"/>
                <w:szCs w:val="20"/>
                <w:color w:val="auto"/>
              </w:rPr>
            </w:pPr>
            <w:r>
              <w:rPr>
                <w:rFonts w:ascii="Arial" w:cs="Arial" w:eastAsia="Arial" w:hAnsi="Arial"/>
                <w:sz w:val="14"/>
                <w:szCs w:val="14"/>
                <w:b w:val="1"/>
                <w:bCs w:val="1"/>
                <w:color w:val="auto"/>
              </w:rPr>
              <w:t>Feb. 2,</w:t>
            </w: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ind w:left="80"/>
              <w:spacing w:after="0" w:line="160" w:lineRule="exact"/>
              <w:rPr>
                <w:sz w:val="20"/>
                <w:szCs w:val="20"/>
                <w:color w:val="auto"/>
              </w:rPr>
            </w:pPr>
            <w:r>
              <w:rPr>
                <w:rFonts w:ascii="Arial" w:cs="Arial" w:eastAsia="Arial" w:hAnsi="Arial"/>
                <w:sz w:val="14"/>
                <w:szCs w:val="14"/>
                <w:b w:val="1"/>
                <w:bCs w:val="1"/>
                <w:color w:val="auto"/>
              </w:rPr>
              <w:t>Nov. 3,</w:t>
            </w: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right"/>
              <w:ind w:right="620"/>
              <w:spacing w:after="0" w:line="160" w:lineRule="exact"/>
              <w:rPr>
                <w:sz w:val="20"/>
                <w:szCs w:val="20"/>
                <w:color w:val="auto"/>
              </w:rPr>
            </w:pPr>
            <w:r>
              <w:rPr>
                <w:rFonts w:ascii="Arial" w:cs="Arial" w:eastAsia="Arial" w:hAnsi="Arial"/>
                <w:sz w:val="14"/>
                <w:szCs w:val="14"/>
                <w:b w:val="1"/>
                <w:bCs w:val="1"/>
                <w:color w:val="auto"/>
              </w:rPr>
              <w:t>Aug. 4,</w:t>
            </w: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48"/>
              <w:spacing w:after="0" w:line="160" w:lineRule="exact"/>
              <w:rPr>
                <w:sz w:val="20"/>
                <w:szCs w:val="20"/>
                <w:color w:val="auto"/>
              </w:rPr>
            </w:pPr>
            <w:r>
              <w:rPr>
                <w:rFonts w:ascii="Arial" w:cs="Arial" w:eastAsia="Arial" w:hAnsi="Arial"/>
                <w:sz w:val="14"/>
                <w:szCs w:val="14"/>
                <w:b w:val="1"/>
                <w:bCs w:val="1"/>
                <w:color w:val="auto"/>
              </w:rPr>
              <w:t>May 5,</w:t>
            </w:r>
          </w:p>
        </w:tc>
        <w:tc>
          <w:tcPr>
            <w:tcW w:w="20" w:type="dxa"/>
            <w:vAlign w:val="bottom"/>
          </w:tcPr>
          <w:p>
            <w:pPr>
              <w:spacing w:after="0"/>
              <w:rPr>
                <w:sz w:val="13"/>
                <w:szCs w:val="13"/>
                <w:color w:val="auto"/>
              </w:rPr>
            </w:pPr>
          </w:p>
        </w:tc>
      </w:tr>
      <w:tr>
        <w:trPr>
          <w:trHeight w:val="185"/>
        </w:trPr>
        <w:tc>
          <w:tcPr>
            <w:tcW w:w="3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r>
      <w:tr>
        <w:trPr>
          <w:trHeight w:val="164"/>
        </w:trPr>
        <w:tc>
          <w:tcPr>
            <w:tcW w:w="3900" w:type="dxa"/>
            <w:vAlign w:val="bottom"/>
          </w:tcPr>
          <w:p>
            <w:pPr>
              <w:spacing w:after="0"/>
              <w:rPr>
                <w:sz w:val="20"/>
                <w:szCs w:val="20"/>
                <w:color w:val="auto"/>
              </w:rPr>
            </w:pPr>
            <w:r>
              <w:rPr>
                <w:rFonts w:ascii="Arial" w:cs="Arial" w:eastAsia="Arial" w:hAnsi="Arial"/>
                <w:sz w:val="14"/>
                <w:szCs w:val="14"/>
                <w:color w:val="auto"/>
              </w:rPr>
              <w:t>Revenue (1)</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6,198,920</w:t>
            </w:r>
          </w:p>
        </w:tc>
        <w:tc>
          <w:tcPr>
            <w:tcW w:w="280" w:type="dxa"/>
            <w:vAlign w:val="bottom"/>
          </w:tcPr>
          <w:p>
            <w:pPr>
              <w:spacing w:after="0"/>
              <w:rPr>
                <w:sz w:val="14"/>
                <w:szCs w:val="14"/>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1,541,101</w:t>
            </w:r>
          </w:p>
        </w:tc>
        <w:tc>
          <w:tcPr>
            <w:tcW w:w="280" w:type="dxa"/>
            <w:vAlign w:val="bottom"/>
          </w:tcPr>
          <w:p>
            <w:pPr>
              <w:spacing w:after="0"/>
              <w:rPr>
                <w:sz w:val="14"/>
                <w:szCs w:val="14"/>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1,536,128</w:t>
            </w:r>
          </w:p>
        </w:tc>
        <w:tc>
          <w:tcPr>
            <w:tcW w:w="280" w:type="dxa"/>
            <w:vAlign w:val="bottom"/>
          </w:tcPr>
          <w:p>
            <w:pPr>
              <w:spacing w:after="0"/>
              <w:rPr>
                <w:sz w:val="14"/>
                <w:szCs w:val="14"/>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1,558,189</w:t>
            </w:r>
          </w:p>
        </w:tc>
        <w:tc>
          <w:tcPr>
            <w:tcW w:w="320" w:type="dxa"/>
            <w:vAlign w:val="bottom"/>
          </w:tcPr>
          <w:p>
            <w:pPr>
              <w:spacing w:after="0"/>
              <w:rPr>
                <w:sz w:val="14"/>
                <w:szCs w:val="14"/>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1,563,502</w:t>
            </w:r>
          </w:p>
        </w:tc>
        <w:tc>
          <w:tcPr>
            <w:tcW w:w="20" w:type="dxa"/>
            <w:vAlign w:val="bottom"/>
          </w:tcPr>
          <w:p>
            <w:pPr>
              <w:spacing w:after="0"/>
              <w:rPr>
                <w:sz w:val="14"/>
                <w:szCs w:val="14"/>
                <w:color w:val="auto"/>
              </w:rPr>
            </w:pPr>
          </w:p>
        </w:tc>
      </w:tr>
      <w:tr>
        <w:trPr>
          <w:trHeight w:val="176"/>
        </w:trPr>
        <w:tc>
          <w:tcPr>
            <w:tcW w:w="390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2,425,440</w:t>
            </w:r>
          </w:p>
        </w:tc>
        <w:tc>
          <w:tcPr>
            <w:tcW w:w="280" w:type="dxa"/>
            <w:vAlign w:val="bottom"/>
          </w:tcPr>
          <w:p>
            <w:pPr>
              <w:spacing w:after="0"/>
              <w:rPr>
                <w:sz w:val="15"/>
                <w:szCs w:val="15"/>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371,767</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714,441</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620,738</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718,494</w:t>
            </w:r>
          </w:p>
        </w:tc>
      </w:tr>
      <w:tr>
        <w:trPr>
          <w:trHeight w:val="176"/>
        </w:trPr>
        <w:tc>
          <w:tcPr>
            <w:tcW w:w="3900" w:type="dxa"/>
            <w:vAlign w:val="bottom"/>
          </w:tcPr>
          <w:p>
            <w:pPr>
              <w:spacing w:after="0"/>
              <w:rPr>
                <w:sz w:val="20"/>
                <w:szCs w:val="20"/>
                <w:color w:val="auto"/>
              </w:rPr>
            </w:pPr>
            <w:r>
              <w:rPr>
                <w:rFonts w:ascii="Arial" w:cs="Arial" w:eastAsia="Arial" w:hAnsi="Arial"/>
                <w:sz w:val="14"/>
                <w:szCs w:val="14"/>
                <w:color w:val="auto"/>
              </w:rPr>
              <w:t>% of revenue</w:t>
            </w:r>
          </w:p>
        </w:tc>
        <w:tc>
          <w:tcPr>
            <w:tcW w:w="32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i w:val="1"/>
                <w:iCs w:val="1"/>
                <w:color w:val="auto"/>
              </w:rPr>
              <w:t>39%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i w:val="1"/>
                <w:iCs w:val="1"/>
                <w:color w:val="auto"/>
              </w:rPr>
              <w:t>24%</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i w:val="1"/>
                <w:iCs w:val="1"/>
                <w:color w:val="auto"/>
              </w:rPr>
              <w:t>47%</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i w:val="1"/>
                <w:iCs w:val="1"/>
                <w:color w:val="auto"/>
              </w:rPr>
              <w:t>40%</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46%</w:t>
            </w:r>
          </w:p>
        </w:tc>
      </w:tr>
      <w:tr>
        <w:trPr>
          <w:trHeight w:val="176"/>
        </w:trPr>
        <w:tc>
          <w:tcPr>
            <w:tcW w:w="3900" w:type="dxa"/>
            <w:vAlign w:val="bottom"/>
          </w:tcPr>
          <w:p>
            <w:pPr>
              <w:spacing w:after="0"/>
              <w:rPr>
                <w:sz w:val="20"/>
                <w:szCs w:val="20"/>
                <w:color w:val="auto"/>
              </w:rPr>
            </w:pPr>
            <w:r>
              <w:rPr>
                <w:rFonts w:ascii="Arial" w:cs="Arial" w:eastAsia="Arial" w:hAnsi="Arial"/>
                <w:sz w:val="14"/>
                <w:szCs w:val="14"/>
                <w:color w:val="auto"/>
              </w:rPr>
              <w:t>Capital expenditures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200" w:type="dxa"/>
            <w:vAlign w:val="bottom"/>
            <w:gridSpan w:val="2"/>
          </w:tcPr>
          <w:p>
            <w:pPr>
              <w:jc w:val="right"/>
              <w:ind w:right="280"/>
              <w:spacing w:after="0"/>
              <w:rPr>
                <w:sz w:val="20"/>
                <w:szCs w:val="20"/>
                <w:color w:val="auto"/>
              </w:rPr>
            </w:pPr>
            <w:r>
              <w:rPr>
                <w:rFonts w:ascii="Arial" w:cs="Arial" w:eastAsia="Arial" w:hAnsi="Arial"/>
                <w:sz w:val="14"/>
                <w:szCs w:val="14"/>
                <w:color w:val="auto"/>
              </w:rPr>
              <w:t>(282,647)</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(90,993)</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(86,004)</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(51,750)</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(53,900)</w:t>
            </w:r>
          </w:p>
        </w:tc>
      </w:tr>
      <w:tr>
        <w:trPr>
          <w:trHeight w:val="176"/>
        </w:trPr>
        <w:tc>
          <w:tcPr>
            <w:tcW w:w="3900" w:type="dxa"/>
            <w:vAlign w:val="bottom"/>
          </w:tcPr>
          <w:p>
            <w:pPr>
              <w:spacing w:after="0"/>
              <w:rPr>
                <w:sz w:val="20"/>
                <w:szCs w:val="20"/>
                <w:color w:val="auto"/>
              </w:rPr>
            </w:pPr>
            <w:r>
              <w:rPr>
                <w:rFonts w:ascii="Arial" w:cs="Arial" w:eastAsia="Arial" w:hAnsi="Arial"/>
                <w:sz w:val="14"/>
                <w:szCs w:val="14"/>
                <w:color w:val="auto"/>
              </w:rPr>
              <w:t>Free cash flow</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2,142,793</w:t>
            </w:r>
          </w:p>
        </w:tc>
        <w:tc>
          <w:tcPr>
            <w:tcW w:w="280" w:type="dxa"/>
            <w:vAlign w:val="bottom"/>
          </w:tcPr>
          <w:p>
            <w:pPr>
              <w:spacing w:after="0"/>
              <w:rPr>
                <w:sz w:val="15"/>
                <w:szCs w:val="15"/>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280,774</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628,437</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568,988</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664,594</w:t>
            </w:r>
          </w:p>
        </w:tc>
      </w:tr>
      <w:tr>
        <w:trPr>
          <w:trHeight w:val="182"/>
        </w:trPr>
        <w:tc>
          <w:tcPr>
            <w:tcW w:w="3900" w:type="dxa"/>
            <w:vAlign w:val="bottom"/>
          </w:tcPr>
          <w:p>
            <w:pPr>
              <w:spacing w:after="0"/>
              <w:rPr>
                <w:sz w:val="20"/>
                <w:szCs w:val="20"/>
                <w:color w:val="auto"/>
              </w:rPr>
            </w:pPr>
            <w:r>
              <w:rPr>
                <w:rFonts w:ascii="Arial" w:cs="Arial" w:eastAsia="Arial" w:hAnsi="Arial"/>
                <w:sz w:val="14"/>
                <w:szCs w:val="14"/>
                <w:color w:val="auto"/>
              </w:rPr>
              <w:t>% of revenue</w:t>
            </w:r>
          </w:p>
        </w:tc>
        <w:tc>
          <w:tcPr>
            <w:tcW w:w="32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i w:val="1"/>
                <w:iCs w:val="1"/>
                <w:color w:val="auto"/>
              </w:rPr>
              <w:t>35%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i w:val="1"/>
                <w:iCs w:val="1"/>
                <w:color w:val="auto"/>
              </w:rPr>
              <w:t>18%</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i w:val="1"/>
                <w:iCs w:val="1"/>
                <w:color w:val="auto"/>
              </w:rPr>
              <w:t>41%</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i w:val="1"/>
                <w:iCs w:val="1"/>
                <w:color w:val="auto"/>
              </w:rPr>
              <w:t>37%</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43%</w:t>
            </w:r>
          </w:p>
        </w:tc>
      </w:tr>
    </w:tbl>
    <w:p>
      <w:pPr>
        <w:spacing w:after="0" w:line="369" w:lineRule="exact"/>
        <w:rPr>
          <w:sz w:val="20"/>
          <w:szCs w:val="20"/>
          <w:color w:val="auto"/>
        </w:rPr>
      </w:pPr>
    </w:p>
    <w:p>
      <w:pPr>
        <w:ind w:right="40" w:firstLine="8"/>
        <w:spacing w:after="0" w:line="251" w:lineRule="auto"/>
        <w:tabs>
          <w:tab w:leader="none" w:pos="306" w:val="left"/>
        </w:tabs>
        <w:numPr>
          <w:ilvl w:val="0"/>
          <w:numId w:val="6"/>
        </w:numPr>
        <w:rPr>
          <w:rFonts w:ascii="Arial" w:cs="Arial" w:eastAsia="Arial" w:hAnsi="Arial"/>
          <w:sz w:val="22"/>
          <w:szCs w:val="22"/>
          <w:color w:val="auto"/>
        </w:rPr>
      </w:pPr>
      <w:r>
        <w:rPr>
          <w:rFonts w:ascii="Arial" w:cs="Arial" w:eastAsia="Arial" w:hAnsi="Arial"/>
          <w:sz w:val="22"/>
          <w:szCs w:val="22"/>
          <w:color w:val="auto"/>
        </w:rPr>
        <w:t>Balances have been restated to reflect the full retrospective adoption of Accounting Standards Update (ASU) 2014-09, Revenue from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4"/>
          <w:szCs w:val="14"/>
          <w:b w:val="1"/>
          <w:bCs w:val="1"/>
          <w:color w:val="auto"/>
        </w:rPr>
        <w:t>ANALOG DEVICES,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OF PROJECTED GAAP TO NON-GAAP ADJUSTED RESULTS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4960" w:type="dxa"/>
            <w:vAlign w:val="bottom"/>
            <w:tcBorders>
              <w:bottom w:val="single" w:sz="8" w:color="auto"/>
            </w:tcBorders>
            <w:gridSpan w:val="3"/>
          </w:tcPr>
          <w:p>
            <w:pPr>
              <w:jc w:val="right"/>
              <w:ind w:right="2589"/>
              <w:spacing w:after="0"/>
              <w:rPr>
                <w:sz w:val="20"/>
                <w:szCs w:val="20"/>
                <w:color w:val="auto"/>
              </w:rPr>
            </w:pPr>
            <w:r>
              <w:rPr>
                <w:rFonts w:ascii="Arial" w:cs="Arial" w:eastAsia="Arial" w:hAnsi="Arial"/>
                <w:sz w:val="14"/>
                <w:szCs w:val="14"/>
                <w:b w:val="1"/>
                <w:bCs w:val="1"/>
                <w:color w:val="auto"/>
              </w:rPr>
              <w:t>Three months ending May 4, 2019</w:t>
            </w: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2440" w:type="dxa"/>
            <w:vAlign w:val="bottom"/>
            <w:tcBorders>
              <w:bottom w:val="single" w:sz="8" w:color="auto"/>
            </w:tcBorders>
          </w:tcPr>
          <w:p>
            <w:pPr>
              <w:jc w:val="center"/>
              <w:ind w:left="1028"/>
              <w:spacing w:after="0"/>
              <w:rPr>
                <w:sz w:val="20"/>
                <w:szCs w:val="20"/>
                <w:color w:val="auto"/>
              </w:rPr>
            </w:pPr>
            <w:r>
              <w:rPr>
                <w:rFonts w:ascii="Arial" w:cs="Arial" w:eastAsia="Arial" w:hAnsi="Arial"/>
                <w:sz w:val="14"/>
                <w:szCs w:val="14"/>
                <w:b w:val="1"/>
                <w:bCs w:val="1"/>
                <w:color w:val="auto"/>
                <w:w w:val="94"/>
              </w:rPr>
              <w:t>Reported</w:t>
            </w:r>
          </w:p>
        </w:tc>
        <w:tc>
          <w:tcPr>
            <w:tcW w:w="11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37"/>
        </w:trPr>
        <w:tc>
          <w:tcPr>
            <w:tcW w:w="4020" w:type="dxa"/>
            <w:vAlign w:val="bottom"/>
          </w:tcPr>
          <w:p>
            <w:pPr>
              <w:spacing w:after="0" w:line="137" w:lineRule="exact"/>
              <w:rPr>
                <w:sz w:val="20"/>
                <w:szCs w:val="20"/>
                <w:color w:val="auto"/>
              </w:rPr>
            </w:pPr>
            <w:r>
              <w:rPr>
                <w:rFonts w:ascii="Arial" w:cs="Arial" w:eastAsia="Arial" w:hAnsi="Arial"/>
                <w:sz w:val="14"/>
                <w:szCs w:val="14"/>
                <w:color w:val="auto"/>
              </w:rPr>
              <w:t>Revenue</w:t>
            </w:r>
          </w:p>
        </w:tc>
        <w:tc>
          <w:tcPr>
            <w:tcW w:w="2440" w:type="dxa"/>
            <w:vAlign w:val="bottom"/>
          </w:tcPr>
          <w:p>
            <w:pPr>
              <w:jc w:val="center"/>
              <w:ind w:left="1028"/>
              <w:spacing w:after="0" w:line="137" w:lineRule="exact"/>
              <w:rPr>
                <w:sz w:val="20"/>
                <w:szCs w:val="20"/>
                <w:color w:val="auto"/>
              </w:rPr>
            </w:pPr>
            <w:r>
              <w:rPr>
                <w:rFonts w:ascii="Arial" w:cs="Arial" w:eastAsia="Arial" w:hAnsi="Arial"/>
                <w:sz w:val="14"/>
                <w:szCs w:val="14"/>
                <w:color w:val="auto"/>
                <w:w w:val="98"/>
              </w:rPr>
              <w:t>$1.5 billion</w:t>
            </w: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40" w:type="dxa"/>
            <w:vAlign w:val="bottom"/>
          </w:tcPr>
          <w:p>
            <w:pPr>
              <w:jc w:val="center"/>
              <w:spacing w:after="0" w:line="137" w:lineRule="exact"/>
              <w:rPr>
                <w:sz w:val="20"/>
                <w:szCs w:val="20"/>
                <w:color w:val="auto"/>
              </w:rPr>
            </w:pPr>
            <w:r>
              <w:rPr>
                <w:rFonts w:ascii="Arial" w:cs="Arial" w:eastAsia="Arial" w:hAnsi="Arial"/>
                <w:sz w:val="14"/>
                <w:szCs w:val="14"/>
                <w:color w:val="auto"/>
                <w:w w:val="98"/>
              </w:rPr>
              <w:t>$1.5 billion</w:t>
            </w: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2440" w:type="dxa"/>
            <w:vAlign w:val="bottom"/>
          </w:tcPr>
          <w:p>
            <w:pPr>
              <w:jc w:val="center"/>
              <w:ind w:left="1028"/>
              <w:spacing w:after="0"/>
              <w:rPr>
                <w:sz w:val="20"/>
                <w:szCs w:val="20"/>
                <w:color w:val="auto"/>
              </w:rPr>
            </w:pPr>
            <w:r>
              <w:rPr>
                <w:rFonts w:ascii="Arial" w:cs="Arial" w:eastAsia="Arial" w:hAnsi="Arial"/>
                <w:sz w:val="14"/>
                <w:szCs w:val="14"/>
                <w:color w:val="auto"/>
              </w:rPr>
              <w:t>(+/- $50 million)</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40" w:type="dxa"/>
            <w:vAlign w:val="bottom"/>
          </w:tcPr>
          <w:p>
            <w:pPr>
              <w:jc w:val="center"/>
              <w:spacing w:after="0"/>
              <w:rPr>
                <w:sz w:val="20"/>
                <w:szCs w:val="20"/>
                <w:color w:val="auto"/>
              </w:rPr>
            </w:pPr>
            <w:r>
              <w:rPr>
                <w:rFonts w:ascii="Arial" w:cs="Arial" w:eastAsia="Arial" w:hAnsi="Arial"/>
                <w:sz w:val="14"/>
                <w:szCs w:val="14"/>
                <w:color w:val="auto"/>
                <w:w w:val="99"/>
              </w:rPr>
              <w:t>(+/- $50 million)</w:t>
            </w:r>
          </w:p>
        </w:tc>
        <w:tc>
          <w:tcPr>
            <w:tcW w:w="0" w:type="dxa"/>
            <w:vAlign w:val="bottom"/>
          </w:tcPr>
          <w:p>
            <w:pPr>
              <w:spacing w:after="0"/>
              <w:rPr>
                <w:sz w:val="1"/>
                <w:szCs w:val="1"/>
                <w:color w:val="auto"/>
              </w:rPr>
            </w:pPr>
          </w:p>
        </w:tc>
      </w:tr>
      <w:tr>
        <w:trPr>
          <w:trHeight w:val="161"/>
        </w:trPr>
        <w:tc>
          <w:tcPr>
            <w:tcW w:w="4020" w:type="dxa"/>
            <w:vAlign w:val="bottom"/>
          </w:tcPr>
          <w:p>
            <w:pPr>
              <w:spacing w:after="0"/>
              <w:rPr>
                <w:sz w:val="20"/>
                <w:szCs w:val="20"/>
                <w:color w:val="auto"/>
              </w:rPr>
            </w:pPr>
            <w:r>
              <w:rPr>
                <w:rFonts w:ascii="Arial" w:cs="Arial" w:eastAsia="Arial" w:hAnsi="Arial"/>
                <w:sz w:val="14"/>
                <w:szCs w:val="14"/>
                <w:color w:val="auto"/>
              </w:rPr>
              <w:t>Operating Margin</w:t>
            </w:r>
          </w:p>
        </w:tc>
        <w:tc>
          <w:tcPr>
            <w:tcW w:w="2440" w:type="dxa"/>
            <w:vAlign w:val="bottom"/>
          </w:tcPr>
          <w:p>
            <w:pPr>
              <w:jc w:val="right"/>
              <w:ind w:right="408"/>
              <w:spacing w:after="0"/>
              <w:rPr>
                <w:sz w:val="20"/>
                <w:szCs w:val="20"/>
                <w:color w:val="auto"/>
              </w:rPr>
            </w:pPr>
            <w:r>
              <w:rPr>
                <w:rFonts w:ascii="Arial" w:cs="Arial" w:eastAsia="Arial" w:hAnsi="Arial"/>
                <w:sz w:val="14"/>
                <w:szCs w:val="14"/>
                <w:color w:val="auto"/>
              </w:rPr>
              <w:t>30.8%</w:t>
            </w:r>
          </w:p>
        </w:tc>
        <w:tc>
          <w:tcPr>
            <w:tcW w:w="4960" w:type="dxa"/>
            <w:vAlign w:val="bottom"/>
            <w:gridSpan w:val="3"/>
          </w:tcPr>
          <w:p>
            <w:pPr>
              <w:jc w:val="right"/>
              <w:ind w:right="1469"/>
              <w:spacing w:after="0" w:line="161" w:lineRule="exact"/>
              <w:rPr>
                <w:sz w:val="20"/>
                <w:szCs w:val="20"/>
                <w:color w:val="auto"/>
              </w:rPr>
            </w:pPr>
            <w:r>
              <w:rPr>
                <w:rFonts w:ascii="Arial" w:cs="Arial" w:eastAsia="Arial" w:hAnsi="Arial"/>
                <w:sz w:val="11"/>
                <w:szCs w:val="11"/>
                <w:color w:val="auto"/>
              </w:rPr>
              <w:t xml:space="preserve">41.3% </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182"/>
        </w:trPr>
        <w:tc>
          <w:tcPr>
            <w:tcW w:w="4020" w:type="dxa"/>
            <w:vAlign w:val="bottom"/>
          </w:tcPr>
          <w:p>
            <w:pPr>
              <w:spacing w:after="0"/>
              <w:rPr>
                <w:sz w:val="15"/>
                <w:szCs w:val="15"/>
                <w:color w:val="auto"/>
              </w:rPr>
            </w:pPr>
          </w:p>
        </w:tc>
        <w:tc>
          <w:tcPr>
            <w:tcW w:w="2440" w:type="dxa"/>
            <w:vAlign w:val="bottom"/>
          </w:tcPr>
          <w:p>
            <w:pPr>
              <w:jc w:val="center"/>
              <w:ind w:left="1028"/>
              <w:spacing w:after="0"/>
              <w:rPr>
                <w:sz w:val="20"/>
                <w:szCs w:val="20"/>
                <w:color w:val="auto"/>
              </w:rPr>
            </w:pPr>
            <w:r>
              <w:rPr>
                <w:rFonts w:ascii="Arial" w:cs="Arial" w:eastAsia="Arial" w:hAnsi="Arial"/>
                <w:sz w:val="14"/>
                <w:szCs w:val="14"/>
                <w:color w:val="auto"/>
                <w:w w:val="92"/>
              </w:rPr>
              <w:t>(+/- 100 bps)</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40" w:type="dxa"/>
            <w:vAlign w:val="bottom"/>
            <w:vMerge w:val="restart"/>
          </w:tcPr>
          <w:p>
            <w:pPr>
              <w:jc w:val="center"/>
              <w:spacing w:after="0"/>
              <w:rPr>
                <w:sz w:val="20"/>
                <w:szCs w:val="20"/>
                <w:color w:val="auto"/>
              </w:rPr>
            </w:pPr>
            <w:r>
              <w:rPr>
                <w:rFonts w:ascii="Arial" w:cs="Arial" w:eastAsia="Arial" w:hAnsi="Arial"/>
                <w:sz w:val="14"/>
                <w:szCs w:val="14"/>
                <w:color w:val="auto"/>
                <w:w w:val="94"/>
              </w:rPr>
              <w:t>(+/- 70 bps)</w:t>
            </w:r>
          </w:p>
        </w:tc>
        <w:tc>
          <w:tcPr>
            <w:tcW w:w="0" w:type="dxa"/>
            <w:vAlign w:val="bottom"/>
          </w:tcPr>
          <w:p>
            <w:pPr>
              <w:spacing w:after="0"/>
              <w:rPr>
                <w:sz w:val="1"/>
                <w:szCs w:val="1"/>
                <w:color w:val="auto"/>
              </w:rPr>
            </w:pPr>
          </w:p>
        </w:tc>
      </w:tr>
      <w:tr>
        <w:trPr>
          <w:trHeight w:val="35"/>
        </w:trPr>
        <w:tc>
          <w:tcPr>
            <w:tcW w:w="40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4"/>
                <w:szCs w:val="14"/>
                <w:color w:val="auto"/>
              </w:rPr>
              <w:t>Tax rate</w:t>
            </w:r>
          </w:p>
        </w:tc>
        <w:tc>
          <w:tcPr>
            <w:tcW w:w="2440" w:type="dxa"/>
            <w:vAlign w:val="bottom"/>
          </w:tcPr>
          <w:p>
            <w:pPr>
              <w:jc w:val="center"/>
              <w:ind w:left="1028"/>
              <w:spacing w:after="0"/>
              <w:rPr>
                <w:sz w:val="20"/>
                <w:szCs w:val="20"/>
                <w:color w:val="auto"/>
              </w:rPr>
            </w:pPr>
            <w:r>
              <w:rPr>
                <w:rFonts w:ascii="Arial" w:cs="Arial" w:eastAsia="Arial" w:hAnsi="Arial"/>
                <w:sz w:val="14"/>
                <w:szCs w:val="14"/>
                <w:color w:val="auto"/>
                <w:w w:val="92"/>
              </w:rPr>
              <w:t>14% to 16%</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40" w:type="dxa"/>
            <w:vAlign w:val="bottom"/>
          </w:tcPr>
          <w:p>
            <w:pPr>
              <w:jc w:val="center"/>
              <w:spacing w:after="0" w:line="230" w:lineRule="exact"/>
              <w:rPr>
                <w:sz w:val="20"/>
                <w:szCs w:val="20"/>
                <w:color w:val="auto"/>
              </w:rPr>
            </w:pPr>
            <w:r>
              <w:rPr>
                <w:rFonts w:ascii="Arial" w:cs="Arial" w:eastAsia="Arial" w:hAnsi="Arial"/>
                <w:sz w:val="14"/>
                <w:szCs w:val="14"/>
                <w:color w:val="auto"/>
                <w:w w:val="91"/>
              </w:rPr>
              <w:t xml:space="preserve">14% to 16% </w:t>
            </w:r>
            <w:r>
              <w:rPr>
                <w:rFonts w:ascii="Arial" w:cs="Arial" w:eastAsia="Arial" w:hAnsi="Arial"/>
                <w:sz w:val="26"/>
                <w:szCs w:val="26"/>
                <w:color w:val="auto"/>
                <w:w w:val="91"/>
                <w:vertAlign w:val="superscript"/>
              </w:rPr>
              <w:t>(2)</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20"/>
                <w:szCs w:val="20"/>
                <w:color w:val="auto"/>
              </w:rPr>
            </w:pPr>
            <w:r>
              <w:rPr>
                <w:rFonts w:ascii="Arial" w:cs="Arial" w:eastAsia="Arial" w:hAnsi="Arial"/>
                <w:sz w:val="14"/>
                <w:szCs w:val="14"/>
                <w:color w:val="auto"/>
              </w:rPr>
              <w:t>Earnings per share</w:t>
            </w:r>
          </w:p>
        </w:tc>
        <w:tc>
          <w:tcPr>
            <w:tcW w:w="2440" w:type="dxa"/>
            <w:vAlign w:val="bottom"/>
          </w:tcPr>
          <w:p>
            <w:pPr>
              <w:jc w:val="right"/>
              <w:ind w:right="408"/>
              <w:spacing w:after="0"/>
              <w:rPr>
                <w:sz w:val="20"/>
                <w:szCs w:val="20"/>
                <w:color w:val="auto"/>
              </w:rPr>
            </w:pPr>
            <w:r>
              <w:rPr>
                <w:rFonts w:ascii="Arial" w:cs="Arial" w:eastAsia="Arial" w:hAnsi="Arial"/>
                <w:sz w:val="14"/>
                <w:szCs w:val="14"/>
                <w:color w:val="auto"/>
              </w:rPr>
              <w:t>$ 0.94</w:t>
            </w:r>
          </w:p>
        </w:tc>
        <w:tc>
          <w:tcPr>
            <w:tcW w:w="4960" w:type="dxa"/>
            <w:vAlign w:val="bottom"/>
            <w:gridSpan w:val="3"/>
          </w:tcPr>
          <w:p>
            <w:pPr>
              <w:jc w:val="right"/>
              <w:ind w:right="1469"/>
              <w:spacing w:after="0" w:line="202" w:lineRule="exact"/>
              <w:rPr>
                <w:sz w:val="20"/>
                <w:szCs w:val="20"/>
                <w:color w:val="auto"/>
              </w:rPr>
            </w:pPr>
            <w:r>
              <w:rPr>
                <w:rFonts w:ascii="Arial" w:cs="Arial" w:eastAsia="Arial" w:hAnsi="Arial"/>
                <w:sz w:val="13"/>
                <w:szCs w:val="13"/>
                <w:color w:val="auto"/>
              </w:rPr>
              <w:t xml:space="preserve">$ 1.30 </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182"/>
        </w:trPr>
        <w:tc>
          <w:tcPr>
            <w:tcW w:w="4020" w:type="dxa"/>
            <w:vAlign w:val="bottom"/>
          </w:tcPr>
          <w:p>
            <w:pPr>
              <w:spacing w:after="0"/>
              <w:rPr>
                <w:sz w:val="15"/>
                <w:szCs w:val="15"/>
                <w:color w:val="auto"/>
              </w:rPr>
            </w:pPr>
          </w:p>
        </w:tc>
        <w:tc>
          <w:tcPr>
            <w:tcW w:w="2440" w:type="dxa"/>
            <w:vAlign w:val="bottom"/>
          </w:tcPr>
          <w:p>
            <w:pPr>
              <w:jc w:val="center"/>
              <w:ind w:left="1028"/>
              <w:spacing w:after="0"/>
              <w:rPr>
                <w:sz w:val="20"/>
                <w:szCs w:val="20"/>
                <w:color w:val="auto"/>
              </w:rPr>
            </w:pPr>
            <w:r>
              <w:rPr>
                <w:rFonts w:ascii="Arial" w:cs="Arial" w:eastAsia="Arial" w:hAnsi="Arial"/>
                <w:sz w:val="14"/>
                <w:szCs w:val="14"/>
                <w:color w:val="auto"/>
                <w:w w:val="95"/>
              </w:rPr>
              <w:t>(+/- $0.07)</w:t>
            </w:r>
          </w:p>
        </w:tc>
        <w:tc>
          <w:tcPr>
            <w:tcW w:w="4960" w:type="dxa"/>
            <w:vAlign w:val="bottom"/>
            <w:gridSpan w:val="3"/>
          </w:tcPr>
          <w:p>
            <w:pPr>
              <w:jc w:val="center"/>
              <w:ind w:left="1275"/>
              <w:spacing w:after="0"/>
              <w:rPr>
                <w:sz w:val="20"/>
                <w:szCs w:val="20"/>
                <w:color w:val="auto"/>
              </w:rPr>
            </w:pPr>
            <w:r>
              <w:rPr>
                <w:rFonts w:ascii="Arial" w:cs="Arial" w:eastAsia="Arial" w:hAnsi="Arial"/>
                <w:sz w:val="14"/>
                <w:szCs w:val="14"/>
                <w:color w:val="auto"/>
                <w:w w:val="95"/>
              </w:rPr>
              <w:t>(+/- $0.07)</w:t>
            </w:r>
          </w:p>
        </w:tc>
        <w:tc>
          <w:tcPr>
            <w:tcW w:w="0" w:type="dxa"/>
            <w:vAlign w:val="bottom"/>
          </w:tcPr>
          <w:p>
            <w:pPr>
              <w:spacing w:after="0"/>
              <w:rPr>
                <w:sz w:val="1"/>
                <w:szCs w:val="1"/>
                <w:color w:val="auto"/>
              </w:rPr>
            </w:pPr>
          </w:p>
        </w:tc>
      </w:tr>
    </w:tbl>
    <w:p>
      <w:pPr>
        <w:spacing w:after="0" w:line="369" w:lineRule="exact"/>
        <w:rPr>
          <w:sz w:val="20"/>
          <w:szCs w:val="20"/>
          <w:color w:val="auto"/>
        </w:rPr>
      </w:pPr>
    </w:p>
    <w:p>
      <w:pPr>
        <w:ind w:right="160" w:firstLine="8"/>
        <w:spacing w:after="0" w:line="239" w:lineRule="auto"/>
        <w:tabs>
          <w:tab w:leader="none" w:pos="306" w:val="left"/>
        </w:tabs>
        <w:numPr>
          <w:ilvl w:val="0"/>
          <w:numId w:val="7"/>
        </w:numPr>
        <w:rPr>
          <w:rFonts w:ascii="Arial" w:cs="Arial" w:eastAsia="Arial" w:hAnsi="Arial"/>
          <w:sz w:val="22"/>
          <w:szCs w:val="22"/>
          <w:color w:val="auto"/>
        </w:rPr>
      </w:pPr>
      <w:r>
        <w:rPr>
          <w:rFonts w:ascii="Arial" w:cs="Arial" w:eastAsia="Arial" w:hAnsi="Arial"/>
          <w:sz w:val="22"/>
          <w:szCs w:val="22"/>
          <w:color w:val="auto"/>
        </w:rPr>
        <w:t>Includes $157 million of adjustments related to acquisition related expenses as previously defined in the Non-GAAP Financial Information section of this press release.</w:t>
      </w:r>
    </w:p>
    <w:p>
      <w:pPr>
        <w:ind w:left="320" w:hanging="312"/>
        <w:spacing w:after="0" w:line="230" w:lineRule="auto"/>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Includes $23 million of tax effects associated with the adjustment for acquisition related expenses above.</w:t>
      </w:r>
    </w:p>
    <w:p>
      <w:pPr>
        <w:ind w:right="380" w:firstLine="8"/>
        <w:spacing w:after="0" w:line="237" w:lineRule="auto"/>
        <w:tabs>
          <w:tab w:leader="none" w:pos="306" w:val="left"/>
        </w:tabs>
        <w:numPr>
          <w:ilvl w:val="0"/>
          <w:numId w:val="7"/>
        </w:numPr>
        <w:rPr>
          <w:rFonts w:ascii="Arial" w:cs="Arial" w:eastAsia="Arial" w:hAnsi="Arial"/>
          <w:sz w:val="22"/>
          <w:szCs w:val="22"/>
          <w:color w:val="auto"/>
        </w:rPr>
      </w:pPr>
      <w:r>
        <w:rPr>
          <w:rFonts w:ascii="Arial" w:cs="Arial" w:eastAsia="Arial" w:hAnsi="Arial"/>
          <w:sz w:val="22"/>
          <w:szCs w:val="22"/>
          <w:color w:val="auto"/>
        </w:rPr>
        <w:t>Includes $0.36 of adjustments related to the net impact of $0.42 of acquisition related expenses and ($0.06) of tax effects on those acquisition related expenses.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Analog Devices, Inc.</w:t>
      </w:r>
    </w:p>
    <w:p>
      <w:pPr>
        <w:spacing w:after="0" w:line="230" w:lineRule="auto"/>
        <w:rPr>
          <w:sz w:val="20"/>
          <w:szCs w:val="20"/>
          <w:color w:val="auto"/>
        </w:rPr>
      </w:pPr>
      <w:r>
        <w:rPr>
          <w:rFonts w:ascii="Arial" w:cs="Arial" w:eastAsia="Arial" w:hAnsi="Arial"/>
          <w:sz w:val="22"/>
          <w:szCs w:val="22"/>
          <w:color w:val="auto"/>
        </w:rPr>
        <w:t>Mr. Michael Lucarelli, 781-461-3282</w:t>
      </w:r>
    </w:p>
    <w:p>
      <w:pPr>
        <w:spacing w:after="0" w:line="231" w:lineRule="auto"/>
        <w:rPr>
          <w:sz w:val="20"/>
          <w:szCs w:val="20"/>
          <w:color w:val="auto"/>
        </w:rPr>
      </w:pPr>
      <w:r>
        <w:rPr>
          <w:rFonts w:ascii="Arial" w:cs="Arial" w:eastAsia="Arial" w:hAnsi="Arial"/>
          <w:sz w:val="22"/>
          <w:szCs w:val="22"/>
          <w:color w:val="auto"/>
        </w:rPr>
        <w:t>Director of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investor.relations@analog.com</w:t>
      </w:r>
    </w:p>
    <w:p>
      <w:pPr>
        <w:sectPr>
          <w:pgSz w:w="11900" w:h="16838" w:orient="portrait"/>
          <w:cols w:equalWidth="0" w:num="1">
            <w:col w:w="11420"/>
          </w:cols>
          <w:pgMar w:left="240" w:top="306" w:right="239" w:bottom="1440" w:gutter="0" w:footer="0" w:header="0"/>
        </w:sectPr>
      </w:pPr>
    </w:p>
    <w:bookmarkStart w:id="16" w:name="page17"/>
    <w:bookmarkEnd w:id="16"/>
    <w:p>
      <w:pPr>
        <w:ind w:left="10300"/>
        <w:spacing w:after="0"/>
        <w:rPr>
          <w:sz w:val="20"/>
          <w:szCs w:val="20"/>
          <w:color w:val="auto"/>
        </w:rPr>
      </w:pPr>
      <w:r>
        <w:rPr>
          <w:rFonts w:ascii="Arial" w:cs="Arial" w:eastAsia="Arial" w:hAnsi="Arial"/>
          <w:sz w:val="19"/>
          <w:szCs w:val="19"/>
          <w:b w:val="1"/>
          <w:bCs w:val="1"/>
          <w:color w:val="auto"/>
        </w:rPr>
        <w:t>Exhibit 99.2</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Analog Devices Announces 12.5 Percent Increase in Dividend; Raises Annual Dividend Growth Target to 7% to 15%</w:t>
      </w:r>
    </w:p>
    <w:p>
      <w:pPr>
        <w:spacing w:after="0" w:line="247" w:lineRule="exact"/>
        <w:rPr>
          <w:sz w:val="20"/>
          <w:szCs w:val="20"/>
          <w:color w:val="auto"/>
        </w:rPr>
      </w:pPr>
    </w:p>
    <w:p>
      <w:pPr>
        <w:ind w:right="140"/>
        <w:spacing w:after="0" w:line="279" w:lineRule="auto"/>
        <w:rPr>
          <w:sz w:val="20"/>
          <w:szCs w:val="20"/>
          <w:color w:val="auto"/>
        </w:rPr>
      </w:pPr>
      <w:r>
        <w:rPr>
          <w:rFonts w:ascii="Arial" w:cs="Arial" w:eastAsia="Arial" w:hAnsi="Arial"/>
          <w:sz w:val="19"/>
          <w:szCs w:val="19"/>
          <w:color w:val="auto"/>
        </w:rPr>
        <w:t>NORWOOD, Mass.--(BUSINESS WIRE)--February 19, 2019--Analog Devices, Inc. (Nasdaq: ADI) today announced that its Board of Directors has voted to increase its quarterly dividend to $0.54 per outstanding share of common stock. The new dividend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represents an increase of 12.5 percent, marking the Company's 16</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dividend increase in the last 15 years.</w:t>
      </w:r>
    </w:p>
    <w:p>
      <w:pPr>
        <w:spacing w:after="0" w:line="76"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"We pride ourselves on our commitment to shareholder returns and have paid a dividend every quarter since 2003,” said Vincent Roche, President and CEO, “And given the confidence in our future prospects and strength of our business model, I am pleased to announce that we have increased our target dividend growth rate to 7 to 15 percent annually from our previous target of 5 to 10 percent.”</w:t>
      </w:r>
    </w:p>
    <w:p>
      <w:pPr>
        <w:spacing w:after="0" w:line="185"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The increase is effective with the dividend payable on March 12, 2019 to shareholders of record as of the close of business on March 1, 2019. The payment of any future quarterly dividends, or a future increase in the quarterly dividend amount, will be at the discretion of the Board and will be dependent upon ADI's financial position, results of operations, outlook, liquidity, and other factors deemed relevant by the Board.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Analog Devices</w:t>
      </w:r>
    </w:p>
    <w:p>
      <w:pPr>
        <w:spacing w:after="0" w:line="14" w:lineRule="exact"/>
        <w:rPr>
          <w:sz w:val="20"/>
          <w:szCs w:val="20"/>
          <w:color w:val="auto"/>
        </w:rPr>
      </w:pPr>
    </w:p>
    <w:p>
      <w:pPr>
        <w:jc w:val="both"/>
        <w:ind w:right="60"/>
        <w:spacing w:after="0" w:line="287" w:lineRule="auto"/>
        <w:rPr>
          <w:sz w:val="20"/>
          <w:szCs w:val="20"/>
          <w:color w:val="auto"/>
        </w:rPr>
      </w:pPr>
      <w:r>
        <w:rPr>
          <w:rFonts w:ascii="Arial" w:cs="Arial" w:eastAsia="Arial" w:hAnsi="Arial"/>
          <w:sz w:val="19"/>
          <w:szCs w:val="19"/>
          <w:color w:val="auto"/>
        </w:rPr>
        <w:t xml:space="preserve">Analog Devices (Nasdaq: ADI) is a leading global high-performance analog technology company dedicated to solving the toughest engineering challenges. We enable our customers to interpret the world around us by intelligently bridging the physical and digital with unmatched technologies that sense, measure, power, connect and interpret. Visit </w:t>
      </w:r>
      <w:r>
        <w:rPr>
          <w:rFonts w:ascii="Arial" w:cs="Arial" w:eastAsia="Arial" w:hAnsi="Arial"/>
          <w:sz w:val="19"/>
          <w:szCs w:val="19"/>
          <w:u w:val="single" w:color="auto"/>
          <w:color w:val="auto"/>
        </w:rPr>
        <w:t>http://www.analog.com</w:t>
      </w:r>
      <w:r>
        <w:rPr>
          <w:rFonts w:ascii="Arial" w:cs="Arial" w:eastAsia="Arial" w:hAnsi="Arial"/>
          <w:sz w:val="19"/>
          <w:szCs w:val="19"/>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color w:val="auto"/>
        </w:rPr>
        <w:t>(ADI-WEB)</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Analog Devices, Inc.</w:t>
      </w:r>
    </w:p>
    <w:p>
      <w:pPr>
        <w:spacing w:after="0" w:line="230" w:lineRule="auto"/>
        <w:rPr>
          <w:sz w:val="20"/>
          <w:szCs w:val="20"/>
          <w:color w:val="auto"/>
        </w:rPr>
      </w:pPr>
      <w:r>
        <w:rPr>
          <w:rFonts w:ascii="Arial" w:cs="Arial" w:eastAsia="Arial" w:hAnsi="Arial"/>
          <w:sz w:val="22"/>
          <w:szCs w:val="22"/>
          <w:color w:val="auto"/>
        </w:rPr>
        <w:t>Mr. Michael Lucarelli, 781-461-3282</w:t>
      </w:r>
    </w:p>
    <w:p>
      <w:pPr>
        <w:spacing w:after="0" w:line="231" w:lineRule="auto"/>
        <w:rPr>
          <w:sz w:val="20"/>
          <w:szCs w:val="20"/>
          <w:color w:val="auto"/>
        </w:rPr>
      </w:pPr>
      <w:r>
        <w:rPr>
          <w:rFonts w:ascii="Arial" w:cs="Arial" w:eastAsia="Arial" w:hAnsi="Arial"/>
          <w:sz w:val="22"/>
          <w:szCs w:val="22"/>
          <w:color w:val="auto"/>
        </w:rPr>
        <w:t>781-461-3491 (fax)</w:t>
      </w:r>
    </w:p>
    <w:p>
      <w:pPr>
        <w:spacing w:after="0" w:line="231" w:lineRule="auto"/>
        <w:rPr>
          <w:sz w:val="20"/>
          <w:szCs w:val="20"/>
          <w:color w:val="auto"/>
        </w:rPr>
      </w:pPr>
      <w:r>
        <w:rPr>
          <w:rFonts w:ascii="Arial" w:cs="Arial" w:eastAsia="Arial" w:hAnsi="Arial"/>
          <w:sz w:val="22"/>
          <w:szCs w:val="22"/>
          <w:color w:val="auto"/>
        </w:rPr>
        <w:t>Director of Investor Relations</w:t>
      </w:r>
    </w:p>
    <w:p>
      <w:pPr>
        <w:spacing w:after="0"/>
        <w:rPr>
          <w:sz w:val="20"/>
          <w:szCs w:val="20"/>
          <w:color w:val="auto"/>
        </w:rPr>
      </w:pPr>
      <w:r>
        <w:rPr>
          <w:rFonts w:ascii="Arial" w:cs="Arial" w:eastAsia="Arial" w:hAnsi="Arial"/>
          <w:sz w:val="22"/>
          <w:szCs w:val="22"/>
          <w:u w:val="single" w:color="auto"/>
          <w:color w:val="auto"/>
        </w:rPr>
        <w:t>investor.relations@analog.com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2019-12-28T16:28:53Z</dcterms:created>
  <dcterms:modified xsi:type="dcterms:W3CDTF">2019-12-28T16:28:53Z</dcterms:modified>
</cp:coreProperties>
</file>