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Date of Report (Date of earliest event reported): November 24, 2008</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20" w:type="dxa"/>
            <w:vAlign w:val="bottom"/>
            <w:gridSpan w:val="2"/>
          </w:tcPr>
          <w:p>
            <w:pPr>
              <w:ind w:left="1160"/>
              <w:spacing w:after="0"/>
              <w:rPr>
                <w:sz w:val="20"/>
                <w:szCs w:val="20"/>
                <w:color w:val="auto"/>
              </w:rPr>
            </w:pPr>
            <w:r>
              <w:rPr>
                <w:rFonts w:ascii="Arial" w:cs="Arial" w:eastAsia="Arial" w:hAnsi="Arial"/>
                <w:sz w:val="18"/>
                <w:szCs w:val="18"/>
                <w:b w:val="1"/>
                <w:bCs w:val="1"/>
                <w:color w:val="auto"/>
              </w:rPr>
              <w:t>Massachusetts</w:t>
            </w:r>
          </w:p>
        </w:tc>
        <w:tc>
          <w:tcPr>
            <w:tcW w:w="226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89"/>
              </w:rPr>
              <w:t>1-7819</w:t>
            </w:r>
          </w:p>
        </w:tc>
        <w:tc>
          <w:tcPr>
            <w:tcW w:w="1160" w:type="dxa"/>
            <w:vAlign w:val="bottom"/>
          </w:tcPr>
          <w:p>
            <w:pPr>
              <w:spacing w:after="0"/>
              <w:rPr>
                <w:sz w:val="20"/>
                <w:szCs w:val="20"/>
                <w:color w:val="auto"/>
              </w:rPr>
            </w:pP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04-2348234</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5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2"/>
          </w:tcPr>
          <w:p>
            <w:pPr>
              <w:jc w:val="center"/>
              <w:ind w:right="1160"/>
              <w:spacing w:after="0"/>
              <w:rPr>
                <w:sz w:val="20"/>
                <w:szCs w:val="20"/>
                <w:color w:val="auto"/>
              </w:rPr>
            </w:pPr>
            <w:r>
              <w:rPr>
                <w:rFonts w:ascii="Arial" w:cs="Arial" w:eastAsia="Arial" w:hAnsi="Arial"/>
                <w:sz w:val="18"/>
                <w:szCs w:val="18"/>
                <w:color w:val="auto"/>
                <w:w w:val="91"/>
              </w:rPr>
              <w:t>(Commission</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020" w:type="dxa"/>
            <w:vAlign w:val="bottom"/>
            <w:gridSpan w:val="2"/>
          </w:tcPr>
          <w:p>
            <w:pPr>
              <w:jc w:val="center"/>
              <w:ind w:right="600"/>
              <w:spacing w:after="0"/>
              <w:rPr>
                <w:sz w:val="20"/>
                <w:szCs w:val="20"/>
                <w:color w:val="auto"/>
              </w:rPr>
            </w:pPr>
            <w:r>
              <w:rPr>
                <w:rFonts w:ascii="Arial" w:cs="Arial" w:eastAsia="Arial" w:hAnsi="Arial"/>
                <w:sz w:val="18"/>
                <w:szCs w:val="18"/>
                <w:color w:val="auto"/>
                <w:w w:val="93"/>
              </w:rPr>
              <w:t>of incorporation)</w:t>
            </w:r>
          </w:p>
        </w:tc>
        <w:tc>
          <w:tcPr>
            <w:tcW w:w="1140" w:type="dxa"/>
            <w:vAlign w:val="bottom"/>
          </w:tcPr>
          <w:p>
            <w:pPr>
              <w:spacing w:after="0"/>
              <w:rPr>
                <w:sz w:val="20"/>
                <w:szCs w:val="20"/>
                <w:color w:val="auto"/>
              </w:rPr>
            </w:pPr>
          </w:p>
        </w:tc>
        <w:tc>
          <w:tcPr>
            <w:tcW w:w="2280" w:type="dxa"/>
            <w:vAlign w:val="bottom"/>
            <w:gridSpan w:val="2"/>
          </w:tcPr>
          <w:p>
            <w:pPr>
              <w:jc w:val="center"/>
              <w:ind w:right="1160"/>
              <w:spacing w:after="0"/>
              <w:rPr>
                <w:sz w:val="20"/>
                <w:szCs w:val="20"/>
                <w:color w:val="auto"/>
              </w:rPr>
            </w:pPr>
            <w:r>
              <w:rPr>
                <w:rFonts w:ascii="Arial" w:cs="Arial" w:eastAsia="Arial" w:hAnsi="Arial"/>
                <w:sz w:val="18"/>
                <w:szCs w:val="18"/>
                <w:color w:val="auto"/>
                <w:w w:val="92"/>
              </w:rPr>
              <w:t>File Number)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5"/>
        </w:trPr>
        <w:tc>
          <w:tcPr>
            <w:tcW w:w="402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b w:val="1"/>
                <w:bCs w:val="1"/>
                <w:color w:val="auto"/>
                <w:w w:val="91"/>
              </w:rPr>
              <w:t>One Technology Way, Norwood, MA</w:t>
            </w:r>
          </w:p>
        </w:tc>
        <w:tc>
          <w:tcPr>
            <w:tcW w:w="11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250"/>
              <w:spacing w:after="0"/>
              <w:rPr>
                <w:sz w:val="20"/>
                <w:szCs w:val="20"/>
                <w:color w:val="auto"/>
              </w:rPr>
            </w:pPr>
            <w:r>
              <w:rPr>
                <w:rFonts w:ascii="Arial" w:cs="Arial" w:eastAsia="Arial" w:hAnsi="Arial"/>
                <w:sz w:val="18"/>
                <w:szCs w:val="18"/>
                <w:b w:val="1"/>
                <w:bCs w:val="1"/>
                <w:color w:val="auto"/>
              </w:rPr>
              <w:t>02062</w:t>
            </w:r>
          </w:p>
        </w:tc>
      </w:tr>
      <w:tr>
        <w:trPr>
          <w:trHeight w:val="230"/>
        </w:trPr>
        <w:tc>
          <w:tcPr>
            <w:tcW w:w="4020" w:type="dxa"/>
            <w:vAlign w:val="bottom"/>
            <w:gridSpan w:val="2"/>
          </w:tcPr>
          <w:p>
            <w:pPr>
              <w:ind w:left="1140"/>
              <w:spacing w:after="0"/>
              <w:rPr>
                <w:sz w:val="20"/>
                <w:szCs w:val="20"/>
                <w:color w:val="auto"/>
              </w:rPr>
            </w:pPr>
            <w:r>
              <w:rPr>
                <w:rFonts w:ascii="Arial" w:cs="Arial" w:eastAsia="Arial" w:hAnsi="Arial"/>
                <w:sz w:val="18"/>
                <w:szCs w:val="18"/>
                <w:color w:val="auto"/>
                <w:w w:val="92"/>
              </w:rPr>
              <w:t>(Address of principal executive offices)</w:t>
            </w: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ind w:right="165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2" w:lineRule="exact"/>
        <w:rPr>
          <w:sz w:val="20"/>
          <w:szCs w:val="20"/>
          <w:color w:val="auto"/>
        </w:rPr>
      </w:pPr>
    </w:p>
    <w:p>
      <w:pPr>
        <w:ind w:firstLine="405"/>
        <w:spacing w:after="0"/>
        <w:rPr>
          <w:sz w:val="20"/>
          <w:szCs w:val="20"/>
          <w:color w:val="auto"/>
        </w:rPr>
      </w:pPr>
      <w:r>
        <w:rPr>
          <w:rFonts w:ascii="Arial" w:cs="Arial" w:eastAsia="Arial" w:hAnsi="Arial"/>
          <w:sz w:val="22"/>
          <w:szCs w:val="22"/>
          <w:color w:val="auto"/>
        </w:rPr>
        <w:t>On November 24, 2008, Analog Devices, Inc. (the “Registrant”) announced its financial results for its fiscal fourth quarter and fiscal year ended November 1, 2008. The full text of the press release issued by the Registrant concerning the foregoing results is furnished herewith as Exhibit 99.1.</w:t>
      </w:r>
    </w:p>
    <w:p>
      <w:pPr>
        <w:spacing w:after="0" w:line="186" w:lineRule="exact"/>
        <w:rPr>
          <w:sz w:val="20"/>
          <w:szCs w:val="20"/>
          <w:color w:val="auto"/>
        </w:rPr>
      </w:pPr>
    </w:p>
    <w:p>
      <w:pPr>
        <w:ind w:right="20" w:firstLine="405"/>
        <w:spacing w:after="0" w:line="282" w:lineRule="auto"/>
        <w:rPr>
          <w:sz w:val="20"/>
          <w:szCs w:val="20"/>
          <w:color w:val="auto"/>
        </w:rPr>
      </w:pPr>
      <w:r>
        <w:rPr>
          <w:rFonts w:ascii="Arial" w:cs="Arial" w:eastAsia="Arial" w:hAnsi="Arial"/>
          <w:sz w:val="19"/>
          <w:szCs w:val="19"/>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15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8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w w:val="87"/>
              </w:rPr>
              <w:t>Press release dated November 24, 2008</w:t>
            </w:r>
          </w:p>
        </w:tc>
      </w:tr>
    </w:tbl>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spacing w:after="0"/>
        <w:tabs>
          <w:tab w:leader="none" w:pos="68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24, 2008</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Joseph E. McDonough</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Finance and Chief</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8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w w:val="87"/>
              </w:rPr>
              <w:t>Press release dated November 24, 2008</w:t>
            </w:r>
          </w:p>
        </w:tc>
      </w:tr>
    </w:tbl>
    <w:p>
      <w:pPr>
        <w:sectPr>
          <w:pgSz w:w="11900" w:h="16838" w:orient="portrait"/>
          <w:cols w:equalWidth="0" w:num="1">
            <w:col w:w="10219"/>
          </w:cols>
          <w:pgMar w:left="240" w:top="118"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540" w:right="1400" w:firstLine="860"/>
        <w:spacing w:after="0" w:line="400" w:lineRule="auto"/>
        <w:rPr>
          <w:sz w:val="20"/>
          <w:szCs w:val="20"/>
          <w:color w:val="auto"/>
        </w:rPr>
      </w:pPr>
      <w:r>
        <w:rPr>
          <w:rFonts w:ascii="Arial" w:cs="Arial" w:eastAsia="Arial" w:hAnsi="Arial"/>
          <w:sz w:val="22"/>
          <w:szCs w:val="22"/>
          <w:b w:val="1"/>
          <w:bCs w:val="1"/>
          <w:color w:val="auto"/>
        </w:rPr>
        <w:t xml:space="preserve">Analog Devices Announces Financial Results for the Fourth Quarter and for Fiscal Year 2008 </w:t>
      </w:r>
      <w:r>
        <w:rPr>
          <w:rFonts w:ascii="Arial" w:cs="Arial" w:eastAsia="Arial" w:hAnsi="Arial"/>
          <w:sz w:val="22"/>
          <w:szCs w:val="22"/>
          <w:b w:val="1"/>
          <w:bCs w:val="1"/>
          <w:i w:val="1"/>
          <w:iCs w:val="1"/>
          <w:color w:val="auto"/>
        </w:rPr>
        <w:t>FY2008 product revenue increased 6% from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-178435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440"/>
        <w:spacing w:after="0" w:line="358" w:lineRule="auto"/>
        <w:rPr>
          <w:sz w:val="20"/>
          <w:szCs w:val="20"/>
          <w:color w:val="auto"/>
        </w:rPr>
      </w:pPr>
      <w:r>
        <w:rPr>
          <w:rFonts w:ascii="Arial" w:cs="Arial" w:eastAsia="Arial" w:hAnsi="Arial"/>
          <w:sz w:val="22"/>
          <w:szCs w:val="22"/>
          <w:b w:val="1"/>
          <w:bCs w:val="1"/>
          <w:i w:val="1"/>
          <w:iCs w:val="1"/>
          <w:color w:val="auto"/>
        </w:rPr>
        <w:t>FY2008 diluted EPS from continuing operations increased 17% from the prior year 4Q08 product revenue increased 6%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-417830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-177800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b w:val="1"/>
          <w:bCs w:val="1"/>
          <w:i w:val="1"/>
          <w:iCs w:val="1"/>
          <w:color w:val="auto"/>
        </w:rPr>
        <w:t>4Q08 diluted EPS from continuing operations increased 63%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auto"/>
        </w:rPr>
        <w:t>4Q08 gross margin was 61.1% of revenue, up 110 bps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1900"/>
        <w:spacing w:after="0" w:line="368" w:lineRule="auto"/>
        <w:rPr>
          <w:sz w:val="20"/>
          <w:szCs w:val="20"/>
          <w:color w:val="auto"/>
        </w:rPr>
      </w:pPr>
      <w:r>
        <w:rPr>
          <w:rFonts w:ascii="Arial" w:cs="Arial" w:eastAsia="Arial" w:hAnsi="Arial"/>
          <w:sz w:val="22"/>
          <w:szCs w:val="22"/>
          <w:b w:val="1"/>
          <w:bCs w:val="1"/>
          <w:i w:val="1"/>
          <w:iCs w:val="1"/>
          <w:color w:val="auto"/>
        </w:rPr>
        <w:t>4Q08 operating margin from continuing operations was 24.3% of revenue, up 510 bps year over year Board of Directors declared quarterly dividend of $0.20 per share Financial results will be discussed via conference call today at 5:00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-677545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-437515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-196850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2"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b w:val="1"/>
          <w:bCs w:val="1"/>
          <w:i w:val="1"/>
          <w:iCs w:val="1"/>
          <w:color w:val="auto"/>
        </w:rPr>
        <w:t>Except where noted, all financial results contained in this release are from continuing operations. The sales of two businesses, the wireless handset baseband chipset and radio transceiver business and the CPU voltage regulation and PC thermal monitoring business, were completed during the first quarter of fiscal 2008. These two businesses are reported as discontinued operations.</w:t>
      </w:r>
    </w:p>
    <w:p>
      <w:pPr>
        <w:spacing w:after="0" w:line="185" w:lineRule="exact"/>
        <w:rPr>
          <w:sz w:val="20"/>
          <w:szCs w:val="20"/>
          <w:color w:val="auto"/>
        </w:rPr>
      </w:pPr>
    </w:p>
    <w:p>
      <w:pPr>
        <w:ind w:right="580"/>
        <w:spacing w:after="0" w:line="328" w:lineRule="auto"/>
        <w:rPr>
          <w:sz w:val="20"/>
          <w:szCs w:val="20"/>
          <w:color w:val="auto"/>
        </w:rPr>
      </w:pPr>
      <w:r>
        <w:rPr>
          <w:rFonts w:ascii="Arial" w:cs="Arial" w:eastAsia="Arial" w:hAnsi="Arial"/>
          <w:sz w:val="19"/>
          <w:szCs w:val="19"/>
          <w:b w:val="1"/>
          <w:bCs w:val="1"/>
          <w:i w:val="1"/>
          <w:iCs w:val="1"/>
          <w:color w:val="auto"/>
        </w:rPr>
        <w:t xml:space="preserve">Historical quarterly and annual financial information for continuing operations, including revenue by end market and by product type, is available on the Analog Devices Investor Relations web site at: </w:t>
      </w:r>
      <w:r>
        <w:rPr>
          <w:rFonts w:ascii="Arial" w:cs="Arial" w:eastAsia="Arial" w:hAnsi="Arial"/>
          <w:sz w:val="19"/>
          <w:szCs w:val="19"/>
          <w:b w:val="1"/>
          <w:bCs w:val="1"/>
          <w:i w:val="1"/>
          <w:iCs w:val="1"/>
          <w:u w:val="single" w:color="auto"/>
          <w:color w:val="auto"/>
        </w:rPr>
        <w:t>http://investor.analog.com</w:t>
      </w:r>
    </w:p>
    <w:p>
      <w:pPr>
        <w:spacing w:after="0" w:line="105"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NORWOOD, Mass.--(BUSINESS WIRE)--November 24, 2008--Analog Devices, Inc. (NYSE: ADI), a global leader in high-performance semiconductors for signal processing applications, today announced financial results for its fiscal fourth quarter and fiscal year ended November 1, 2008.</w:t>
      </w:r>
    </w:p>
    <w:p>
      <w:pPr>
        <w:spacing w:after="0" w:line="186"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“The fourth quarter culminated a year of solid performance for ADI. We entered the year with a rebalanced, higher margin product portfolio and an intensified focus on our core businesses. This strategy led to increased revenue and significant earnings growth for ADI in 2008,” said Jerald G. Fishman, President and CEO. “While we exited the year faced with very difficult global economic conditions, we believe this focus on our market-leading core signal processing technologies gives us a competitive advantage that will endure throughout and beyond the current downturn.”</w:t>
      </w:r>
    </w:p>
    <w:p>
      <w:pPr>
        <w:spacing w:after="0" w:line="179"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Mr. Fishman continued, “As we enter fiscal 2009, we plan to further concentrate our investment on these top priorities, and reduce spending in areas that offer less opportunity for differentiation and growth. We’ve also undertaken other expense management actions to align our cost structure with a demand environment recently reshaped by the global credit crisis. These actions are expected to provide expense savings in the first quarter, and additional savings and margin benefits in subsequent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i w:val="1"/>
          <w:iCs w:val="1"/>
          <w:u w:val="single" w:color="auto"/>
          <w:color w:val="auto"/>
        </w:rPr>
        <w:t>Results for the Fourth Quarter of Fiscal 2008</w:t>
      </w:r>
    </w:p>
    <w:p>
      <w:pPr>
        <w:spacing w:after="0" w:line="201" w:lineRule="exact"/>
        <w:rPr>
          <w:sz w:val="20"/>
          <w:szCs w:val="20"/>
          <w:color w:val="auto"/>
        </w:rPr>
      </w:pPr>
    </w:p>
    <w:p>
      <w:pPr>
        <w:ind w:right="280"/>
        <w:spacing w:after="0" w:line="256" w:lineRule="auto"/>
        <w:rPr>
          <w:sz w:val="20"/>
          <w:szCs w:val="20"/>
          <w:color w:val="auto"/>
        </w:rPr>
      </w:pPr>
      <w:r>
        <w:rPr>
          <w:rFonts w:ascii="Arial" w:cs="Arial" w:eastAsia="Arial" w:hAnsi="Arial"/>
          <w:sz w:val="22"/>
          <w:szCs w:val="22"/>
          <w:b w:val="1"/>
          <w:bCs w:val="1"/>
          <w:color w:val="auto"/>
        </w:rPr>
        <w:t xml:space="preserve">Revenue </w:t>
      </w:r>
      <w:r>
        <w:rPr>
          <w:rFonts w:ascii="Arial" w:cs="Arial" w:eastAsia="Arial" w:hAnsi="Arial"/>
          <w:sz w:val="22"/>
          <w:szCs w:val="22"/>
          <w:color w:val="auto"/>
        </w:rPr>
        <w:t>was $661 million, up slightly from the immediately prior quarter and an increase of 6% from the same period one year</w:t>
      </w:r>
      <w:r>
        <w:rPr>
          <w:rFonts w:ascii="Arial" w:cs="Arial" w:eastAsia="Arial" w:hAnsi="Arial"/>
          <w:sz w:val="22"/>
          <w:szCs w:val="22"/>
          <w:b w:val="1"/>
          <w:bCs w:val="1"/>
          <w:color w:val="auto"/>
        </w:rPr>
        <w:t xml:space="preserve"> </w:t>
      </w:r>
      <w:r>
        <w:rPr>
          <w:rFonts w:ascii="Arial" w:cs="Arial" w:eastAsia="Arial" w:hAnsi="Arial"/>
          <w:sz w:val="22"/>
          <w:szCs w:val="22"/>
          <w:color w:val="auto"/>
        </w:rPr>
        <w:t>ago.</w:t>
      </w:r>
    </w:p>
    <w:p>
      <w:pPr>
        <w:spacing w:after="0" w:line="163" w:lineRule="exact"/>
        <w:rPr>
          <w:sz w:val="20"/>
          <w:szCs w:val="20"/>
          <w:color w:val="auto"/>
        </w:rPr>
      </w:pPr>
    </w:p>
    <w:p>
      <w:pPr>
        <w:ind w:right="260"/>
        <w:spacing w:after="0" w:line="256" w:lineRule="auto"/>
        <w:rPr>
          <w:sz w:val="20"/>
          <w:szCs w:val="20"/>
          <w:color w:val="auto"/>
        </w:rPr>
      </w:pPr>
      <w:r>
        <w:rPr>
          <w:rFonts w:ascii="Arial" w:cs="Arial" w:eastAsia="Arial" w:hAnsi="Arial"/>
          <w:sz w:val="22"/>
          <w:szCs w:val="22"/>
          <w:b w:val="1"/>
          <w:bCs w:val="1"/>
          <w:color w:val="auto"/>
        </w:rPr>
        <w:t xml:space="preserve">Gross margin </w:t>
      </w:r>
      <w:r>
        <w:rPr>
          <w:rFonts w:ascii="Arial" w:cs="Arial" w:eastAsia="Arial" w:hAnsi="Arial"/>
          <w:sz w:val="22"/>
          <w:szCs w:val="22"/>
          <w:color w:val="auto"/>
        </w:rPr>
        <w:t>was $404 million, or 61.1% of revenue, compared to $402 million, or 61.0% of revenue, in the immediately prior</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and $374 million, or 60.0% of revenue, for the same period one year ago.</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Operating income from continuing operations </w:t>
      </w:r>
      <w:r>
        <w:rPr>
          <w:rFonts w:ascii="Arial" w:cs="Arial" w:eastAsia="Arial" w:hAnsi="Arial"/>
          <w:sz w:val="19"/>
          <w:szCs w:val="19"/>
          <w:color w:val="auto"/>
        </w:rPr>
        <w:t>was $161 million, or 24.3% of revenue, compared to $161 million, or 24.5% of</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revenue, in the immediately prior quarter, and $120 million, or 19.2% of revenue, from the same period one year ago. Excluding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one-time items, non-GAAP operating income from continuing operations was $164 million, or 24.8% of revenue, compared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$161 million, or 24.5% of revenue, in the immediately prior quarter, and $145 million, or 23.2% of revenue, from the same period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one year ago. The table reconciling the Company’s non-GAAP operating income from continuing operations to GAAP operating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income from continuing operations is provided in this release on Schedule G. A more complete table covering prior periods is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available on the Analog Devices Investor Relations web site at </w:t>
      </w:r>
      <w:r>
        <w:rPr>
          <w:rFonts w:ascii="Arial" w:cs="Arial" w:eastAsia="Arial" w:hAnsi="Arial"/>
          <w:sz w:val="22"/>
          <w:szCs w:val="22"/>
          <w:u w:val="single" w:color="auto"/>
          <w:color w:val="auto"/>
        </w:rPr>
        <w:t>http://investor.analog.com</w:t>
      </w:r>
      <w:r>
        <w:rPr>
          <w:rFonts w:ascii="Arial" w:cs="Arial" w:eastAsia="Arial" w:hAnsi="Arial"/>
          <w:sz w:val="22"/>
          <w:szCs w:val="22"/>
          <w:color w:val="auto"/>
        </w:rPr>
        <w:t>.</w:t>
      </w:r>
    </w:p>
    <w:p>
      <w:pPr>
        <w:spacing w:after="0" w:line="182"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 xml:space="preserve">Diluted earnings per share (EPS) from continuing operations </w:t>
      </w:r>
      <w:r>
        <w:rPr>
          <w:rFonts w:ascii="Arial" w:cs="Arial" w:eastAsia="Arial" w:hAnsi="Arial"/>
          <w:sz w:val="22"/>
          <w:szCs w:val="22"/>
          <w:color w:val="auto"/>
        </w:rPr>
        <w:t>was $0.49, an 11% increase from $0.44 in the immediately prior</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and a 63% increase from $0.30 in the same period a year ago.</w:t>
      </w:r>
    </w:p>
    <w:p>
      <w:pPr>
        <w:spacing w:after="0" w:line="163" w:lineRule="exact"/>
        <w:rPr>
          <w:sz w:val="20"/>
          <w:szCs w:val="20"/>
          <w:color w:val="auto"/>
        </w:rPr>
      </w:pPr>
    </w:p>
    <w:p>
      <w:pPr>
        <w:ind w:right="760"/>
        <w:spacing w:after="0" w:line="280" w:lineRule="auto"/>
        <w:rPr>
          <w:sz w:val="20"/>
          <w:szCs w:val="20"/>
          <w:color w:val="auto"/>
        </w:rPr>
      </w:pPr>
      <w:r>
        <w:rPr>
          <w:rFonts w:ascii="Arial" w:cs="Arial" w:eastAsia="Arial" w:hAnsi="Arial"/>
          <w:sz w:val="21"/>
          <w:szCs w:val="21"/>
          <w:b w:val="1"/>
          <w:bCs w:val="1"/>
          <w:color w:val="auto"/>
        </w:rPr>
        <w:t xml:space="preserve">The Board of Directors declared a cash dividend </w:t>
      </w:r>
      <w:r>
        <w:rPr>
          <w:rFonts w:ascii="Arial" w:cs="Arial" w:eastAsia="Arial" w:hAnsi="Arial"/>
          <w:sz w:val="21"/>
          <w:szCs w:val="21"/>
          <w:color w:val="auto"/>
        </w:rPr>
        <w:t>of $0.20 per outstanding share of common stock which will be paid on</w:t>
      </w:r>
      <w:r>
        <w:rPr>
          <w:rFonts w:ascii="Arial" w:cs="Arial" w:eastAsia="Arial" w:hAnsi="Arial"/>
          <w:sz w:val="21"/>
          <w:szCs w:val="21"/>
          <w:b w:val="1"/>
          <w:bCs w:val="1"/>
          <w:color w:val="auto"/>
        </w:rPr>
        <w:t xml:space="preserve"> </w:t>
      </w:r>
      <w:r>
        <w:rPr>
          <w:rFonts w:ascii="Arial" w:cs="Arial" w:eastAsia="Arial" w:hAnsi="Arial"/>
          <w:sz w:val="21"/>
          <w:szCs w:val="21"/>
          <w:color w:val="auto"/>
        </w:rPr>
        <w:t>December 24, 2008 to all shareholders of record at the close of business on December 5, 2008.</w:t>
      </w:r>
    </w:p>
    <w:p>
      <w:pPr>
        <w:spacing w:after="0" w:line="139" w:lineRule="exact"/>
        <w:rPr>
          <w:sz w:val="20"/>
          <w:szCs w:val="20"/>
          <w:color w:val="auto"/>
        </w:rPr>
      </w:pPr>
    </w:p>
    <w:p>
      <w:pPr>
        <w:spacing w:after="0" w:line="243" w:lineRule="auto"/>
        <w:rPr>
          <w:sz w:val="20"/>
          <w:szCs w:val="20"/>
          <w:color w:val="auto"/>
        </w:rPr>
      </w:pPr>
      <w:r>
        <w:rPr>
          <w:rFonts w:ascii="Arial" w:cs="Arial" w:eastAsia="Arial" w:hAnsi="Arial"/>
          <w:sz w:val="22"/>
          <w:szCs w:val="22"/>
          <w:b w:val="1"/>
          <w:bCs w:val="1"/>
          <w:color w:val="auto"/>
        </w:rPr>
        <w:t xml:space="preserve">Net cash provided by operating activities in the fourth quarter of fiscal 2008 </w:t>
      </w:r>
      <w:r>
        <w:rPr>
          <w:rFonts w:ascii="Arial" w:cs="Arial" w:eastAsia="Arial" w:hAnsi="Arial"/>
          <w:sz w:val="22"/>
          <w:szCs w:val="22"/>
          <w:color w:val="auto"/>
        </w:rPr>
        <w:t>was $142 million, after a reduction of $37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of taxes associated with the sales of two businesses earlier in the year, as compared to $196 million in the immediately prior quarter, and $183 million in the same period one year ago.</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Capital expenditures for the fourth quarter of fiscal year 2008 totaled $47 million, or 7%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Cash dividends paid during the fourth quarter of fiscal 2008 totaled $58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Share repurchases of ADI common stock during the fourth quarter of fiscal 2008 totaled $17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 xml:space="preserve">Cash and short-term investments </w:t>
      </w:r>
      <w:r>
        <w:rPr>
          <w:rFonts w:ascii="Arial" w:cs="Arial" w:eastAsia="Arial" w:hAnsi="Arial"/>
          <w:sz w:val="22"/>
          <w:szCs w:val="22"/>
          <w:color w:val="auto"/>
        </w:rPr>
        <w:t>at the end of the fourth quarter of fiscal 2008 totaled approximately $1.3 billion.</w:t>
      </w:r>
    </w:p>
    <w:p>
      <w:pPr>
        <w:spacing w:after="0" w:line="207" w:lineRule="exact"/>
        <w:rPr>
          <w:sz w:val="20"/>
          <w:szCs w:val="20"/>
          <w:color w:val="auto"/>
        </w:rPr>
      </w:pPr>
    </w:p>
    <w:p>
      <w:pPr>
        <w:ind w:right="300"/>
        <w:spacing w:after="0" w:line="256" w:lineRule="auto"/>
        <w:rPr>
          <w:sz w:val="20"/>
          <w:szCs w:val="20"/>
          <w:color w:val="auto"/>
        </w:rPr>
      </w:pPr>
      <w:r>
        <w:rPr>
          <w:rFonts w:ascii="Arial" w:cs="Arial" w:eastAsia="Arial" w:hAnsi="Arial"/>
          <w:sz w:val="22"/>
          <w:szCs w:val="22"/>
          <w:b w:val="1"/>
          <w:bCs w:val="1"/>
          <w:color w:val="auto"/>
        </w:rPr>
        <w:t xml:space="preserve">Accounts receivable </w:t>
      </w:r>
      <w:r>
        <w:rPr>
          <w:rFonts w:ascii="Arial" w:cs="Arial" w:eastAsia="Arial" w:hAnsi="Arial"/>
          <w:sz w:val="22"/>
          <w:szCs w:val="22"/>
          <w:color w:val="auto"/>
        </w:rPr>
        <w:t>at the end of the fourth quarter of fiscal 2008 decreased by 3% compared to the immediately prior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with days sales outstanding declining from 45 days to 44 days.</w:t>
      </w:r>
    </w:p>
    <w:p>
      <w:pPr>
        <w:spacing w:after="0" w:line="163" w:lineRule="exact"/>
        <w:rPr>
          <w:sz w:val="20"/>
          <w:szCs w:val="20"/>
          <w:color w:val="auto"/>
        </w:rPr>
      </w:pPr>
    </w:p>
    <w:p>
      <w:pPr>
        <w:jc w:val="both"/>
        <w:ind w:right="100"/>
        <w:spacing w:after="0" w:line="243" w:lineRule="auto"/>
        <w:rPr>
          <w:sz w:val="20"/>
          <w:szCs w:val="20"/>
          <w:color w:val="auto"/>
        </w:rPr>
      </w:pPr>
      <w:r>
        <w:rPr>
          <w:rFonts w:ascii="Arial" w:cs="Arial" w:eastAsia="Arial" w:hAnsi="Arial"/>
          <w:sz w:val="22"/>
          <w:szCs w:val="22"/>
          <w:b w:val="1"/>
          <w:bCs w:val="1"/>
          <w:color w:val="auto"/>
        </w:rPr>
        <w:t xml:space="preserve">Inventory </w:t>
      </w:r>
      <w:r>
        <w:rPr>
          <w:rFonts w:ascii="Arial" w:cs="Arial" w:eastAsia="Arial" w:hAnsi="Arial"/>
          <w:sz w:val="22"/>
          <w:szCs w:val="22"/>
          <w:color w:val="auto"/>
        </w:rPr>
        <w:t>at the end of the fourth quarter of fiscal 2008 increased by 2% compared to the immediately prior quarter. Days cost of</w:t>
      </w:r>
      <w:r>
        <w:rPr>
          <w:rFonts w:ascii="Arial" w:cs="Arial" w:eastAsia="Arial" w:hAnsi="Arial"/>
          <w:sz w:val="22"/>
          <w:szCs w:val="22"/>
          <w:b w:val="1"/>
          <w:bCs w:val="1"/>
          <w:color w:val="auto"/>
        </w:rPr>
        <w:t xml:space="preserve"> </w:t>
      </w:r>
      <w:r>
        <w:rPr>
          <w:rFonts w:ascii="Arial" w:cs="Arial" w:eastAsia="Arial" w:hAnsi="Arial"/>
          <w:sz w:val="22"/>
          <w:szCs w:val="22"/>
          <w:color w:val="auto"/>
        </w:rPr>
        <w:t>sales in inventory was 112 days at the end of the fourth quarter of fiscal 2008, compared to 110 days at the end of the immediately prior quarter.</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by end market:</w:t>
      </w:r>
    </w:p>
    <w:p>
      <w:pPr>
        <w:spacing w:after="0" w:line="206" w:lineRule="exact"/>
        <w:rPr>
          <w:sz w:val="20"/>
          <w:szCs w:val="20"/>
          <w:color w:val="auto"/>
        </w:rPr>
      </w:pPr>
    </w:p>
    <w:p>
      <w:pPr>
        <w:ind w:left="540" w:right="20"/>
        <w:spacing w:after="0" w:line="243" w:lineRule="auto"/>
        <w:rPr>
          <w:sz w:val="20"/>
          <w:szCs w:val="20"/>
          <w:color w:val="auto"/>
        </w:rPr>
      </w:pPr>
      <w:r>
        <w:rPr>
          <w:rFonts w:ascii="Arial" w:cs="Arial" w:eastAsia="Arial" w:hAnsi="Arial"/>
          <w:sz w:val="22"/>
          <w:szCs w:val="22"/>
          <w:b w:val="1"/>
          <w:bCs w:val="1"/>
          <w:color w:val="auto"/>
        </w:rPr>
        <w:t>Revenue from industrial customers</w:t>
      </w:r>
      <w:r>
        <w:rPr>
          <w:rFonts w:ascii="Arial" w:cs="Arial" w:eastAsia="Arial" w:hAnsi="Arial"/>
          <w:sz w:val="22"/>
          <w:szCs w:val="22"/>
          <w:color w:val="auto"/>
        </w:rPr>
        <w:t>, 47% of total revenue, declined 5% from the immediately prior quarter and increased</w:t>
      </w:r>
      <w:r>
        <w:rPr>
          <w:rFonts w:ascii="Arial" w:cs="Arial" w:eastAsia="Arial" w:hAnsi="Arial"/>
          <w:sz w:val="22"/>
          <w:szCs w:val="22"/>
          <w:b w:val="1"/>
          <w:bCs w:val="1"/>
          <w:color w:val="auto"/>
        </w:rPr>
        <w:t xml:space="preserve"> </w:t>
      </w:r>
      <w:r>
        <w:rPr>
          <w:rFonts w:ascii="Arial" w:cs="Arial" w:eastAsia="Arial" w:hAnsi="Arial"/>
          <w:sz w:val="22"/>
          <w:szCs w:val="22"/>
          <w:color w:val="auto"/>
        </w:rPr>
        <w:t>4% from the same quarter a year ago. Revenue from automotive customers showed the largest sequential decrease as a result of general weakness in the global automotive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6" w:lineRule="exact"/>
        <w:rPr>
          <w:sz w:val="20"/>
          <w:szCs w:val="20"/>
          <w:color w:val="auto"/>
        </w:rPr>
      </w:pPr>
    </w:p>
    <w:p>
      <w:pPr>
        <w:jc w:val="both"/>
        <w:ind w:left="540" w:right="140"/>
        <w:spacing w:after="0" w:line="243" w:lineRule="auto"/>
        <w:rPr>
          <w:sz w:val="20"/>
          <w:szCs w:val="20"/>
          <w:color w:val="auto"/>
        </w:rPr>
      </w:pPr>
      <w:r>
        <w:rPr>
          <w:rFonts w:ascii="Arial" w:cs="Arial" w:eastAsia="Arial" w:hAnsi="Arial"/>
          <w:sz w:val="22"/>
          <w:szCs w:val="22"/>
          <w:b w:val="1"/>
          <w:bCs w:val="1"/>
          <w:color w:val="auto"/>
        </w:rPr>
        <w:t>Revenue from communications customers</w:t>
      </w:r>
      <w:r>
        <w:rPr>
          <w:rFonts w:ascii="Arial" w:cs="Arial" w:eastAsia="Arial" w:hAnsi="Arial"/>
          <w:sz w:val="22"/>
          <w:szCs w:val="22"/>
          <w:color w:val="auto"/>
        </w:rPr>
        <w:t>, 27% of total revenue, increased 11% from the immediately prior quarter and</w:t>
      </w:r>
      <w:r>
        <w:rPr>
          <w:rFonts w:ascii="Arial" w:cs="Arial" w:eastAsia="Arial" w:hAnsi="Arial"/>
          <w:sz w:val="22"/>
          <w:szCs w:val="22"/>
          <w:b w:val="1"/>
          <w:bCs w:val="1"/>
          <w:color w:val="auto"/>
        </w:rPr>
        <w:t xml:space="preserve"> </w:t>
      </w:r>
      <w:r>
        <w:rPr>
          <w:rFonts w:ascii="Arial" w:cs="Arial" w:eastAsia="Arial" w:hAnsi="Arial"/>
          <w:sz w:val="22"/>
          <w:szCs w:val="22"/>
          <w:color w:val="auto"/>
        </w:rPr>
        <w:t>increased 34% on a year-over-year basis, principally due to strong growth in revenue from basestation and wireless handset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6" w:lineRule="exact"/>
        <w:rPr>
          <w:sz w:val="20"/>
          <w:szCs w:val="20"/>
          <w:color w:val="auto"/>
        </w:rPr>
      </w:pPr>
    </w:p>
    <w:p>
      <w:pPr>
        <w:ind w:left="540"/>
        <w:spacing w:after="0" w:line="239" w:lineRule="auto"/>
        <w:rPr>
          <w:sz w:val="20"/>
          <w:szCs w:val="20"/>
          <w:color w:val="auto"/>
        </w:rPr>
      </w:pPr>
      <w:r>
        <w:rPr>
          <w:rFonts w:ascii="Arial" w:cs="Arial" w:eastAsia="Arial" w:hAnsi="Arial"/>
          <w:sz w:val="22"/>
          <w:szCs w:val="22"/>
          <w:b w:val="1"/>
          <w:bCs w:val="1"/>
          <w:color w:val="auto"/>
        </w:rPr>
        <w:t>Revenue from consumer customers</w:t>
      </w:r>
      <w:r>
        <w:rPr>
          <w:rFonts w:ascii="Arial" w:cs="Arial" w:eastAsia="Arial" w:hAnsi="Arial"/>
          <w:sz w:val="22"/>
          <w:szCs w:val="22"/>
          <w:color w:val="auto"/>
        </w:rPr>
        <w:t>, 21% of total revenue, increased 2% on a sequential basis as growth in revenue from</w:t>
      </w:r>
      <w:r>
        <w:rPr>
          <w:rFonts w:ascii="Arial" w:cs="Arial" w:eastAsia="Arial" w:hAnsi="Arial"/>
          <w:sz w:val="22"/>
          <w:szCs w:val="22"/>
          <w:b w:val="1"/>
          <w:bCs w:val="1"/>
          <w:color w:val="auto"/>
        </w:rPr>
        <w:t xml:space="preserve"> </w:t>
      </w:r>
      <w:r>
        <w:rPr>
          <w:rFonts w:ascii="Arial" w:cs="Arial" w:eastAsia="Arial" w:hAnsi="Arial"/>
          <w:sz w:val="22"/>
          <w:szCs w:val="22"/>
          <w:color w:val="auto"/>
        </w:rPr>
        <w:t>digital camera and home entertainment system customers offset declines in other consumer applications. On a year-over-year basis, consumer revenue decreased 11% as revenues declined in all application areas, consistent with the global slowdown in consumer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-574675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0" w:lineRule="exact"/>
        <w:rPr>
          <w:sz w:val="20"/>
          <w:szCs w:val="20"/>
          <w:color w:val="auto"/>
        </w:rPr>
      </w:pPr>
    </w:p>
    <w:p>
      <w:pPr>
        <w:ind w:left="540" w:right="140"/>
        <w:spacing w:after="0" w:line="256" w:lineRule="auto"/>
        <w:rPr>
          <w:sz w:val="20"/>
          <w:szCs w:val="20"/>
          <w:color w:val="auto"/>
        </w:rPr>
      </w:pPr>
      <w:r>
        <w:rPr>
          <w:rFonts w:ascii="Arial" w:cs="Arial" w:eastAsia="Arial" w:hAnsi="Arial"/>
          <w:sz w:val="22"/>
          <w:szCs w:val="22"/>
          <w:b w:val="1"/>
          <w:bCs w:val="1"/>
          <w:color w:val="auto"/>
        </w:rPr>
        <w:t>Revenue from computer customers</w:t>
      </w:r>
      <w:r>
        <w:rPr>
          <w:rFonts w:ascii="Arial" w:cs="Arial" w:eastAsia="Arial" w:hAnsi="Arial"/>
          <w:sz w:val="22"/>
          <w:szCs w:val="22"/>
          <w:color w:val="auto"/>
        </w:rPr>
        <w:t>, 5% of total revenue, decreased 4% from the immediately prior quarter and decreased</w:t>
      </w:r>
      <w:r>
        <w:rPr>
          <w:rFonts w:ascii="Arial" w:cs="Arial" w:eastAsia="Arial" w:hAnsi="Arial"/>
          <w:sz w:val="22"/>
          <w:szCs w:val="22"/>
          <w:b w:val="1"/>
          <w:bCs w:val="1"/>
          <w:color w:val="auto"/>
        </w:rPr>
        <w:t xml:space="preserve"> </w:t>
      </w:r>
      <w:r>
        <w:rPr>
          <w:rFonts w:ascii="Arial" w:cs="Arial" w:eastAsia="Arial" w:hAnsi="Arial"/>
          <w:sz w:val="22"/>
          <w:szCs w:val="22"/>
          <w:color w:val="auto"/>
        </w:rPr>
        <w:t>8% from the same quarter a year ago, in line with an overall weak PC market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ind w:right="40"/>
        <w:spacing w:after="0"/>
        <w:rPr>
          <w:sz w:val="20"/>
          <w:szCs w:val="20"/>
          <w:color w:val="auto"/>
        </w:rPr>
      </w:pPr>
      <w:r>
        <w:rPr>
          <w:rFonts w:ascii="Arial" w:cs="Arial" w:eastAsia="Arial" w:hAnsi="Arial"/>
          <w:sz w:val="22"/>
          <w:szCs w:val="22"/>
          <w:i w:val="1"/>
          <w:iCs w:val="1"/>
          <w:color w:val="auto"/>
        </w:rPr>
        <w:t xml:space="preserve">Schedule E of this document provides additional details about revenue by end market for the fourth quarter, immediately prior quarter, and year-ago quarter. A more complete table covering prior periods is available on the Analog Devices Investor Relations web site at: </w:t>
      </w:r>
      <w:r>
        <w:rPr>
          <w:rFonts w:ascii="Arial" w:cs="Arial" w:eastAsia="Arial" w:hAnsi="Arial"/>
          <w:sz w:val="22"/>
          <w:szCs w:val="22"/>
          <w:i w:val="1"/>
          <w:iCs w:val="1"/>
          <w:u w:val="single" w:color="auto"/>
          <w:color w:val="auto"/>
        </w:rPr>
        <w:t>http://investor.analog.com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by product type</w:t>
      </w:r>
      <w:r>
        <w:rPr>
          <w:rFonts w:ascii="Arial" w:cs="Arial" w:eastAsia="Arial" w:hAnsi="Arial"/>
          <w:sz w:val="22"/>
          <w:szCs w:val="22"/>
          <w:color w:val="auto"/>
        </w:rPr>
        <w:t>:</w:t>
      </w:r>
    </w:p>
    <w:p>
      <w:pPr>
        <w:spacing w:after="0" w:line="212" w:lineRule="exact"/>
        <w:rPr>
          <w:sz w:val="20"/>
          <w:szCs w:val="20"/>
          <w:color w:val="auto"/>
        </w:rPr>
      </w:pPr>
    </w:p>
    <w:p>
      <w:pPr>
        <w:ind w:left="540" w:right="420"/>
        <w:spacing w:after="0" w:line="251" w:lineRule="auto"/>
        <w:rPr>
          <w:sz w:val="20"/>
          <w:szCs w:val="20"/>
          <w:color w:val="auto"/>
        </w:rPr>
      </w:pPr>
      <w:r>
        <w:rPr>
          <w:rFonts w:ascii="Arial" w:cs="Arial" w:eastAsia="Arial" w:hAnsi="Arial"/>
          <w:sz w:val="22"/>
          <w:szCs w:val="22"/>
          <w:color w:val="auto"/>
        </w:rPr>
        <w:t>Analog product revenue, 90% of total revenue, was approximately flat compared with the immediately prior quarter and grew 6%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21"/>
          <w:szCs w:val="21"/>
          <w:color w:val="auto"/>
        </w:rPr>
        <w:t>Revenue from ADI’s market-leading data converters and amplifiers totaled $460 million, or 70%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22"/>
          <w:szCs w:val="22"/>
          <w:color w:val="auto"/>
        </w:rPr>
        <w:t>Data converter revenue, 47% of total revenue, grew 2% sequentially and 8%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-110490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7" w:lineRule="exact"/>
        <w:rPr>
          <w:sz w:val="20"/>
          <w:szCs w:val="20"/>
          <w:color w:val="auto"/>
        </w:rPr>
      </w:pPr>
    </w:p>
    <w:p>
      <w:pPr>
        <w:ind w:left="1080" w:right="380"/>
        <w:spacing w:after="0" w:line="251" w:lineRule="auto"/>
        <w:rPr>
          <w:sz w:val="20"/>
          <w:szCs w:val="20"/>
          <w:color w:val="auto"/>
        </w:rPr>
      </w:pPr>
      <w:r>
        <w:rPr>
          <w:rFonts w:ascii="Arial" w:cs="Arial" w:eastAsia="Arial" w:hAnsi="Arial"/>
          <w:sz w:val="22"/>
          <w:szCs w:val="22"/>
          <w:color w:val="auto"/>
        </w:rPr>
        <w:t>Amplifier revenue, 23% of total revenue, was approximately flat compared with the immediately prior quarter and increased 9%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-274320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20"/>
        <w:spacing w:after="0" w:line="251" w:lineRule="auto"/>
        <w:rPr>
          <w:sz w:val="20"/>
          <w:szCs w:val="20"/>
          <w:color w:val="auto"/>
        </w:rPr>
      </w:pPr>
      <w:r>
        <w:rPr>
          <w:rFonts w:ascii="Arial" w:cs="Arial" w:eastAsia="Arial" w:hAnsi="Arial"/>
          <w:sz w:val="22"/>
          <w:szCs w:val="22"/>
          <w:color w:val="auto"/>
        </w:rPr>
        <w:t>General purpose digital signal processing (DSP) products, 9% of total revenue, increased 1% sequentially and 9%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6" w:name="page7"/>
    <w:bookmarkEnd w:id="6"/>
    <w:p>
      <w:pPr>
        <w:ind w:right="100"/>
        <w:spacing w:after="0" w:line="241" w:lineRule="auto"/>
        <w:rPr>
          <w:sz w:val="20"/>
          <w:szCs w:val="20"/>
          <w:color w:val="auto"/>
        </w:rPr>
      </w:pPr>
      <w:r>
        <w:rPr>
          <w:rFonts w:ascii="Arial" w:cs="Arial" w:eastAsia="Arial" w:hAnsi="Arial"/>
          <w:sz w:val="22"/>
          <w:szCs w:val="22"/>
          <w:i w:val="1"/>
          <w:iCs w:val="1"/>
          <w:color w:val="auto"/>
        </w:rPr>
        <w:t xml:space="preserve">Schedule F of this document provides additional details about revenue by product type for the fourth quarter, immediately prior quarter, and year-ago quarter. A more complete table covering prior periods is available on the Analog Devices Investor Relations web site at: </w:t>
      </w:r>
      <w:r>
        <w:rPr>
          <w:rFonts w:ascii="Arial" w:cs="Arial" w:eastAsia="Arial" w:hAnsi="Arial"/>
          <w:sz w:val="22"/>
          <w:szCs w:val="22"/>
          <w:i w:val="1"/>
          <w:iCs w:val="1"/>
          <w:u w:val="single" w:color="auto"/>
          <w:color w:val="auto"/>
        </w:rPr>
        <w:t>http://investor.analog.com</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Results for Fiscal Year 2008</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summary</w:t>
      </w:r>
    </w:p>
    <w:p>
      <w:pPr>
        <w:spacing w:after="0" w:line="212" w:lineRule="exact"/>
        <w:rPr>
          <w:sz w:val="20"/>
          <w:szCs w:val="20"/>
          <w:color w:val="auto"/>
        </w:rPr>
      </w:pPr>
    </w:p>
    <w:p>
      <w:pPr>
        <w:ind w:left="540" w:right="260"/>
        <w:spacing w:after="0" w:line="274" w:lineRule="auto"/>
        <w:rPr>
          <w:sz w:val="20"/>
          <w:szCs w:val="20"/>
          <w:color w:val="auto"/>
        </w:rPr>
      </w:pPr>
      <w:r>
        <w:rPr>
          <w:rFonts w:ascii="Arial" w:cs="Arial" w:eastAsia="Arial" w:hAnsi="Arial"/>
          <w:sz w:val="21"/>
          <w:szCs w:val="21"/>
          <w:color w:val="auto"/>
        </w:rPr>
        <w:t>Product revenue was $2.6 billion, an increase of 6% from $2.4 billion in fiscal year 2007. On an equivalent 52-week basis, fiscal 2008 product revenue increased 8% compared to fiscal 2007, which was a 53-week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-288290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0" w:lineRule="exact"/>
        <w:rPr>
          <w:sz w:val="20"/>
          <w:szCs w:val="20"/>
          <w:color w:val="auto"/>
        </w:rPr>
      </w:pPr>
    </w:p>
    <w:p>
      <w:pPr>
        <w:ind w:left="540" w:right="40"/>
        <w:spacing w:after="0"/>
        <w:rPr>
          <w:sz w:val="20"/>
          <w:szCs w:val="20"/>
          <w:color w:val="auto"/>
        </w:rPr>
      </w:pPr>
      <w:r>
        <w:rPr>
          <w:rFonts w:ascii="Arial" w:cs="Arial" w:eastAsia="Arial" w:hAnsi="Arial"/>
          <w:sz w:val="22"/>
          <w:szCs w:val="22"/>
          <w:color w:val="auto"/>
        </w:rPr>
        <w:t>Gross margin was $1.6 billion, or 61.1% of revenue, compared to $1.5 billion, or 60.6% of revenue, in fiscal 2007, excluding a one-time license payment received in the first quarter of fiscal 2007. The table reconciling the Company’s non-GAAP results to GAAP results is provided in this release on Schedule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440"/>
        <w:spacing w:after="0" w:line="328" w:lineRule="auto"/>
        <w:rPr>
          <w:sz w:val="20"/>
          <w:szCs w:val="20"/>
          <w:color w:val="auto"/>
        </w:rPr>
      </w:pPr>
      <w:r>
        <w:rPr>
          <w:rFonts w:ascii="Arial" w:cs="Arial" w:eastAsia="Arial" w:hAnsi="Arial"/>
          <w:sz w:val="19"/>
          <w:szCs w:val="19"/>
          <w:color w:val="auto"/>
        </w:rPr>
        <w:t>Operating expenses totaled $952 million, compared to $940 million in fiscal 2007. Excluding restructuring and one-time items, non-GAAP operating expenses totaled $949 million in fiscal 2008, compared to $908 million in fiscal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 w:lineRule="exact"/>
        <w:rPr>
          <w:sz w:val="20"/>
          <w:szCs w:val="20"/>
          <w:color w:val="auto"/>
        </w:rPr>
      </w:pPr>
    </w:p>
    <w:p>
      <w:pPr>
        <w:ind w:left="540"/>
        <w:spacing w:after="0" w:line="258" w:lineRule="auto"/>
        <w:rPr>
          <w:sz w:val="20"/>
          <w:szCs w:val="20"/>
          <w:color w:val="auto"/>
        </w:rPr>
      </w:pPr>
      <w:r>
        <w:rPr>
          <w:rFonts w:ascii="Arial" w:cs="Arial" w:eastAsia="Arial" w:hAnsi="Arial"/>
          <w:sz w:val="21"/>
          <w:szCs w:val="21"/>
          <w:color w:val="auto"/>
        </w:rPr>
        <w:t>Operating income from continuing operations was $625 million, or 24.2% of revenue, compared to $569 million, or 23.1% of revenue, in fiscal 2007. Excluding one-time items, non-GAAP operating income from continuing operations was $628 million, or 24.3% of revenue, in fiscal 2008, compared to $566 million, or 23.3% of revenue, in fiscal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-433070</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6" w:lineRule="exact"/>
        <w:rPr>
          <w:sz w:val="20"/>
          <w:szCs w:val="20"/>
          <w:color w:val="auto"/>
        </w:rPr>
      </w:pPr>
    </w:p>
    <w:p>
      <w:pPr>
        <w:ind w:left="540" w:right="100"/>
        <w:spacing w:after="0" w:line="251" w:lineRule="auto"/>
        <w:rPr>
          <w:sz w:val="20"/>
          <w:szCs w:val="20"/>
          <w:color w:val="auto"/>
        </w:rPr>
      </w:pPr>
      <w:r>
        <w:rPr>
          <w:rFonts w:ascii="Arial" w:cs="Arial" w:eastAsia="Arial" w:hAnsi="Arial"/>
          <w:sz w:val="22"/>
          <w:szCs w:val="22"/>
          <w:color w:val="auto"/>
        </w:rPr>
        <w:t>Diluted EPS from continuing operations was $1.77, a 17% increase from $1.51 in fiscal 2007. Non-GAAP diluted EPS from continuing operations in fiscal 2008 was $1.77, a 20% increase from $1.48 in fiscal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420"/>
        <w:spacing w:after="0" w:line="251" w:lineRule="auto"/>
        <w:rPr>
          <w:sz w:val="20"/>
          <w:szCs w:val="20"/>
          <w:color w:val="auto"/>
        </w:rPr>
      </w:pPr>
      <w:r>
        <w:rPr>
          <w:rFonts w:ascii="Arial" w:cs="Arial" w:eastAsia="Arial" w:hAnsi="Arial"/>
          <w:sz w:val="22"/>
          <w:szCs w:val="22"/>
          <w:color w:val="auto"/>
        </w:rPr>
        <w:t>Net cash provided by operating activities was $669 million, after a reduction of $110 million of taxes associated with the sales of two businesses, as compared to $820 million in fiscal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End market and product revenue highlights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End markets</w:t>
      </w:r>
    </w:p>
    <w:p>
      <w:pPr>
        <w:spacing w:after="0" w:line="206" w:lineRule="exact"/>
        <w:rPr>
          <w:sz w:val="20"/>
          <w:szCs w:val="20"/>
          <w:color w:val="auto"/>
        </w:rPr>
      </w:pPr>
    </w:p>
    <w:p>
      <w:pPr>
        <w:ind w:left="540" w:right="280"/>
        <w:spacing w:after="0"/>
        <w:rPr>
          <w:sz w:val="20"/>
          <w:szCs w:val="20"/>
          <w:color w:val="auto"/>
        </w:rPr>
      </w:pPr>
      <w:r>
        <w:rPr>
          <w:rFonts w:ascii="Arial" w:cs="Arial" w:eastAsia="Arial" w:hAnsi="Arial"/>
          <w:sz w:val="22"/>
          <w:szCs w:val="22"/>
          <w:color w:val="auto"/>
        </w:rPr>
        <w:t>Revenue from industrial customers, 49% of total revenue, increased 6% year-to-year, with the strongest growth in instrumentation, automotive, defense, and power meter applications. Revenue from industrial customers has grown at a 5-year compound annual growth rate (CAGR)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jc w:val="both"/>
        <w:ind w:left="540" w:right="300"/>
        <w:spacing w:after="0" w:line="297" w:lineRule="auto"/>
        <w:rPr>
          <w:sz w:val="20"/>
          <w:szCs w:val="20"/>
          <w:color w:val="auto"/>
        </w:rPr>
      </w:pPr>
      <w:r>
        <w:rPr>
          <w:rFonts w:ascii="Arial" w:cs="Arial" w:eastAsia="Arial" w:hAnsi="Arial"/>
          <w:sz w:val="19"/>
          <w:szCs w:val="19"/>
          <w:color w:val="auto"/>
        </w:rPr>
        <w:t>Revenue from communications customers, 25% of total revenue, grew 21% year-to-year, driven by growth in basestation, wireless handset, and optical applications. Revenue from communications customers has grown at a 5-year CAGR of 7%. Basestation customer revenue, the largest component of communications revenue, has grown at a 5-year CAGR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-453390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from consumer customers, 21% of total revenue, decreased 2% year-to-year. Revenue from advanced television and digital camera applications increased, while revenue from other consumer applications decreased from the prior year. Revenue from consumer customers has grown at a 5-year CAGR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Products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Revenue from analog products, 90% of total revenue, increased 6% in fiscal 2008, and has grown at a 5-year CAGR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-76835</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from data converters and amplifiers totaled $1.8 billion, or 69%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360" w:right="380"/>
        <w:spacing w:after="0" w:line="251" w:lineRule="auto"/>
        <w:rPr>
          <w:sz w:val="20"/>
          <w:szCs w:val="20"/>
          <w:color w:val="auto"/>
        </w:rPr>
      </w:pPr>
      <w:r>
        <w:rPr>
          <w:rFonts w:ascii="Arial" w:cs="Arial" w:eastAsia="Arial" w:hAnsi="Arial"/>
          <w:sz w:val="22"/>
          <w:szCs w:val="22"/>
          <w:color w:val="auto"/>
        </w:rPr>
        <w:t>Data converter revenue, 46% of total revenue, increased 8% in fiscal 2008, and has grown at a 5-year CAGR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-274320</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Amplifier revenue, 23% of total revenue, increased 6% in fiscal 2008, and has grown at a 5-year CAGR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-76835</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9"/>
          <w:szCs w:val="19"/>
          <w:color w:val="auto"/>
        </w:rPr>
        <w:t>General purpose DSP revenue, 9% of total revenue, increased 10% in fiscal 2008, and has grown at a 5-year CAGR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-76835</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1" w:lineRule="exact"/>
        <w:rPr>
          <w:sz w:val="20"/>
          <w:szCs w:val="20"/>
          <w:color w:val="auto"/>
        </w:rPr>
      </w:pPr>
    </w:p>
    <w:p>
      <w:pPr>
        <w:ind w:right="100"/>
        <w:spacing w:after="0"/>
        <w:rPr>
          <w:sz w:val="20"/>
          <w:szCs w:val="20"/>
          <w:color w:val="auto"/>
        </w:rPr>
      </w:pPr>
      <w:r>
        <w:rPr>
          <w:rFonts w:ascii="Arial" w:cs="Arial" w:eastAsia="Arial" w:hAnsi="Arial"/>
          <w:sz w:val="22"/>
          <w:szCs w:val="22"/>
          <w:i w:val="1"/>
          <w:iCs w:val="1"/>
          <w:color w:val="auto"/>
        </w:rPr>
        <w:t xml:space="preserve">Schedules E and F of this document provide additional details about revenue by end market and product type for fiscal years 2007 and 2008. A more complete table covering prior periods is available on the Analog Devices Investor Relations web site at: </w:t>
      </w:r>
      <w:r>
        <w:rPr>
          <w:rFonts w:ascii="Arial" w:cs="Arial" w:eastAsia="Arial" w:hAnsi="Arial"/>
          <w:sz w:val="22"/>
          <w:szCs w:val="22"/>
          <w:i w:val="1"/>
          <w:iCs w:val="1"/>
          <w:u w:val="single" w:color="auto"/>
          <w:color w:val="auto"/>
        </w:rPr>
        <w:t>http://investor.analog.com</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Outlook for the First Quarter of Fiscal 2009</w:t>
      </w:r>
    </w:p>
    <w:p>
      <w:pPr>
        <w:spacing w:after="0" w:line="206" w:lineRule="exact"/>
        <w:rPr>
          <w:sz w:val="20"/>
          <w:szCs w:val="20"/>
          <w:color w:val="auto"/>
        </w:rPr>
      </w:pPr>
    </w:p>
    <w:p>
      <w:pPr>
        <w:ind w:right="200"/>
        <w:spacing w:after="0"/>
        <w:rPr>
          <w:sz w:val="20"/>
          <w:szCs w:val="20"/>
          <w:color w:val="auto"/>
        </w:rPr>
      </w:pPr>
      <w:r>
        <w:rPr>
          <w:rFonts w:ascii="Arial" w:cs="Arial" w:eastAsia="Arial" w:hAnsi="Arial"/>
          <w:sz w:val="22"/>
          <w:szCs w:val="22"/>
          <w:i w:val="1"/>
          <w:iCs w:val="1"/>
          <w:color w:val="auto"/>
        </w:rPr>
        <w:t>The following statements are based on current expectations. These statements are forward looking and actual results may differ materially, including as a result of the important factors discussed at the end of this release. These statements supersede all prior statements regarding business outlook set forth in prior ADI news releases.</w:t>
      </w:r>
    </w:p>
    <w:p>
      <w:pPr>
        <w:spacing w:after="0" w:line="186"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Regarding the revenue outlook for the company for the first quarter of fiscal 2009, Mr. Fishman said, “The global credit crisis and deteriorating economic conditions have resulted in much more cautious customer spending behavior and generally lower demand. Order rates slowed in late September, and backlog declined significantly from the prior quarter, which limits our short-term visibility. Forecasting revenue in this environment is very difficult. Our operating plan is for revenues to decline sequentially by approximately 20% in the first quarter of fiscal 2009. We are planning to take steps to avoid a large inventory buildup by significantly reducing manufacturing output, which we expect will temporarily impact our gross margin by approximately 3 to 4 percentage points. We are therefore planning for gross margin to be approximately 57% to 58% in the first quarter, depending on the actual product mix and level of sales we achieve. Further, we are planning to take actions that we expect will result in operating expense reductions from fourth quarter levels of approximately 10%, or $25 million. We expect to realize over half of that savings in the first quarter and the balance in the second quarter. As a result of these actions, we plan to record a restructuring charge in the first quarter. Assuming these levels of sales, gross margin, and cost reduction, EPS from continuing operations in the first quarter would be approximately $0.22 to $0.23, excluding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27202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8" w:name="page9"/>
    <w:bookmarkEnd w:id="8"/>
    <w:p>
      <w:pPr>
        <w:ind w:right="20"/>
        <w:spacing w:after="0" w:line="248" w:lineRule="auto"/>
        <w:rPr>
          <w:sz w:val="20"/>
          <w:szCs w:val="20"/>
          <w:color w:val="auto"/>
        </w:rPr>
      </w:pPr>
      <w:r>
        <w:rPr>
          <w:rFonts w:ascii="Arial" w:cs="Arial" w:eastAsia="Arial" w:hAnsi="Arial"/>
          <w:sz w:val="21"/>
          <w:szCs w:val="21"/>
          <w:color w:val="auto"/>
        </w:rPr>
        <w:t>“We are responding to the current economic environment by taking actions that we expect will reduce expenses in the short term while strengthening our position for the long term,” Mr. Fishman continued. “We anticipate that our variable and discretionary cost reductions will modulate with general economic conditions, while the actions related to realigning our product portfolio and streamlining our manufacturing infrastructure will result in short-term savings as well as a fundamentally lower cost structure. As such, we believe that we have taken steps to mitigate the short term reduction in our earnings while at the same time positioning ADI for significant earnings leverage when growth resumes.”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Scheduled for 5:00</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Mr. Fishman will discuss the fourth quarter and fiscal year 2008 results, as well as the short-term outlook via webcast, accessible at </w:t>
      </w:r>
      <w:r>
        <w:rPr>
          <w:rFonts w:ascii="Arial" w:cs="Arial" w:eastAsia="Arial" w:hAnsi="Arial"/>
          <w:sz w:val="22"/>
          <w:szCs w:val="22"/>
          <w:u w:val="single" w:color="auto"/>
          <w:color w:val="auto"/>
        </w:rPr>
        <w:t>http://investor.analog.com</w:t>
      </w:r>
      <w:r>
        <w:rPr>
          <w:rFonts w:ascii="Arial" w:cs="Arial" w:eastAsia="Arial" w:hAnsi="Arial"/>
          <w:sz w:val="22"/>
          <w:szCs w:val="22"/>
          <w:color w:val="auto"/>
        </w:rPr>
        <w:t xml:space="preserve"> today beginning at 5:00 pm ET. Investors who prefer to join by telephone may call 706-634-7193 ten minutes before the call begins and provide the password "ADI."</w:t>
      </w:r>
    </w:p>
    <w:p>
      <w:pPr>
        <w:spacing w:after="0" w:line="186"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A replay will be available almost immediately after the call. The replay may be accessed for up to one week by dialing 800-642-1687 (replay only) and providing the conference ID: 72243160 or by visiting the Analog Devices Investor Relations web site.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320"/>
        <w:spacing w:after="0" w:line="252" w:lineRule="auto"/>
        <w:rPr>
          <w:sz w:val="20"/>
          <w:szCs w:val="20"/>
          <w:color w:val="auto"/>
        </w:rPr>
      </w:pPr>
      <w:r>
        <w:rPr>
          <w:rFonts w:ascii="Arial" w:cs="Arial" w:eastAsia="Arial" w:hAnsi="Arial"/>
          <w:sz w:val="21"/>
          <w:szCs w:val="21"/>
          <w:color w:val="auto"/>
        </w:rPr>
        <w:t>This release includes non-GAAP financial measures for prior periods that are not in accordance with, nor an alternative to, generally accepted accounting principles and may be different from non-GAAP measures used by other companies. In addition, these non-GAAP measures are not based on any comprehensive set of accounting rules or principles. Tables reconciling the Company’s non-GAAP measures to GAAP measures are provided in this release.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Manner in Which Management Uses the Non-GAAP Financial Measures</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Management uses non-GAAP gross margin, non-GAAP operating expenses, non-GAAP operating income and non-GAAP diluted earnings per share to evaluate the Company’s operating performance against past periods and to budget and allocate resources in future periods. These non-GAAP measures also assist management in understanding and evaluating the underlying baseline operating results and trends in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u w:val="single" w:color="auto"/>
          <w:color w:val="auto"/>
        </w:rPr>
        <w:t>Economic Substance Behind Management’s Decision to Use Non-GAAP Financial Measures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The items excluded from the non-GAAP measures were excluded because they are of a non-recurring or non-cash nature.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items are excluded from our Non-GAAP gross margin:</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i w:val="1"/>
          <w:iCs w:val="1"/>
          <w:color w:val="auto"/>
        </w:rPr>
        <w:t xml:space="preserve">Non-Recurring Revenue Associated with the License of Certain Intellectual Property Rights to a Third Party. </w:t>
      </w:r>
      <w:r>
        <w:rPr>
          <w:rFonts w:ascii="Arial" w:cs="Arial" w:eastAsia="Arial" w:hAnsi="Arial"/>
          <w:sz w:val="22"/>
          <w:szCs w:val="22"/>
          <w:color w:val="auto"/>
        </w:rPr>
        <w:t>On November 9,</w:t>
      </w:r>
      <w:r>
        <w:rPr>
          <w:rFonts w:ascii="Arial" w:cs="Arial" w:eastAsia="Arial" w:hAnsi="Arial"/>
          <w:sz w:val="22"/>
          <w:szCs w:val="22"/>
          <w:i w:val="1"/>
          <w:iCs w:val="1"/>
          <w:color w:val="auto"/>
        </w:rPr>
        <w:t xml:space="preserve"> </w:t>
      </w:r>
      <w:r>
        <w:rPr>
          <w:rFonts w:ascii="Arial" w:cs="Arial" w:eastAsia="Arial" w:hAnsi="Arial"/>
          <w:sz w:val="22"/>
          <w:szCs w:val="22"/>
          <w:color w:val="auto"/>
        </w:rPr>
        <w:t>2006, we received a one-time, non-recurring payment of $35 million in exchange for granting a license of certain intellectual property rights to a third party. This payment increased revenue in the first quarter of fiscal 2007 by $35 million. We exclude this item and the related tax effects from our non-GAAP results because it is a one-time item not associated with the ongoing operations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items are excluded from our Non-GAAP operating expenses:</w:t>
      </w:r>
    </w:p>
    <w:p>
      <w:pPr>
        <w:spacing w:after="0" w:line="212" w:lineRule="exact"/>
        <w:rPr>
          <w:sz w:val="20"/>
          <w:szCs w:val="20"/>
          <w:color w:val="auto"/>
        </w:rPr>
      </w:pPr>
    </w:p>
    <w:p>
      <w:pPr>
        <w:jc w:val="both"/>
        <w:ind w:right="160"/>
        <w:spacing w:after="0"/>
        <w:rPr>
          <w:sz w:val="20"/>
          <w:szCs w:val="20"/>
          <w:color w:val="auto"/>
        </w:rPr>
      </w:pPr>
      <w:r>
        <w:rPr>
          <w:rFonts w:ascii="Arial" w:cs="Arial" w:eastAsia="Arial" w:hAnsi="Arial"/>
          <w:sz w:val="22"/>
          <w:szCs w:val="22"/>
          <w:i w:val="1"/>
          <w:iCs w:val="1"/>
          <w:color w:val="auto"/>
        </w:rPr>
        <w:t xml:space="preserve">Restructuring-Related Expense. </w:t>
      </w:r>
      <w:r>
        <w:rPr>
          <w:rFonts w:ascii="Arial" w:cs="Arial" w:eastAsia="Arial" w:hAnsi="Arial"/>
          <w:sz w:val="22"/>
          <w:szCs w:val="22"/>
          <w:color w:val="auto"/>
        </w:rPr>
        <w:t>These expenses are incurred in connection with facility closures and other reorganization efforts.</w:t>
      </w:r>
      <w:r>
        <w:rPr>
          <w:rFonts w:ascii="Arial" w:cs="Arial" w:eastAsia="Arial" w:hAnsi="Arial"/>
          <w:sz w:val="22"/>
          <w:szCs w:val="22"/>
          <w:i w:val="1"/>
          <w:iCs w:val="1"/>
          <w:color w:val="auto"/>
        </w:rPr>
        <w:t xml:space="preserve"> </w:t>
      </w:r>
      <w:r>
        <w:rPr>
          <w:rFonts w:ascii="Arial" w:cs="Arial" w:eastAsia="Arial" w:hAnsi="Arial"/>
          <w:sz w:val="22"/>
          <w:szCs w:val="22"/>
          <w:color w:val="auto"/>
        </w:rPr>
        <w:t>Apart from ongoing expense savings as a result of such items, these expenses and the related tax effects have no direct correlation to the operation of our business in the future.</w:t>
      </w:r>
    </w:p>
    <w:p>
      <w:pPr>
        <w:spacing w:after="0" w:line="18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i w:val="1"/>
          <w:iCs w:val="1"/>
          <w:color w:val="auto"/>
        </w:rPr>
        <w:t xml:space="preserve">Proceeds from the one-time settlement of litigation. </w:t>
      </w:r>
      <w:r>
        <w:rPr>
          <w:rFonts w:ascii="Arial" w:cs="Arial" w:eastAsia="Arial" w:hAnsi="Arial"/>
          <w:sz w:val="19"/>
          <w:szCs w:val="19"/>
          <w:color w:val="auto"/>
        </w:rPr>
        <w:t>In the second quarter of fiscal 2007, we settled a lawsuit against Maxim</w:t>
      </w:r>
      <w:r>
        <w:rPr>
          <w:rFonts w:ascii="Arial" w:cs="Arial" w:eastAsia="Arial" w:hAnsi="Arial"/>
          <w:sz w:val="19"/>
          <w:szCs w:val="19"/>
          <w:i w:val="1"/>
          <w:iCs w:val="1"/>
          <w:color w:val="auto"/>
        </w:rPr>
        <w:t xml:space="preserve"> </w:t>
      </w:r>
      <w:r>
        <w:rPr>
          <w:rFonts w:ascii="Arial" w:cs="Arial" w:eastAsia="Arial" w:hAnsi="Arial"/>
          <w:sz w:val="19"/>
          <w:szCs w:val="19"/>
          <w:color w:val="auto"/>
        </w:rPr>
        <w:t>Integrated Products and received a one-time non-recurring payment of $19 million. A portion of this payment ($8.5 million) was to compensate us for the legal expenses we incurred during the years 2001 through 2007 in connection with this lawsuit. As the original legal expenses were recorded as general and administrative expenses in the income statement, we recorded the recovery of these legal expenses in the same line item in our operating expenses. The remaining $10.5 million was recorded as non-operating income because it is not associated with the normal operations of our business. We exclude this payment and the related tax effects from our non-GAAP results because it is a one-time item not associated with the ongoing operations of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items are excluded from our Non-GAAP operating income:</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i w:val="1"/>
          <w:iCs w:val="1"/>
          <w:color w:val="auto"/>
        </w:rPr>
        <w:t xml:space="preserve">Non-Recurring Revenue Associated with the License of Certain Intellectual Property Rights to a Third Party. </w:t>
      </w:r>
      <w:r>
        <w:rPr>
          <w:rFonts w:ascii="Arial" w:cs="Arial" w:eastAsia="Arial" w:hAnsi="Arial"/>
          <w:sz w:val="22"/>
          <w:szCs w:val="22"/>
          <w:color w:val="auto"/>
        </w:rPr>
        <w:t>On November 9,</w:t>
      </w:r>
      <w:r>
        <w:rPr>
          <w:rFonts w:ascii="Arial" w:cs="Arial" w:eastAsia="Arial" w:hAnsi="Arial"/>
          <w:sz w:val="22"/>
          <w:szCs w:val="22"/>
          <w:i w:val="1"/>
          <w:iCs w:val="1"/>
          <w:color w:val="auto"/>
        </w:rPr>
        <w:t xml:space="preserve"> </w:t>
      </w:r>
      <w:r>
        <w:rPr>
          <w:rFonts w:ascii="Arial" w:cs="Arial" w:eastAsia="Arial" w:hAnsi="Arial"/>
          <w:sz w:val="22"/>
          <w:szCs w:val="22"/>
          <w:color w:val="auto"/>
        </w:rPr>
        <w:t>2006, we received a one-time, non-recurring payment of $35 million in exchange for granting a license of certain intellectual property rights to a third party. This payment increased revenue in the first quarter of fiscal 2007 by $35 million. We exclude this item and the related tax effects from our non-GAAP results because it is a one-time item not associated with the ongoing operations of our business.</w:t>
      </w:r>
    </w:p>
    <w:p>
      <w:pPr>
        <w:spacing w:after="0" w:line="188" w:lineRule="exact"/>
        <w:rPr>
          <w:sz w:val="20"/>
          <w:szCs w:val="20"/>
          <w:color w:val="auto"/>
        </w:rPr>
      </w:pPr>
    </w:p>
    <w:p>
      <w:pPr>
        <w:jc w:val="both"/>
        <w:ind w:right="160"/>
        <w:spacing w:after="0"/>
        <w:rPr>
          <w:sz w:val="20"/>
          <w:szCs w:val="20"/>
          <w:color w:val="auto"/>
        </w:rPr>
      </w:pPr>
      <w:r>
        <w:rPr>
          <w:rFonts w:ascii="Arial" w:cs="Arial" w:eastAsia="Arial" w:hAnsi="Arial"/>
          <w:sz w:val="22"/>
          <w:szCs w:val="22"/>
          <w:i w:val="1"/>
          <w:iCs w:val="1"/>
          <w:color w:val="auto"/>
        </w:rPr>
        <w:t xml:space="preserve">Restructuring-Related Expense. </w:t>
      </w:r>
      <w:r>
        <w:rPr>
          <w:rFonts w:ascii="Arial" w:cs="Arial" w:eastAsia="Arial" w:hAnsi="Arial"/>
          <w:sz w:val="22"/>
          <w:szCs w:val="22"/>
          <w:color w:val="auto"/>
        </w:rPr>
        <w:t>These expenses are incurred in connection with facility closures and other reorganization efforts.</w:t>
      </w:r>
      <w:r>
        <w:rPr>
          <w:rFonts w:ascii="Arial" w:cs="Arial" w:eastAsia="Arial" w:hAnsi="Arial"/>
          <w:sz w:val="22"/>
          <w:szCs w:val="22"/>
          <w:i w:val="1"/>
          <w:iCs w:val="1"/>
          <w:color w:val="auto"/>
        </w:rPr>
        <w:t xml:space="preserve"> </w:t>
      </w:r>
      <w:r>
        <w:rPr>
          <w:rFonts w:ascii="Arial" w:cs="Arial" w:eastAsia="Arial" w:hAnsi="Arial"/>
          <w:sz w:val="22"/>
          <w:szCs w:val="22"/>
          <w:color w:val="auto"/>
        </w:rPr>
        <w:t>Apart from ongoing expense savings as a result of such items, these expenses and the related tax effects have no direct correlation to the operation of our business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10" w:name="page11"/>
    <w:bookmarkEnd w:id="10"/>
    <w:p>
      <w:pPr>
        <w:ind w:right="40"/>
        <w:spacing w:after="0" w:line="277" w:lineRule="auto"/>
        <w:rPr>
          <w:sz w:val="20"/>
          <w:szCs w:val="20"/>
          <w:color w:val="auto"/>
        </w:rPr>
      </w:pPr>
      <w:r>
        <w:rPr>
          <w:rFonts w:ascii="Arial" w:cs="Arial" w:eastAsia="Arial" w:hAnsi="Arial"/>
          <w:sz w:val="19"/>
          <w:szCs w:val="19"/>
          <w:i w:val="1"/>
          <w:iCs w:val="1"/>
          <w:color w:val="auto"/>
        </w:rPr>
        <w:t xml:space="preserve">Proceeds from the one-time settlement of litigation. </w:t>
      </w:r>
      <w:r>
        <w:rPr>
          <w:rFonts w:ascii="Arial" w:cs="Arial" w:eastAsia="Arial" w:hAnsi="Arial"/>
          <w:sz w:val="19"/>
          <w:szCs w:val="19"/>
          <w:color w:val="auto"/>
        </w:rPr>
        <w:t>In the second quarter of fiscal 2007, we settled a lawsuit against Maxim</w:t>
      </w:r>
      <w:r>
        <w:rPr>
          <w:rFonts w:ascii="Arial" w:cs="Arial" w:eastAsia="Arial" w:hAnsi="Arial"/>
          <w:sz w:val="19"/>
          <w:szCs w:val="19"/>
          <w:i w:val="1"/>
          <w:iCs w:val="1"/>
          <w:color w:val="auto"/>
        </w:rPr>
        <w:t xml:space="preserve"> </w:t>
      </w:r>
      <w:r>
        <w:rPr>
          <w:rFonts w:ascii="Arial" w:cs="Arial" w:eastAsia="Arial" w:hAnsi="Arial"/>
          <w:sz w:val="19"/>
          <w:szCs w:val="19"/>
          <w:color w:val="auto"/>
        </w:rPr>
        <w:t>Integrated Products and received a one-time non-recurring payment of $19 million. A portion of this payment ($8.5 million) was to compensate us for the legal expenses we incurred during the years 2001 through 2007 in connection with this lawsuit. As the original legal expenses were recorded as general and administrative expenses in the income statement, we recorded the recovery of these legal expenses in the same line item in our operating expenses. The remaining $10.5 million was recorded as non-operating income because it is not associated with the normal operations of our business. We exclude this payment and the related tax effects from our non-GAAP results because it is a one-time item not associated with the ongoing operations of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items are excluded from our Non-GAAP diluted earnings per share:</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i w:val="1"/>
          <w:iCs w:val="1"/>
          <w:color w:val="auto"/>
        </w:rPr>
        <w:t xml:space="preserve">Non-Recurring Revenue Associated with the License of Certain Intellectual Property Rights to a Third Party. </w:t>
      </w:r>
      <w:r>
        <w:rPr>
          <w:rFonts w:ascii="Arial" w:cs="Arial" w:eastAsia="Arial" w:hAnsi="Arial"/>
          <w:sz w:val="22"/>
          <w:szCs w:val="22"/>
          <w:color w:val="auto"/>
        </w:rPr>
        <w:t>On November 9,</w:t>
      </w:r>
      <w:r>
        <w:rPr>
          <w:rFonts w:ascii="Arial" w:cs="Arial" w:eastAsia="Arial" w:hAnsi="Arial"/>
          <w:sz w:val="22"/>
          <w:szCs w:val="22"/>
          <w:i w:val="1"/>
          <w:iCs w:val="1"/>
          <w:color w:val="auto"/>
        </w:rPr>
        <w:t xml:space="preserve"> </w:t>
      </w:r>
      <w:r>
        <w:rPr>
          <w:rFonts w:ascii="Arial" w:cs="Arial" w:eastAsia="Arial" w:hAnsi="Arial"/>
          <w:sz w:val="22"/>
          <w:szCs w:val="22"/>
          <w:color w:val="auto"/>
        </w:rPr>
        <w:t>2006, we received a one-time, non-recurring payment of $35 million in exchange for granting a license of certain intellectual property rights to a third party. This payment increased revenue in the first quarter of fiscal 2007 by $35 million. We exclude this item and the related tax effects from our non-GAAP results because it is a one-time item not associated with the ongoing operations of our business.</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i w:val="1"/>
          <w:iCs w:val="1"/>
          <w:color w:val="auto"/>
        </w:rPr>
        <w:t xml:space="preserve">Acquisition-Related Expense. </w:t>
      </w:r>
      <w:r>
        <w:rPr>
          <w:rFonts w:ascii="Arial" w:cs="Arial" w:eastAsia="Arial" w:hAnsi="Arial"/>
          <w:sz w:val="19"/>
          <w:szCs w:val="19"/>
          <w:color w:val="auto"/>
        </w:rPr>
        <w:t>During the first quarter of fiscal 2007, we recorded a tax adjustment when we finalized the</w:t>
      </w:r>
      <w:r>
        <w:rPr>
          <w:rFonts w:ascii="Arial" w:cs="Arial" w:eastAsia="Arial" w:hAnsi="Arial"/>
          <w:sz w:val="19"/>
          <w:szCs w:val="19"/>
          <w:i w:val="1"/>
          <w:iCs w:val="1"/>
          <w:color w:val="auto"/>
        </w:rPr>
        <w:t xml:space="preserve"> </w:t>
      </w:r>
      <w:r>
        <w:rPr>
          <w:rFonts w:ascii="Arial" w:cs="Arial" w:eastAsia="Arial" w:hAnsi="Arial"/>
          <w:sz w:val="19"/>
          <w:szCs w:val="19"/>
          <w:color w:val="auto"/>
        </w:rPr>
        <w:t>accounting associated with an acquisition which occurred in the fourth quarter of fiscal 2006. We excluded this income tax expense from our non-GAAP results because it was not associated with the income tax expense on our current operating results.</w:t>
      </w:r>
    </w:p>
    <w:p>
      <w:pPr>
        <w:spacing w:after="0" w:line="134" w:lineRule="exact"/>
        <w:rPr>
          <w:sz w:val="20"/>
          <w:szCs w:val="20"/>
          <w:color w:val="auto"/>
        </w:rPr>
      </w:pPr>
    </w:p>
    <w:p>
      <w:pPr>
        <w:jc w:val="both"/>
        <w:ind w:right="160"/>
        <w:spacing w:after="0"/>
        <w:rPr>
          <w:sz w:val="20"/>
          <w:szCs w:val="20"/>
          <w:color w:val="auto"/>
        </w:rPr>
      </w:pPr>
      <w:r>
        <w:rPr>
          <w:rFonts w:ascii="Arial" w:cs="Arial" w:eastAsia="Arial" w:hAnsi="Arial"/>
          <w:sz w:val="22"/>
          <w:szCs w:val="22"/>
          <w:i w:val="1"/>
          <w:iCs w:val="1"/>
          <w:color w:val="auto"/>
        </w:rPr>
        <w:t xml:space="preserve">Restructuring-Related Expense. </w:t>
      </w:r>
      <w:r>
        <w:rPr>
          <w:rFonts w:ascii="Arial" w:cs="Arial" w:eastAsia="Arial" w:hAnsi="Arial"/>
          <w:sz w:val="22"/>
          <w:szCs w:val="22"/>
          <w:color w:val="auto"/>
        </w:rPr>
        <w:t>These expenses are incurred in connection with facility closures and other reorganization efforts.</w:t>
      </w:r>
      <w:r>
        <w:rPr>
          <w:rFonts w:ascii="Arial" w:cs="Arial" w:eastAsia="Arial" w:hAnsi="Arial"/>
          <w:sz w:val="22"/>
          <w:szCs w:val="22"/>
          <w:i w:val="1"/>
          <w:iCs w:val="1"/>
          <w:color w:val="auto"/>
        </w:rPr>
        <w:t xml:space="preserve"> </w:t>
      </w:r>
      <w:r>
        <w:rPr>
          <w:rFonts w:ascii="Arial" w:cs="Arial" w:eastAsia="Arial" w:hAnsi="Arial"/>
          <w:sz w:val="22"/>
          <w:szCs w:val="22"/>
          <w:color w:val="auto"/>
        </w:rPr>
        <w:t>Apart from ongoing expense savings as a result of such items, these expenses and the related tax effects have no direct correlation to the operation of our business in the future.</w:t>
      </w:r>
    </w:p>
    <w:p>
      <w:pPr>
        <w:spacing w:after="0" w:line="18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i w:val="1"/>
          <w:iCs w:val="1"/>
          <w:color w:val="auto"/>
        </w:rPr>
        <w:t xml:space="preserve">Proceeds from the one-time settlement of litigation. </w:t>
      </w:r>
      <w:r>
        <w:rPr>
          <w:rFonts w:ascii="Arial" w:cs="Arial" w:eastAsia="Arial" w:hAnsi="Arial"/>
          <w:sz w:val="19"/>
          <w:szCs w:val="19"/>
          <w:color w:val="auto"/>
        </w:rPr>
        <w:t>In the second quarter of fiscal 2007, we settled a lawsuit against Maxim</w:t>
      </w:r>
      <w:r>
        <w:rPr>
          <w:rFonts w:ascii="Arial" w:cs="Arial" w:eastAsia="Arial" w:hAnsi="Arial"/>
          <w:sz w:val="19"/>
          <w:szCs w:val="19"/>
          <w:i w:val="1"/>
          <w:iCs w:val="1"/>
          <w:color w:val="auto"/>
        </w:rPr>
        <w:t xml:space="preserve"> </w:t>
      </w:r>
      <w:r>
        <w:rPr>
          <w:rFonts w:ascii="Arial" w:cs="Arial" w:eastAsia="Arial" w:hAnsi="Arial"/>
          <w:sz w:val="19"/>
          <w:szCs w:val="19"/>
          <w:color w:val="auto"/>
        </w:rPr>
        <w:t>Integrated Products and received a one-time non-recurring payment of $19 million. A portion of this payment ($8.5 million) was to compensate us for the legal expenses we incurred during the years 2001 through 2007 in connection with this lawsuit. As the original legal expenses were recorded as general and administrative expenses in the income statement, we recorded the recovery of these legal expenses in the same line item in our operating expenses. The remaining $10.5 million was recorded as non-operating income because it is not associated with the normal operations of our business. We exclude this payment and the related tax effects from our non-GAAP results because it is a one-time item not associated with the ongoing operations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27202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 w:name="page12"/>
    <w:bookmarkEnd w:id="11"/>
    <w:p>
      <w:pPr>
        <w:ind w:right="220"/>
        <w:spacing w:after="0" w:line="241" w:lineRule="auto"/>
        <w:rPr>
          <w:sz w:val="20"/>
          <w:szCs w:val="20"/>
          <w:color w:val="auto"/>
        </w:rPr>
      </w:pPr>
      <w:r>
        <w:rPr>
          <w:rFonts w:ascii="Arial" w:cs="Arial" w:eastAsia="Arial" w:hAnsi="Arial"/>
          <w:sz w:val="22"/>
          <w:szCs w:val="22"/>
          <w:i w:val="1"/>
          <w:iCs w:val="1"/>
          <w:color w:val="auto"/>
        </w:rPr>
        <w:t xml:space="preserve">Gain on Sale of Investment. </w:t>
      </w:r>
      <w:r>
        <w:rPr>
          <w:rFonts w:ascii="Arial" w:cs="Arial" w:eastAsia="Arial" w:hAnsi="Arial"/>
          <w:sz w:val="22"/>
          <w:szCs w:val="22"/>
          <w:color w:val="auto"/>
        </w:rPr>
        <w:t>We realized a gain of $8 million in the first quarter of fiscal 2007 from the sale of a minority</w:t>
      </w:r>
      <w:r>
        <w:rPr>
          <w:rFonts w:ascii="Arial" w:cs="Arial" w:eastAsia="Arial" w:hAnsi="Arial"/>
          <w:sz w:val="22"/>
          <w:szCs w:val="22"/>
          <w:i w:val="1"/>
          <w:iCs w:val="1"/>
          <w:color w:val="auto"/>
        </w:rPr>
        <w:t xml:space="preserve"> </w:t>
      </w:r>
      <w:r>
        <w:rPr>
          <w:rFonts w:ascii="Arial" w:cs="Arial" w:eastAsia="Arial" w:hAnsi="Arial"/>
          <w:sz w:val="22"/>
          <w:szCs w:val="22"/>
          <w:color w:val="auto"/>
        </w:rPr>
        <w:t>shareholding in a company. We excluded this amount and the related tax effects because it is a one-time item not associated with our ongoing operating results.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9"/>
          <w:szCs w:val="19"/>
          <w:i w:val="1"/>
          <w:iCs w:val="1"/>
          <w:color w:val="auto"/>
        </w:rPr>
        <w:t xml:space="preserve">Tax Savings Associated with Reinstatement of the Federal R&amp;D Tax Credit. </w:t>
      </w:r>
      <w:r>
        <w:rPr>
          <w:rFonts w:ascii="Arial" w:cs="Arial" w:eastAsia="Arial" w:hAnsi="Arial"/>
          <w:sz w:val="19"/>
          <w:szCs w:val="19"/>
          <w:color w:val="auto"/>
        </w:rPr>
        <w:t>The IRS reinstated the R&amp;D tax credit in December</w:t>
      </w:r>
      <w:r>
        <w:rPr>
          <w:rFonts w:ascii="Arial" w:cs="Arial" w:eastAsia="Arial" w:hAnsi="Arial"/>
          <w:sz w:val="19"/>
          <w:szCs w:val="19"/>
          <w:i w:val="1"/>
          <w:iCs w:val="1"/>
          <w:color w:val="auto"/>
        </w:rPr>
        <w:t xml:space="preserve"> </w:t>
      </w:r>
      <w:r>
        <w:rPr>
          <w:rFonts w:ascii="Arial" w:cs="Arial" w:eastAsia="Arial" w:hAnsi="Arial"/>
          <w:sz w:val="19"/>
          <w:szCs w:val="19"/>
          <w:color w:val="auto"/>
        </w:rPr>
        <w:t>2006, retroactive to January 1, 2006. This retroactive reinstatement resulted in a $10 million income tax savings to the Company in the first quarter of fiscal 2007. This credit expired during our first fiscal quarter of 2008, but was reinstated again during our fourth quarter of fiscal 2008, retroactive to January 1, 2008. This retroactive reinstatement resulted in a $3 million income tax savings to the Company in the fourth quarter of fiscal 2008. We excluded this income tax savings from our non-GAAP measures because it is not associated with the income tax expense on our current operating results.</w:t>
      </w:r>
    </w:p>
    <w:p>
      <w:pPr>
        <w:spacing w:after="0" w:line="151"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i w:val="1"/>
          <w:iCs w:val="1"/>
          <w:color w:val="auto"/>
        </w:rPr>
        <w:t xml:space="preserve">Tax Adjustment Associated with IRS Examination. </w:t>
      </w:r>
      <w:r>
        <w:rPr>
          <w:rFonts w:ascii="Arial" w:cs="Arial" w:eastAsia="Arial" w:hAnsi="Arial"/>
          <w:sz w:val="22"/>
          <w:szCs w:val="22"/>
          <w:color w:val="auto"/>
        </w:rPr>
        <w:t>During the fourth quarter of fiscal year 2007, the IRS completed its field</w:t>
      </w:r>
      <w:r>
        <w:rPr>
          <w:rFonts w:ascii="Arial" w:cs="Arial" w:eastAsia="Arial" w:hAnsi="Arial"/>
          <w:sz w:val="22"/>
          <w:szCs w:val="22"/>
          <w:i w:val="1"/>
          <w:iCs w:val="1"/>
          <w:color w:val="auto"/>
        </w:rPr>
        <w:t xml:space="preserve"> </w:t>
      </w:r>
      <w:r>
        <w:rPr>
          <w:rFonts w:ascii="Arial" w:cs="Arial" w:eastAsia="Arial" w:hAnsi="Arial"/>
          <w:sz w:val="22"/>
          <w:szCs w:val="22"/>
          <w:color w:val="auto"/>
        </w:rPr>
        <w:t>examination of fiscal years 2004 and 2005. The IRS issued proposed adjustments related to these two fiscal years. During the fourth quarter of fiscal 2007, we provided $4.4 million for taxes and penalties related to certain of these proposed adjustments. We exclude this income tax expense from our non-GAAP results because it is not associated with the income tax expense on our current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Why Management Believes the Non-GAAP Financial Measures Provide Useful Information to Investors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Management believes that the presentation of non-GAAP gross margin, non-GAAP operating expenses, non-GAAP operating income, and non-GAAP diluted EPS is useful to investors because it provides investors with the operating results that management uses to manage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Material Limitations Associated with Use of the Non-GAAP Financial Measures</w:t>
      </w:r>
    </w:p>
    <w:p>
      <w:pPr>
        <w:spacing w:after="0" w:line="212" w:lineRule="exact"/>
        <w:rPr>
          <w:sz w:val="20"/>
          <w:szCs w:val="20"/>
          <w:color w:val="auto"/>
        </w:rPr>
      </w:pPr>
    </w:p>
    <w:p>
      <w:pPr>
        <w:ind w:right="100"/>
        <w:spacing w:after="0" w:line="247" w:lineRule="auto"/>
        <w:rPr>
          <w:sz w:val="20"/>
          <w:szCs w:val="20"/>
          <w:color w:val="auto"/>
        </w:rPr>
      </w:pPr>
      <w:r>
        <w:rPr>
          <w:rFonts w:ascii="Arial" w:cs="Arial" w:eastAsia="Arial" w:hAnsi="Arial"/>
          <w:sz w:val="21"/>
          <w:szCs w:val="21"/>
          <w:color w:val="auto"/>
        </w:rPr>
        <w:t>Analog Devices believes that non-GAAP gross margin, non-GAAP operating expenses, non-GAAP operating income, and non-GAAP diluted EPS have material limitations in that they do not reflect all of the amounts associated with our results of operations as determined in accordance with GAAP and that these measures should only be used to evaluate our results of operations in conjunction with the corresponding GAAP measures. In addition, our non-GAAP measures may not be comparable to the non-GAAP measures reported by other companies. The Company’s use of non-GAAP measures, and the underlying methodology in excluding certain items, is not necessarily an indication of the results of operations that may be expected in the future, or that the Company will not, in fact, record such items in future periods.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Management’s Compensation for Limitations of Non-GAAP Financial Measures</w:t>
      </w:r>
    </w:p>
    <w:p>
      <w:pPr>
        <w:spacing w:after="0" w:line="212"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Management compensates for these material limitations in non-GAAP gross margin, non-GAAP operating expenses, non-GAAP operating income and non-GAAP diluted earnings per share by also evaluating our GAAP results and the reconciliations of our non-GAAP measures to the most directly comparable GAAP measure. Investors should consider our non-GAAP financial measures in conjunction with the corresponding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27202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About Analog Devices, Inc.</w:t>
      </w:r>
    </w:p>
    <w:p>
      <w:pPr>
        <w:spacing w:after="0" w:line="213"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Innovation, performance, and excellence are the cultural pillars on which Analog Devices has built one of the longest standing, highest growth companies within the technology sector. Acknowledged industry-wide as the world leader in data conversion and signal conditioning technology, Analog Devices serves over 60,000 customers, representing virtually all types of electronic equipment. Celebrating over 40 years as a leading global manufacturer of high-performance integrated circuits used in analog and digital signal processing applications, Analog Devices is headquartered in Norwood, Massachusetts, with design and manufacturing facilities throughout the world. Analog Devices' common stock is listed on the New York Stock Exchange under the ticker “ADI” and is included in the S&amp;P 500 Index.</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i w:val="1"/>
          <w:iCs w:val="1"/>
          <w:color w:val="auto"/>
        </w:rPr>
        <w:t>This release may be deemed to contain forward-looking statements which include, among other things, our statements regarding expected revenue, earnings, operating expenses, gross margins, restructuring charges, and other financial results, expected customer demand for our products, and expected results of our ongoing expense reduction efforts, that are based on our current expectations, beliefs, assumptions, estimates, forecasts, and projections about the industry and markets in which Analog Devices operates. The statements contained in this release are not guarantees of future performance, are inherently uncertain, involve certain risks, uncertainties, and assumptions that are difficult to predict, and do not give effect to the potential impact of any mergers, acquisitions, divestitures, or business combinations that may be announced or closed after the date hereof. Therefore, actual outcomes and results may differ materially from what is expressed in such forward-looking statements, and such statements should not be relied upon as representing Analog Devices’ expectations or beliefs as of any date subsequent to the date of this press release. We do not undertake any obligation to update forward-looking statements made by us. Important factors that may affect future operating results include: continuing adversity in economic conditions in the United States and internationally as a result of the ongoing crisis in global credit and financial markets, further erosion of consumer confidence and adverse changes to customer spending behaviors, the effects of changes in customer demand for our products and for end products that incorporate our products, competitive pricing pressures, unavailability of raw materials or wafer fabrication, assembly and test capacity, any delay or cancellation of significant customer orders, any inability to manage inventory to meet customer demand, changes in geographic, product or customer mix, adverse results in litigation matters, and other risk factors described in our most recent filings with the Securities and Exchange Commission. Our results of operations for the periods presented in this release are not necessarily indicative of our operating results for any future periods. Any projections in this release are based on limited information currently available to Analog Devices, which is subject to change. Although any such projections and the factors influencing them will likely change, we will not necessarily update the information, as we will only provide guidance at certain points during the year. Such information speaks only as of the original issuance date of this release.</w:t>
      </w:r>
    </w:p>
    <w:p>
      <w:pPr>
        <w:spacing w:after="0" w:line="200" w:lineRule="exact"/>
        <w:rPr>
          <w:sz w:val="20"/>
          <w:szCs w:val="20"/>
          <w:color w:val="auto"/>
        </w:rPr>
      </w:pPr>
    </w:p>
    <w:p>
      <w:pPr>
        <w:spacing w:after="0" w:line="205" w:lineRule="exact"/>
        <w:rPr>
          <w:sz w:val="20"/>
          <w:szCs w:val="20"/>
          <w:color w:val="auto"/>
        </w:rPr>
      </w:pPr>
    </w:p>
    <w:p>
      <w:pPr>
        <w:ind w:right="20"/>
        <w:spacing w:after="0"/>
        <w:rPr>
          <w:sz w:val="20"/>
          <w:szCs w:val="20"/>
          <w:color w:val="auto"/>
        </w:rPr>
      </w:pPr>
      <w:r>
        <w:rPr>
          <w:rFonts w:ascii="Arial" w:cs="Arial" w:eastAsia="Arial" w:hAnsi="Arial"/>
          <w:sz w:val="22"/>
          <w:szCs w:val="22"/>
          <w:color w:val="auto"/>
        </w:rPr>
        <w:t>Analog Devices and the Analog Devices logo are registered trademarks or trademarks of Analog Devices, Inc. All other trademarks mentioned in this document are the property of their respective owners. The use of the word partner does not imply a partnership relationship between Analog Devices and any other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2"/>
          <w:szCs w:val="12"/>
          <w:b w:val="1"/>
          <w:bCs w:val="1"/>
          <w:color w:val="auto"/>
        </w:rPr>
        <w:t>Analog Devices, Fourth Quarter, Fiscal 2008</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Schedule A</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Sales/Earnings Summary (GAAP)</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 except per-share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238760</wp:posOffset>
            </wp:positionV>
            <wp:extent cx="16376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center"/>
              <w:ind w:right="88"/>
              <w:spacing w:after="0" w:line="160" w:lineRule="exact"/>
              <w:rPr>
                <w:sz w:val="20"/>
                <w:szCs w:val="20"/>
                <w:color w:val="auto"/>
              </w:rPr>
            </w:pPr>
            <w:r>
              <w:rPr>
                <w:rFonts w:ascii="Arial" w:cs="Arial" w:eastAsia="Arial" w:hAnsi="Arial"/>
                <w:sz w:val="14"/>
                <w:szCs w:val="14"/>
                <w:b w:val="1"/>
                <w:bCs w:val="1"/>
                <w:color w:val="auto"/>
                <w:w w:val="94"/>
              </w:rPr>
              <w:t>4Q 08</w:t>
            </w:r>
          </w:p>
        </w:tc>
        <w:tc>
          <w:tcPr>
            <w:tcW w:w="360" w:type="dxa"/>
            <w:vAlign w:val="bottom"/>
          </w:tcPr>
          <w:p>
            <w:pPr>
              <w:spacing w:after="0"/>
              <w:rPr>
                <w:sz w:val="13"/>
                <w:szCs w:val="13"/>
                <w:color w:val="auto"/>
              </w:rPr>
            </w:pPr>
          </w:p>
        </w:tc>
        <w:tc>
          <w:tcPr>
            <w:tcW w:w="980" w:type="dxa"/>
            <w:vAlign w:val="bottom"/>
          </w:tcPr>
          <w:p>
            <w:pPr>
              <w:jc w:val="center"/>
              <w:ind w:right="308"/>
              <w:spacing w:after="0" w:line="160" w:lineRule="exact"/>
              <w:rPr>
                <w:sz w:val="20"/>
                <w:szCs w:val="20"/>
                <w:color w:val="auto"/>
              </w:rPr>
            </w:pPr>
            <w:r>
              <w:rPr>
                <w:rFonts w:ascii="Arial" w:cs="Arial" w:eastAsia="Arial" w:hAnsi="Arial"/>
                <w:sz w:val="14"/>
                <w:szCs w:val="14"/>
                <w:b w:val="1"/>
                <w:bCs w:val="1"/>
                <w:color w:val="auto"/>
                <w:w w:val="94"/>
              </w:rPr>
              <w:t>3Q 08</w:t>
            </w:r>
          </w:p>
        </w:tc>
        <w:tc>
          <w:tcPr>
            <w:tcW w:w="160" w:type="dxa"/>
            <w:vAlign w:val="bottom"/>
          </w:tcPr>
          <w:p>
            <w:pPr>
              <w:spacing w:after="0"/>
              <w:rPr>
                <w:sz w:val="13"/>
                <w:szCs w:val="13"/>
                <w:color w:val="auto"/>
              </w:rPr>
            </w:pPr>
          </w:p>
        </w:tc>
        <w:tc>
          <w:tcPr>
            <w:tcW w:w="820" w:type="dxa"/>
            <w:vAlign w:val="bottom"/>
          </w:tcPr>
          <w:p>
            <w:pPr>
              <w:jc w:val="center"/>
              <w:ind w:right="148"/>
              <w:spacing w:after="0" w:line="160" w:lineRule="exact"/>
              <w:rPr>
                <w:sz w:val="20"/>
                <w:szCs w:val="20"/>
                <w:color w:val="auto"/>
              </w:rPr>
            </w:pPr>
            <w:r>
              <w:rPr>
                <w:rFonts w:ascii="Arial" w:cs="Arial" w:eastAsia="Arial" w:hAnsi="Arial"/>
                <w:sz w:val="14"/>
                <w:szCs w:val="14"/>
                <w:b w:val="1"/>
                <w:bCs w:val="1"/>
                <w:color w:val="auto"/>
                <w:w w:val="94"/>
              </w:rPr>
              <w:t>4Q 07</w:t>
            </w: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Nov. 1,</w:t>
            </w:r>
          </w:p>
        </w:tc>
        <w:tc>
          <w:tcPr>
            <w:tcW w:w="360" w:type="dxa"/>
            <w:vAlign w:val="bottom"/>
          </w:tcPr>
          <w:p>
            <w:pPr>
              <w:spacing w:after="0"/>
              <w:rPr>
                <w:sz w:val="12"/>
                <w:szCs w:val="12"/>
                <w:color w:val="auto"/>
              </w:rPr>
            </w:pPr>
          </w:p>
        </w:tc>
        <w:tc>
          <w:tcPr>
            <w:tcW w:w="980" w:type="dxa"/>
            <w:vAlign w:val="bottom"/>
          </w:tcPr>
          <w:p>
            <w:pPr>
              <w:jc w:val="right"/>
              <w:ind w:right="388"/>
              <w:spacing w:after="0" w:line="149" w:lineRule="exact"/>
              <w:rPr>
                <w:sz w:val="20"/>
                <w:szCs w:val="20"/>
                <w:color w:val="auto"/>
              </w:rPr>
            </w:pPr>
            <w:r>
              <w:rPr>
                <w:rFonts w:ascii="Arial" w:cs="Arial" w:eastAsia="Arial" w:hAnsi="Arial"/>
                <w:sz w:val="14"/>
                <w:szCs w:val="14"/>
                <w:b w:val="1"/>
                <w:bCs w:val="1"/>
                <w:color w:val="auto"/>
              </w:rPr>
              <w:t>Aug. 2,</w:t>
            </w:r>
          </w:p>
        </w:tc>
        <w:tc>
          <w:tcPr>
            <w:tcW w:w="160" w:type="dxa"/>
            <w:vAlign w:val="bottom"/>
          </w:tcPr>
          <w:p>
            <w:pPr>
              <w:spacing w:after="0"/>
              <w:rPr>
                <w:sz w:val="12"/>
                <w:szCs w:val="12"/>
                <w:color w:val="auto"/>
              </w:rPr>
            </w:pPr>
          </w:p>
        </w:tc>
        <w:tc>
          <w:tcPr>
            <w:tcW w:w="82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Nov. 3,</w:t>
            </w:r>
          </w:p>
        </w:tc>
      </w:tr>
      <w:tr>
        <w:trPr>
          <w:trHeight w:val="185"/>
        </w:trPr>
        <w:tc>
          <w:tcPr>
            <w:tcW w:w="20" w:type="dxa"/>
            <w:vAlign w:val="bottom"/>
          </w:tcPr>
          <w:p>
            <w:pPr>
              <w:spacing w:after="0"/>
              <w:rPr>
                <w:sz w:val="16"/>
                <w:szCs w:val="16"/>
                <w:color w:val="auto"/>
              </w:rPr>
            </w:pPr>
          </w:p>
        </w:tc>
        <w:tc>
          <w:tcPr>
            <w:tcW w:w="5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2008</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2007</w:t>
            </w:r>
          </w:p>
        </w:tc>
      </w:tr>
      <w:tr>
        <w:trPr>
          <w:trHeight w:val="164"/>
        </w:trPr>
        <w:tc>
          <w:tcPr>
            <w:tcW w:w="2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Product Revenue</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660,696</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658,986</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623,542</w:t>
            </w:r>
          </w:p>
        </w:tc>
      </w:tr>
      <w:tr>
        <w:trPr>
          <w:trHeight w:val="176"/>
        </w:trPr>
        <w:tc>
          <w:tcPr>
            <w:tcW w:w="20" w:type="dxa"/>
            <w:vAlign w:val="bottom"/>
          </w:tcPr>
          <w:p>
            <w:pPr>
              <w:spacing w:after="0"/>
              <w:rPr>
                <w:sz w:val="15"/>
                <w:szCs w:val="15"/>
                <w:color w:val="auto"/>
              </w:rPr>
            </w:pPr>
          </w:p>
        </w:tc>
        <w:tc>
          <w:tcPr>
            <w:tcW w:w="5440" w:type="dxa"/>
            <w:vAlign w:val="bottom"/>
          </w:tcPr>
          <w:p>
            <w:pPr>
              <w:ind w:left="200"/>
              <w:spacing w:after="0"/>
              <w:rPr>
                <w:sz w:val="20"/>
                <w:szCs w:val="20"/>
                <w:color w:val="auto"/>
              </w:rPr>
            </w:pPr>
            <w:r>
              <w:rPr>
                <w:rFonts w:ascii="Arial" w:cs="Arial" w:eastAsia="Arial" w:hAnsi="Arial"/>
                <w:sz w:val="14"/>
                <w:szCs w:val="14"/>
                <w:color w:val="auto"/>
              </w:rPr>
              <w:t>Year-to-year growth</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360" w:type="dxa"/>
            <w:vAlign w:val="bottom"/>
          </w:tcPr>
          <w:p>
            <w:pPr>
              <w:spacing w:after="0"/>
              <w:rPr>
                <w:sz w:val="15"/>
                <w:szCs w:val="15"/>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76"/>
        </w:trPr>
        <w:tc>
          <w:tcPr>
            <w:tcW w:w="20" w:type="dxa"/>
            <w:vAlign w:val="bottom"/>
          </w:tcPr>
          <w:p>
            <w:pPr>
              <w:spacing w:after="0"/>
              <w:rPr>
                <w:sz w:val="15"/>
                <w:szCs w:val="15"/>
                <w:color w:val="auto"/>
              </w:rPr>
            </w:pPr>
          </w:p>
        </w:tc>
        <w:tc>
          <w:tcPr>
            <w:tcW w:w="5440" w:type="dxa"/>
            <w:vAlign w:val="bottom"/>
          </w:tcPr>
          <w:p>
            <w:pPr>
              <w:ind w:left="200"/>
              <w:spacing w:after="0"/>
              <w:rPr>
                <w:sz w:val="20"/>
                <w:szCs w:val="20"/>
                <w:color w:val="auto"/>
              </w:rPr>
            </w:pPr>
            <w:r>
              <w:rPr>
                <w:rFonts w:ascii="Arial" w:cs="Arial" w:eastAsia="Arial" w:hAnsi="Arial"/>
                <w:sz w:val="14"/>
                <w:szCs w:val="14"/>
                <w:color w:val="auto"/>
              </w:rPr>
              <w:t>Quarter-to-quarter change</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w:t>
            </w:r>
          </w:p>
        </w:tc>
        <w:tc>
          <w:tcPr>
            <w:tcW w:w="360" w:type="dxa"/>
            <w:vAlign w:val="bottom"/>
          </w:tcPr>
          <w:p>
            <w:pPr>
              <w:spacing w:after="0"/>
              <w:rPr>
                <w:sz w:val="15"/>
                <w:szCs w:val="15"/>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1"/>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Revenue from one-time IP license</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64"/>
        </w:trPr>
        <w:tc>
          <w:tcPr>
            <w:tcW w:w="546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660,696</w:t>
            </w:r>
          </w:p>
        </w:tc>
        <w:tc>
          <w:tcPr>
            <w:tcW w:w="3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658,986</w:t>
            </w:r>
          </w:p>
        </w:tc>
        <w:tc>
          <w:tcPr>
            <w:tcW w:w="1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623,542</w:t>
            </w:r>
          </w:p>
        </w:tc>
      </w:tr>
      <w:tr>
        <w:trPr>
          <w:trHeight w:val="181"/>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Cost of sales (1)</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257,039</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257,192</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249,650</w:t>
            </w:r>
          </w:p>
        </w:tc>
      </w:tr>
      <w:tr>
        <w:trPr>
          <w:trHeight w:val="169"/>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Gross margin</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403,657</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401,794</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373,892</w:t>
            </w:r>
          </w:p>
        </w:tc>
      </w:tr>
      <w:tr>
        <w:trPr>
          <w:trHeight w:val="164"/>
        </w:trPr>
        <w:tc>
          <w:tcPr>
            <w:tcW w:w="546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440" w:type="dxa"/>
            <w:vAlign w:val="bottom"/>
          </w:tcPr>
          <w:p>
            <w:pPr>
              <w:ind w:left="200"/>
              <w:spacing w:after="0"/>
              <w:rPr>
                <w:sz w:val="20"/>
                <w:szCs w:val="20"/>
                <w:color w:val="auto"/>
              </w:rPr>
            </w:pPr>
            <w:r>
              <w:rPr>
                <w:rFonts w:ascii="Arial" w:cs="Arial" w:eastAsia="Arial" w:hAnsi="Arial"/>
                <w:sz w:val="14"/>
                <w:szCs w:val="14"/>
                <w:color w:val="auto"/>
              </w:rPr>
              <w:t>R&amp;D (1)</w:t>
            </w:r>
          </w:p>
        </w:tc>
        <w:tc>
          <w:tcPr>
            <w:tcW w:w="20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133,451</w:t>
            </w:r>
          </w:p>
        </w:tc>
        <w:tc>
          <w:tcPr>
            <w:tcW w:w="36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135,837</w:t>
            </w:r>
          </w:p>
        </w:tc>
        <w:tc>
          <w:tcPr>
            <w:tcW w:w="16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131,687</w:t>
            </w:r>
          </w:p>
        </w:tc>
      </w:tr>
      <w:tr>
        <w:trPr>
          <w:trHeight w:val="176"/>
        </w:trPr>
        <w:tc>
          <w:tcPr>
            <w:tcW w:w="20" w:type="dxa"/>
            <w:vAlign w:val="bottom"/>
          </w:tcPr>
          <w:p>
            <w:pPr>
              <w:spacing w:after="0"/>
              <w:rPr>
                <w:sz w:val="15"/>
                <w:szCs w:val="15"/>
                <w:color w:val="auto"/>
              </w:rPr>
            </w:pPr>
          </w:p>
        </w:tc>
        <w:tc>
          <w:tcPr>
            <w:tcW w:w="5440" w:type="dxa"/>
            <w:vAlign w:val="bottom"/>
          </w:tcPr>
          <w:p>
            <w:pPr>
              <w:ind w:left="200"/>
              <w:spacing w:after="0"/>
              <w:rPr>
                <w:sz w:val="20"/>
                <w:szCs w:val="20"/>
                <w:color w:val="auto"/>
              </w:rPr>
            </w:pPr>
            <w:r>
              <w:rPr>
                <w:rFonts w:ascii="Arial" w:cs="Arial" w:eastAsia="Arial" w:hAnsi="Arial"/>
                <w:sz w:val="14"/>
                <w:szCs w:val="14"/>
                <w:color w:val="auto"/>
              </w:rPr>
              <w:t>Selling, marketing and G&amp;A (1)</w:t>
            </w:r>
          </w:p>
        </w:tc>
        <w:tc>
          <w:tcPr>
            <w:tcW w:w="20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106,381</w:t>
            </w:r>
          </w:p>
        </w:tc>
        <w:tc>
          <w:tcPr>
            <w:tcW w:w="36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104,767</w:t>
            </w:r>
          </w:p>
        </w:tc>
        <w:tc>
          <w:tcPr>
            <w:tcW w:w="16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97,409</w:t>
            </w:r>
          </w:p>
        </w:tc>
      </w:tr>
      <w:tr>
        <w:trPr>
          <w:trHeight w:val="181"/>
        </w:trPr>
        <w:tc>
          <w:tcPr>
            <w:tcW w:w="20" w:type="dxa"/>
            <w:vAlign w:val="bottom"/>
          </w:tcPr>
          <w:p>
            <w:pPr>
              <w:spacing w:after="0"/>
              <w:rPr>
                <w:sz w:val="15"/>
                <w:szCs w:val="15"/>
                <w:color w:val="auto"/>
              </w:rPr>
            </w:pPr>
          </w:p>
        </w:tc>
        <w:tc>
          <w:tcPr>
            <w:tcW w:w="54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Special charges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3,088</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25,183</w:t>
            </w:r>
          </w:p>
        </w:tc>
      </w:tr>
      <w:tr>
        <w:trPr>
          <w:trHeight w:val="164"/>
        </w:trPr>
        <w:tc>
          <w:tcPr>
            <w:tcW w:w="2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Operating income from continuing operations</w:t>
            </w: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160,737</w:t>
            </w:r>
          </w:p>
        </w:tc>
        <w:tc>
          <w:tcPr>
            <w:tcW w:w="3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161,190</w:t>
            </w:r>
          </w:p>
        </w:tc>
        <w:tc>
          <w:tcPr>
            <w:tcW w:w="1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119,613</w:t>
            </w:r>
          </w:p>
        </w:tc>
      </w:tr>
      <w:tr>
        <w:trPr>
          <w:trHeight w:val="181"/>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Other income</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(10,628)</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(7,541)</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(12,891)</w:t>
            </w:r>
          </w:p>
        </w:tc>
      </w:tr>
      <w:tr>
        <w:trPr>
          <w:trHeight w:val="164"/>
        </w:trPr>
        <w:tc>
          <w:tcPr>
            <w:tcW w:w="5460" w:type="dxa"/>
            <w:vAlign w:val="bottom"/>
            <w:gridSpan w:val="2"/>
          </w:tcPr>
          <w:p>
            <w:pPr>
              <w:spacing w:after="0"/>
              <w:rPr>
                <w:sz w:val="20"/>
                <w:szCs w:val="20"/>
                <w:color w:val="auto"/>
              </w:rPr>
            </w:pPr>
            <w:r>
              <w:rPr>
                <w:rFonts w:ascii="Arial" w:cs="Arial" w:eastAsia="Arial" w:hAnsi="Arial"/>
                <w:sz w:val="14"/>
                <w:szCs w:val="14"/>
                <w:color w:val="auto"/>
              </w:rPr>
              <w:t>Income from continuing operations before income tax</w:t>
            </w: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171,365</w:t>
            </w:r>
          </w:p>
        </w:tc>
        <w:tc>
          <w:tcPr>
            <w:tcW w:w="3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168,731</w:t>
            </w:r>
          </w:p>
        </w:tc>
        <w:tc>
          <w:tcPr>
            <w:tcW w:w="1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132,504</w:t>
            </w:r>
          </w:p>
        </w:tc>
      </w:tr>
      <w:tr>
        <w:trPr>
          <w:trHeight w:val="176"/>
        </w:trPr>
        <w:tc>
          <w:tcPr>
            <w:tcW w:w="546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20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27,123</w:t>
            </w:r>
          </w:p>
        </w:tc>
        <w:tc>
          <w:tcPr>
            <w:tcW w:w="36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39,536</w:t>
            </w:r>
          </w:p>
        </w:tc>
        <w:tc>
          <w:tcPr>
            <w:tcW w:w="16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37,818</w:t>
            </w:r>
          </w:p>
        </w:tc>
      </w:tr>
      <w:tr>
        <w:trPr>
          <w:trHeight w:val="181"/>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Minority interest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69"/>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Income from continuing operations, net of tax</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144,242</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129,195</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94,686</w:t>
            </w:r>
          </w:p>
        </w:tc>
      </w:tr>
      <w:tr>
        <w:trPr>
          <w:trHeight w:val="164"/>
        </w:trPr>
        <w:tc>
          <w:tcPr>
            <w:tcW w:w="5460" w:type="dxa"/>
            <w:vAlign w:val="bottom"/>
            <w:gridSpan w:val="2"/>
          </w:tcPr>
          <w:p>
            <w:pPr>
              <w:spacing w:after="0"/>
              <w:rPr>
                <w:sz w:val="20"/>
                <w:szCs w:val="20"/>
                <w:color w:val="auto"/>
              </w:rPr>
            </w:pPr>
            <w:r>
              <w:rPr>
                <w:rFonts w:ascii="Arial" w:cs="Arial" w:eastAsia="Arial" w:hAnsi="Arial"/>
                <w:sz w:val="14"/>
                <w:szCs w:val="14"/>
                <w:color w:val="auto"/>
              </w:rPr>
              <w:t>Discontinued Operations, net of tax:</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440" w:type="dxa"/>
            <w:vAlign w:val="bottom"/>
          </w:tcPr>
          <w:p>
            <w:pPr>
              <w:ind w:left="200"/>
              <w:spacing w:after="0"/>
              <w:rPr>
                <w:sz w:val="20"/>
                <w:szCs w:val="20"/>
                <w:color w:val="auto"/>
              </w:rPr>
            </w:pPr>
            <w:r>
              <w:rPr>
                <w:rFonts w:ascii="Arial" w:cs="Arial" w:eastAsia="Arial" w:hAnsi="Arial"/>
                <w:sz w:val="14"/>
                <w:szCs w:val="14"/>
                <w:color w:val="auto"/>
              </w:rPr>
              <w:t>Income (loss) from discontinued operations</w:t>
            </w:r>
          </w:p>
        </w:tc>
        <w:tc>
          <w:tcPr>
            <w:tcW w:w="20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2,086</w:t>
            </w:r>
          </w:p>
        </w:tc>
        <w:tc>
          <w:tcPr>
            <w:tcW w:w="36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5,611</w:t>
            </w:r>
          </w:p>
        </w:tc>
        <w:tc>
          <w:tcPr>
            <w:tcW w:w="16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3,203</w:t>
            </w:r>
          </w:p>
        </w:tc>
      </w:tr>
      <w:tr>
        <w:trPr>
          <w:trHeight w:val="181"/>
        </w:trPr>
        <w:tc>
          <w:tcPr>
            <w:tcW w:w="20" w:type="dxa"/>
            <w:vAlign w:val="bottom"/>
          </w:tcPr>
          <w:p>
            <w:pPr>
              <w:spacing w:after="0"/>
              <w:rPr>
                <w:sz w:val="15"/>
                <w:szCs w:val="15"/>
                <w:color w:val="auto"/>
              </w:rPr>
            </w:pPr>
          </w:p>
        </w:tc>
        <w:tc>
          <w:tcPr>
            <w:tcW w:w="54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(Loss) gain on sale of discontinued operations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(2,457)</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3,802</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69"/>
        </w:trPr>
        <w:tc>
          <w:tcPr>
            <w:tcW w:w="20" w:type="dxa"/>
            <w:vAlign w:val="bottom"/>
            <w:tcBorders>
              <w:bottom w:val="single" w:sz="8" w:color="auto"/>
            </w:tcBorders>
          </w:tcPr>
          <w:p>
            <w:pPr>
              <w:spacing w:after="0"/>
              <w:rPr>
                <w:sz w:val="14"/>
                <w:szCs w:val="1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(loss) income from discontinued operations, net of tax</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(371)</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9,413</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3,203</w:t>
            </w:r>
          </w:p>
        </w:tc>
      </w:tr>
      <w:tr>
        <w:trPr>
          <w:trHeight w:val="169"/>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Net income</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143,871</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138,608</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97,889</w:t>
            </w:r>
          </w:p>
        </w:tc>
      </w:tr>
      <w:tr>
        <w:trPr>
          <w:trHeight w:val="339"/>
        </w:trPr>
        <w:tc>
          <w:tcPr>
            <w:tcW w:w="5460" w:type="dxa"/>
            <w:vAlign w:val="bottom"/>
            <w:gridSpan w:val="2"/>
          </w:tcPr>
          <w:p>
            <w:pPr>
              <w:spacing w:after="0"/>
              <w:rPr>
                <w:sz w:val="20"/>
                <w:szCs w:val="20"/>
                <w:color w:val="auto"/>
              </w:rPr>
            </w:pPr>
            <w:r>
              <w:rPr>
                <w:rFonts w:ascii="Arial" w:cs="Arial" w:eastAsia="Arial" w:hAnsi="Arial"/>
                <w:sz w:val="14"/>
                <w:szCs w:val="14"/>
                <w:color w:val="auto"/>
              </w:rPr>
              <w:t>Shares used for EPS - basic</w:t>
            </w:r>
          </w:p>
        </w:tc>
        <w:tc>
          <w:tcPr>
            <w:tcW w:w="20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290,847</w:t>
            </w:r>
          </w:p>
        </w:tc>
        <w:tc>
          <w:tcPr>
            <w:tcW w:w="360" w:type="dxa"/>
            <w:vAlign w:val="bottom"/>
          </w:tcPr>
          <w:p>
            <w:pPr>
              <w:spacing w:after="0"/>
              <w:rPr>
                <w:sz w:val="24"/>
                <w:szCs w:val="24"/>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290,376</w:t>
            </w:r>
          </w:p>
        </w:tc>
        <w:tc>
          <w:tcPr>
            <w:tcW w:w="16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305,867</w:t>
            </w:r>
          </w:p>
        </w:tc>
      </w:tr>
      <w:tr>
        <w:trPr>
          <w:trHeight w:val="182"/>
        </w:trPr>
        <w:tc>
          <w:tcPr>
            <w:tcW w:w="5460" w:type="dxa"/>
            <w:vAlign w:val="bottom"/>
            <w:gridSpan w:val="2"/>
          </w:tcPr>
          <w:p>
            <w:pPr>
              <w:spacing w:after="0"/>
              <w:rPr>
                <w:sz w:val="20"/>
                <w:szCs w:val="20"/>
                <w:color w:val="auto"/>
              </w:rPr>
            </w:pPr>
            <w:r>
              <w:rPr>
                <w:rFonts w:ascii="Arial" w:cs="Arial" w:eastAsia="Arial" w:hAnsi="Arial"/>
                <w:sz w:val="14"/>
                <w:szCs w:val="14"/>
                <w:color w:val="auto"/>
              </w:rPr>
              <w:t>Shares used for EPS - diluted</w:t>
            </w:r>
          </w:p>
        </w:tc>
        <w:tc>
          <w:tcPr>
            <w:tcW w:w="20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293,820</w:t>
            </w:r>
          </w:p>
        </w:tc>
        <w:tc>
          <w:tcPr>
            <w:tcW w:w="36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295,001</w:t>
            </w:r>
          </w:p>
        </w:tc>
        <w:tc>
          <w:tcPr>
            <w:tcW w:w="16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313,825</w:t>
            </w:r>
          </w:p>
        </w:tc>
      </w:tr>
      <w:tr>
        <w:trPr>
          <w:trHeight w:val="344"/>
        </w:trPr>
        <w:tc>
          <w:tcPr>
            <w:tcW w:w="5460" w:type="dxa"/>
            <w:vAlign w:val="bottom"/>
            <w:gridSpan w:val="2"/>
          </w:tcPr>
          <w:p>
            <w:pPr>
              <w:spacing w:after="0"/>
              <w:rPr>
                <w:sz w:val="20"/>
                <w:szCs w:val="20"/>
                <w:color w:val="auto"/>
              </w:rPr>
            </w:pPr>
            <w:r>
              <w:rPr>
                <w:rFonts w:ascii="Arial" w:cs="Arial" w:eastAsia="Arial" w:hAnsi="Arial"/>
                <w:sz w:val="14"/>
                <w:szCs w:val="14"/>
                <w:color w:val="auto"/>
              </w:rPr>
              <w:t>Earnings per share from continuing operations - basic</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0.50</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0.44</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0.31</w:t>
            </w:r>
          </w:p>
        </w:tc>
      </w:tr>
      <w:tr>
        <w:trPr>
          <w:trHeight w:val="182"/>
        </w:trPr>
        <w:tc>
          <w:tcPr>
            <w:tcW w:w="5460" w:type="dxa"/>
            <w:vAlign w:val="bottom"/>
            <w:gridSpan w:val="2"/>
          </w:tcPr>
          <w:p>
            <w:pPr>
              <w:spacing w:after="0"/>
              <w:rPr>
                <w:sz w:val="20"/>
                <w:szCs w:val="20"/>
                <w:color w:val="auto"/>
              </w:rPr>
            </w:pPr>
            <w:r>
              <w:rPr>
                <w:rFonts w:ascii="Arial" w:cs="Arial" w:eastAsia="Arial" w:hAnsi="Arial"/>
                <w:sz w:val="14"/>
                <w:szCs w:val="14"/>
                <w:color w:val="auto"/>
              </w:rPr>
              <w:t>Earnings per share from continuing operations - diluted</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0.49</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0.44</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0.30</w:t>
            </w:r>
          </w:p>
        </w:tc>
      </w:tr>
      <w:tr>
        <w:trPr>
          <w:trHeight w:val="344"/>
        </w:trPr>
        <w:tc>
          <w:tcPr>
            <w:tcW w:w="5460" w:type="dxa"/>
            <w:vAlign w:val="bottom"/>
            <w:gridSpan w:val="2"/>
          </w:tcPr>
          <w:p>
            <w:pPr>
              <w:spacing w:after="0"/>
              <w:rPr>
                <w:sz w:val="20"/>
                <w:szCs w:val="20"/>
                <w:color w:val="auto"/>
              </w:rPr>
            </w:pPr>
            <w:r>
              <w:rPr>
                <w:rFonts w:ascii="Arial" w:cs="Arial" w:eastAsia="Arial" w:hAnsi="Arial"/>
                <w:sz w:val="14"/>
                <w:szCs w:val="14"/>
                <w:color w:val="auto"/>
              </w:rPr>
              <w:t>Earnings per share - basic</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0.49</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0.48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0.32</w:t>
            </w:r>
          </w:p>
        </w:tc>
      </w:tr>
      <w:tr>
        <w:trPr>
          <w:trHeight w:val="182"/>
        </w:trPr>
        <w:tc>
          <w:tcPr>
            <w:tcW w:w="5460" w:type="dxa"/>
            <w:vAlign w:val="bottom"/>
            <w:gridSpan w:val="2"/>
          </w:tcPr>
          <w:p>
            <w:pPr>
              <w:spacing w:after="0"/>
              <w:rPr>
                <w:sz w:val="20"/>
                <w:szCs w:val="20"/>
                <w:color w:val="auto"/>
              </w:rPr>
            </w:pPr>
            <w:r>
              <w:rPr>
                <w:rFonts w:ascii="Arial" w:cs="Arial" w:eastAsia="Arial" w:hAnsi="Arial"/>
                <w:sz w:val="14"/>
                <w:szCs w:val="14"/>
                <w:color w:val="auto"/>
              </w:rPr>
              <w:t>Earnings per share - diluted</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0.49</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0.47</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0.31</w:t>
            </w:r>
          </w:p>
        </w:tc>
      </w:tr>
      <w:tr>
        <w:trPr>
          <w:trHeight w:val="350"/>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Dividends paid per share</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0.20</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0.20</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0.18</w:t>
            </w:r>
          </w:p>
        </w:tc>
      </w:tr>
    </w:tbl>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Twelve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228"/>
              <w:spacing w:after="0" w:line="160" w:lineRule="exact"/>
              <w:rPr>
                <w:sz w:val="20"/>
                <w:szCs w:val="20"/>
                <w:color w:val="auto"/>
              </w:rPr>
            </w:pPr>
            <w:r>
              <w:rPr>
                <w:rFonts w:ascii="Arial" w:cs="Arial" w:eastAsia="Arial" w:hAnsi="Arial"/>
                <w:sz w:val="14"/>
                <w:szCs w:val="14"/>
                <w:b w:val="1"/>
                <w:bCs w:val="1"/>
                <w:color w:val="auto"/>
              </w:rPr>
              <w:t>FY 08</w:t>
            </w: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208"/>
              <w:spacing w:after="0" w:line="160" w:lineRule="exact"/>
              <w:rPr>
                <w:sz w:val="20"/>
                <w:szCs w:val="20"/>
                <w:color w:val="auto"/>
              </w:rPr>
            </w:pPr>
            <w:r>
              <w:rPr>
                <w:rFonts w:ascii="Arial" w:cs="Arial" w:eastAsia="Arial" w:hAnsi="Arial"/>
                <w:sz w:val="14"/>
                <w:szCs w:val="14"/>
                <w:b w:val="1"/>
                <w:bCs w:val="1"/>
                <w:color w:val="auto"/>
              </w:rPr>
              <w:t>FY 07</w:t>
            </w:r>
          </w:p>
        </w:tc>
      </w:tr>
      <w:tr>
        <w:trPr>
          <w:trHeight w:val="149"/>
        </w:trPr>
        <w:tc>
          <w:tcPr>
            <w:tcW w:w="260" w:type="dxa"/>
            <w:vAlign w:val="bottom"/>
          </w:tcPr>
          <w:p>
            <w:pPr>
              <w:spacing w:after="0"/>
              <w:rPr>
                <w:sz w:val="12"/>
                <w:szCs w:val="12"/>
                <w:color w:val="auto"/>
              </w:rPr>
            </w:pPr>
          </w:p>
        </w:tc>
        <w:tc>
          <w:tcPr>
            <w:tcW w:w="100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91"/>
              </w:rPr>
              <w:t>Nov. 1,</w:t>
            </w:r>
          </w:p>
        </w:tc>
        <w:tc>
          <w:tcPr>
            <w:tcW w:w="340" w:type="dxa"/>
            <w:vAlign w:val="bottom"/>
          </w:tcPr>
          <w:p>
            <w:pPr>
              <w:spacing w:after="0"/>
              <w:rPr>
                <w:sz w:val="12"/>
                <w:szCs w:val="12"/>
                <w:color w:val="auto"/>
              </w:rPr>
            </w:pPr>
          </w:p>
        </w:tc>
        <w:tc>
          <w:tcPr>
            <w:tcW w:w="98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1"/>
              </w:rPr>
              <w:t>Nov. 3,</w:t>
            </w:r>
          </w:p>
        </w:tc>
      </w:tr>
      <w:tr>
        <w:trPr>
          <w:trHeight w:val="185"/>
        </w:trPr>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6"/>
              </w:rPr>
              <w:t>2008</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2007</w:t>
            </w:r>
          </w:p>
        </w:tc>
      </w:tr>
      <w:tr>
        <w:trPr>
          <w:trHeight w:val="164"/>
        </w:trPr>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2,582,931</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2,429,721</w:t>
            </w:r>
          </w:p>
        </w:tc>
      </w:tr>
      <w:tr>
        <w:trPr>
          <w:trHeight w:val="182"/>
        </w:trPr>
        <w:tc>
          <w:tcPr>
            <w:tcW w:w="26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w:t>
            </w:r>
          </w:p>
        </w:tc>
      </w:tr>
    </w:tbl>
    <w:p>
      <w:pPr>
        <w:spacing w:after="0" w:line="169" w:lineRule="exact"/>
        <w:rPr>
          <w:sz w:val="20"/>
          <w:szCs w:val="20"/>
          <w:color w:val="auto"/>
        </w:rPr>
      </w:pPr>
    </w:p>
    <w:p>
      <w:pPr>
        <w:ind w:left="1980" w:hanging="988"/>
        <w:spacing w:after="0"/>
        <w:tabs>
          <w:tab w:leader="none" w:pos="1980" w:val="left"/>
        </w:tabs>
        <w:numPr>
          <w:ilvl w:val="0"/>
          <w:numId w:val="1"/>
        </w:numPr>
        <w:rPr>
          <w:rFonts w:ascii="Arial" w:cs="Arial" w:eastAsia="Arial" w:hAnsi="Arial"/>
          <w:sz w:val="14"/>
          <w:szCs w:val="14"/>
          <w:color w:val="auto"/>
        </w:rPr>
      </w:pPr>
      <w:r>
        <w:rPr>
          <w:rFonts w:ascii="Arial" w:cs="Arial" w:eastAsia="Arial" w:hAnsi="Arial"/>
          <w:sz w:val="14"/>
          <w:szCs w:val="14"/>
          <w:color w:val="auto"/>
        </w:rPr>
        <w:t>35,000</w:t>
      </w:r>
    </w:p>
    <w:p>
      <w:pPr>
        <w:spacing w:after="0" w:line="28"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2,582,931</w:t>
      </w:r>
      <w:r>
        <w:rPr>
          <w:rFonts w:ascii="Arial" w:cs="Arial" w:eastAsia="Arial" w:hAnsi="Arial"/>
          <w:sz w:val="13"/>
          <w:szCs w:val="13"/>
          <w:color w:val="auto"/>
        </w:rPr>
        <w:t>2,464,721</w:t>
      </w:r>
    </w:p>
    <w:p>
      <w:pPr>
        <w:spacing w:after="0" w:line="21"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1,005,656</w:t>
      </w:r>
      <w:r>
        <w:rPr>
          <w:rFonts w:ascii="Arial" w:cs="Arial" w:eastAsia="Arial" w:hAnsi="Arial"/>
          <w:sz w:val="13"/>
          <w:szCs w:val="13"/>
          <w:color w:val="auto"/>
        </w:rPr>
        <w:t>956,445</w:t>
      </w:r>
    </w:p>
    <w:p>
      <w:pPr>
        <w:spacing w:after="0" w:line="21"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1,577,275</w:t>
      </w:r>
      <w:r>
        <w:rPr>
          <w:rFonts w:ascii="Arial" w:cs="Arial" w:eastAsia="Arial" w:hAnsi="Arial"/>
          <w:sz w:val="13"/>
          <w:szCs w:val="13"/>
          <w:color w:val="auto"/>
        </w:rPr>
        <w:t>1,508,276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-338455</wp:posOffset>
            </wp:positionV>
            <wp:extent cx="16376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376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-106680</wp:posOffset>
            </wp:positionV>
            <wp:extent cx="16376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376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wp:posOffset>
            </wp:positionV>
            <wp:extent cx="16376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533,480</w:t>
            </w:r>
          </w:p>
        </w:tc>
        <w:tc>
          <w:tcPr>
            <w:tcW w:w="44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509,553</w:t>
            </w:r>
          </w:p>
        </w:tc>
      </w:tr>
      <w:tr>
        <w:trPr>
          <w:trHeight w:val="176"/>
        </w:trPr>
        <w:tc>
          <w:tcPr>
            <w:tcW w:w="34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415,682</w:t>
            </w:r>
          </w:p>
        </w:tc>
        <w:tc>
          <w:tcPr>
            <w:tcW w:w="44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389,505</w:t>
            </w:r>
          </w:p>
        </w:tc>
      </w:tr>
      <w:tr>
        <w:trPr>
          <w:trHeight w:val="181"/>
        </w:trPr>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3,088</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40,495</w:t>
            </w:r>
          </w:p>
        </w:tc>
      </w:tr>
      <w:tr>
        <w:trPr>
          <w:trHeight w:val="164"/>
        </w:trPr>
        <w:tc>
          <w:tcPr>
            <w:tcW w:w="3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625,025</w:t>
            </w:r>
          </w:p>
        </w:tc>
        <w:tc>
          <w:tcPr>
            <w:tcW w:w="4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568,723</w:t>
            </w:r>
          </w:p>
        </w:tc>
      </w:tr>
      <w:tr>
        <w:trPr>
          <w:trHeight w:val="181"/>
        </w:trPr>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(41,077)</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(92,734)</w:t>
            </w:r>
          </w:p>
        </w:tc>
      </w:tr>
      <w:tr>
        <w:trPr>
          <w:trHeight w:val="164"/>
        </w:trPr>
        <w:tc>
          <w:tcPr>
            <w:tcW w:w="3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666,102</w:t>
            </w:r>
          </w:p>
        </w:tc>
        <w:tc>
          <w:tcPr>
            <w:tcW w:w="4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661,457</w:t>
            </w:r>
          </w:p>
        </w:tc>
      </w:tr>
      <w:tr>
        <w:trPr>
          <w:trHeight w:val="176"/>
        </w:trPr>
        <w:tc>
          <w:tcPr>
            <w:tcW w:w="34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140,925</w:t>
            </w:r>
          </w:p>
        </w:tc>
        <w:tc>
          <w:tcPr>
            <w:tcW w:w="44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159,553</w:t>
            </w:r>
          </w:p>
        </w:tc>
      </w:tr>
      <w:tr>
        <w:trPr>
          <w:trHeight w:val="181"/>
        </w:trPr>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219</w:t>
            </w:r>
          </w:p>
        </w:tc>
      </w:tr>
      <w:tr>
        <w:trPr>
          <w:trHeight w:val="169"/>
        </w:trPr>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525,177</w:t>
            </w: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502,123</w:t>
            </w:r>
          </w:p>
        </w:tc>
      </w:tr>
      <w:tr>
        <w:trPr>
          <w:trHeight w:val="339"/>
        </w:trPr>
        <w:tc>
          <w:tcPr>
            <w:tcW w:w="34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12,779</w:t>
            </w:r>
          </w:p>
        </w:tc>
        <w:tc>
          <w:tcPr>
            <w:tcW w:w="44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(5,216)</w:t>
            </w:r>
          </w:p>
        </w:tc>
      </w:tr>
      <w:tr>
        <w:trPr>
          <w:trHeight w:val="181"/>
        </w:trPr>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248,328</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r>
      <w:tr>
        <w:trPr>
          <w:trHeight w:val="169"/>
        </w:trPr>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261,107</w:t>
            </w: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(5,216)</w:t>
            </w:r>
          </w:p>
        </w:tc>
      </w:tr>
      <w:tr>
        <w:trPr>
          <w:trHeight w:val="169"/>
        </w:trPr>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786,284</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496,907</w:t>
            </w:r>
          </w:p>
        </w:tc>
      </w:tr>
      <w:tr>
        <w:trPr>
          <w:trHeight w:val="339"/>
        </w:trPr>
        <w:tc>
          <w:tcPr>
            <w:tcW w:w="34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292,688</w:t>
            </w:r>
          </w:p>
        </w:tc>
        <w:tc>
          <w:tcPr>
            <w:tcW w:w="44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323,255</w:t>
            </w:r>
          </w:p>
        </w:tc>
      </w:tr>
      <w:tr>
        <w:trPr>
          <w:trHeight w:val="182"/>
        </w:trPr>
        <w:tc>
          <w:tcPr>
            <w:tcW w:w="34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297,110</w:t>
            </w:r>
          </w:p>
        </w:tc>
        <w:tc>
          <w:tcPr>
            <w:tcW w:w="44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332,301</w:t>
            </w:r>
          </w:p>
        </w:tc>
      </w:tr>
      <w:tr>
        <w:trPr>
          <w:trHeight w:val="344"/>
        </w:trPr>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1.79</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1.55</w:t>
            </w:r>
          </w:p>
        </w:tc>
      </w:tr>
      <w:tr>
        <w:trPr>
          <w:trHeight w:val="182"/>
        </w:trPr>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1.77</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1.51</w:t>
            </w:r>
          </w:p>
        </w:tc>
      </w:tr>
      <w:tr>
        <w:trPr>
          <w:trHeight w:val="344"/>
        </w:trPr>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2.69</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1.54</w:t>
            </w:r>
          </w:p>
        </w:tc>
      </w:tr>
      <w:tr>
        <w:trPr>
          <w:trHeight w:val="182"/>
        </w:trPr>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2.65</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1.50</w:t>
            </w:r>
          </w:p>
        </w:tc>
      </w:tr>
      <w:tr>
        <w:trPr>
          <w:trHeight w:val="350"/>
        </w:trPr>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0.76</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0.70</w:t>
            </w:r>
          </w:p>
        </w:tc>
      </w:tr>
    </w:tbl>
    <w:p>
      <w:pPr>
        <w:spacing w:after="0" w:line="170" w:lineRule="exact"/>
        <w:rPr>
          <w:sz w:val="20"/>
          <w:szCs w:val="20"/>
          <w:color w:val="auto"/>
        </w:rPr>
      </w:pPr>
    </w:p>
    <w:p>
      <w:pPr>
        <w:sectPr>
          <w:pgSz w:w="11900" w:h="16838" w:orient="portrait"/>
          <w:cols w:equalWidth="0" w:num="2">
            <w:col w:w="8740" w:space="100"/>
            <w:col w:w="258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4460" w:type="dxa"/>
            <w:vAlign w:val="bottom"/>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1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460" w:type="dxa"/>
            <w:vAlign w:val="bottom"/>
          </w:tcPr>
          <w:p>
            <w:pPr>
              <w:ind w:left="480"/>
              <w:spacing w:after="0"/>
              <w:rPr>
                <w:sz w:val="20"/>
                <w:szCs w:val="20"/>
                <w:color w:val="auto"/>
              </w:rPr>
            </w:pPr>
            <w:r>
              <w:rPr>
                <w:rFonts w:ascii="Arial" w:cs="Arial" w:eastAsia="Arial" w:hAnsi="Arial"/>
                <w:sz w:val="14"/>
                <w:szCs w:val="14"/>
                <w:color w:val="auto"/>
              </w:rPr>
              <w:t>Cost of sales</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2,004</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1,943</w:t>
            </w:r>
          </w:p>
        </w:tc>
        <w:tc>
          <w:tcPr>
            <w:tcW w:w="4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2,579</w:t>
            </w:r>
          </w:p>
        </w:tc>
        <w:tc>
          <w:tcPr>
            <w:tcW w:w="5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7,806</w:t>
            </w: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10,591</w:t>
            </w:r>
          </w:p>
        </w:tc>
      </w:tr>
      <w:tr>
        <w:trPr>
          <w:trHeight w:val="176"/>
        </w:trPr>
        <w:tc>
          <w:tcPr>
            <w:tcW w:w="4460" w:type="dxa"/>
            <w:vAlign w:val="bottom"/>
          </w:tcPr>
          <w:p>
            <w:pPr>
              <w:ind w:left="480"/>
              <w:spacing w:after="0"/>
              <w:rPr>
                <w:sz w:val="20"/>
                <w:szCs w:val="20"/>
                <w:color w:val="auto"/>
              </w:rPr>
            </w:pPr>
            <w:r>
              <w:rPr>
                <w:rFonts w:ascii="Arial" w:cs="Arial" w:eastAsia="Arial" w:hAnsi="Arial"/>
                <w:sz w:val="14"/>
                <w:szCs w:val="14"/>
                <w:color w:val="auto"/>
              </w:rPr>
              <w:t>R&amp;D</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5,958</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6,178</w:t>
            </w:r>
          </w:p>
        </w:tc>
        <w:tc>
          <w:tcPr>
            <w:tcW w:w="4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7,310</w:t>
            </w:r>
          </w:p>
        </w:tc>
        <w:tc>
          <w:tcPr>
            <w:tcW w:w="5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23,768</w:t>
            </w: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29,347</w:t>
            </w:r>
          </w:p>
        </w:tc>
      </w:tr>
      <w:tr>
        <w:trPr>
          <w:trHeight w:val="182"/>
        </w:trPr>
        <w:tc>
          <w:tcPr>
            <w:tcW w:w="4460" w:type="dxa"/>
            <w:vAlign w:val="bottom"/>
          </w:tcPr>
          <w:p>
            <w:pPr>
              <w:ind w:left="480"/>
              <w:spacing w:after="0"/>
              <w:rPr>
                <w:sz w:val="20"/>
                <w:szCs w:val="20"/>
                <w:color w:val="auto"/>
              </w:rPr>
            </w:pPr>
            <w:r>
              <w:rPr>
                <w:rFonts w:ascii="Arial" w:cs="Arial" w:eastAsia="Arial" w:hAnsi="Arial"/>
                <w:sz w:val="14"/>
                <w:szCs w:val="14"/>
                <w:color w:val="auto"/>
              </w:rPr>
              <w:t>Selling, marketing and G&amp;A</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5,390</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5,452</w:t>
            </w:r>
          </w:p>
        </w:tc>
        <w:tc>
          <w:tcPr>
            <w:tcW w:w="4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6,342</w:t>
            </w:r>
          </w:p>
        </w:tc>
        <w:tc>
          <w:tcPr>
            <w:tcW w:w="5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20,970</w:t>
            </w: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27,329</w:t>
            </w:r>
          </w:p>
        </w:tc>
      </w:tr>
      <w:tr>
        <w:trPr>
          <w:trHeight w:val="134"/>
        </w:trPr>
        <w:tc>
          <w:tcPr>
            <w:tcW w:w="446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r>
      <w:tr>
        <w:trPr>
          <w:trHeight w:val="21"/>
        </w:trPr>
        <w:tc>
          <w:tcPr>
            <w:tcW w:w="44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Analog Devices, Fourth Quarter, Fiscal 2008</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23"/>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Schedule B</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Results of Discontinued Operations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 except per-share amounts)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51"/>
        </w:trPr>
        <w:tc>
          <w:tcPr>
            <w:tcW w:w="7180" w:type="dxa"/>
            <w:vAlign w:val="bottom"/>
            <w:gridSpan w:val="7"/>
          </w:tcPr>
          <w:p>
            <w:pPr>
              <w:spacing w:after="0"/>
              <w:rPr>
                <w:sz w:val="20"/>
                <w:szCs w:val="20"/>
                <w:color w:val="auto"/>
              </w:rPr>
            </w:pPr>
            <w:r>
              <w:rPr>
                <w:rFonts w:ascii="Arial" w:cs="Arial" w:eastAsia="Arial" w:hAnsi="Arial"/>
                <w:sz w:val="14"/>
                <w:szCs w:val="14"/>
                <w:color w:val="auto"/>
              </w:rPr>
              <w:t>The following table reflects the amounts reclassified from our continuing operations into discontinued operations: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0"/>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Borders>
              <w:bottom w:val="single" w:sz="8" w:color="auto"/>
            </w:tcBorders>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328"/>
              <w:spacing w:after="0" w:line="160" w:lineRule="exact"/>
              <w:rPr>
                <w:sz w:val="20"/>
                <w:szCs w:val="20"/>
                <w:color w:val="auto"/>
              </w:rPr>
            </w:pPr>
            <w:r>
              <w:rPr>
                <w:rFonts w:ascii="Arial" w:cs="Arial" w:eastAsia="Arial" w:hAnsi="Arial"/>
                <w:sz w:val="14"/>
                <w:szCs w:val="14"/>
                <w:b w:val="1"/>
                <w:bCs w:val="1"/>
                <w:color w:val="auto"/>
              </w:rPr>
              <w:t>4Q 08</w:t>
            </w:r>
          </w:p>
        </w:tc>
        <w:tc>
          <w:tcPr>
            <w:tcW w:w="200" w:type="dxa"/>
            <w:vAlign w:val="bottom"/>
          </w:tcPr>
          <w:p>
            <w:pPr>
              <w:spacing w:after="0"/>
              <w:rPr>
                <w:sz w:val="13"/>
                <w:szCs w:val="13"/>
                <w:color w:val="auto"/>
              </w:rPr>
            </w:pPr>
          </w:p>
        </w:tc>
        <w:tc>
          <w:tcPr>
            <w:tcW w:w="720" w:type="dxa"/>
            <w:vAlign w:val="bottom"/>
          </w:tcPr>
          <w:p>
            <w:pPr>
              <w:jc w:val="center"/>
              <w:ind w:right="148"/>
              <w:spacing w:after="0" w:line="160" w:lineRule="exact"/>
              <w:rPr>
                <w:sz w:val="20"/>
                <w:szCs w:val="20"/>
                <w:color w:val="auto"/>
              </w:rPr>
            </w:pPr>
            <w:r>
              <w:rPr>
                <w:rFonts w:ascii="Arial" w:cs="Arial" w:eastAsia="Arial" w:hAnsi="Arial"/>
                <w:sz w:val="14"/>
                <w:szCs w:val="14"/>
                <w:b w:val="1"/>
                <w:bCs w:val="1"/>
                <w:color w:val="auto"/>
                <w:w w:val="99"/>
              </w:rPr>
              <w:t>3Q 08</w:t>
            </w:r>
          </w:p>
        </w:tc>
        <w:tc>
          <w:tcPr>
            <w:tcW w:w="200" w:type="dxa"/>
            <w:vAlign w:val="bottom"/>
          </w:tcPr>
          <w:p>
            <w:pPr>
              <w:spacing w:after="0"/>
              <w:rPr>
                <w:sz w:val="13"/>
                <w:szCs w:val="13"/>
                <w:color w:val="auto"/>
              </w:rPr>
            </w:pPr>
          </w:p>
        </w:tc>
        <w:tc>
          <w:tcPr>
            <w:tcW w:w="920" w:type="dxa"/>
            <w:vAlign w:val="bottom"/>
          </w:tcPr>
          <w:p>
            <w:pPr>
              <w:jc w:val="right"/>
              <w:ind w:right="308"/>
              <w:spacing w:after="0" w:line="160" w:lineRule="exact"/>
              <w:rPr>
                <w:sz w:val="20"/>
                <w:szCs w:val="20"/>
                <w:color w:val="auto"/>
              </w:rPr>
            </w:pPr>
            <w:r>
              <w:rPr>
                <w:rFonts w:ascii="Arial" w:cs="Arial" w:eastAsia="Arial" w:hAnsi="Arial"/>
                <w:sz w:val="14"/>
                <w:szCs w:val="14"/>
                <w:b w:val="1"/>
                <w:bCs w:val="1"/>
                <w:color w:val="auto"/>
              </w:rPr>
              <w:t>4Q 07</w:t>
            </w: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w w:val="91"/>
              </w:rPr>
              <w:t>Nov. 1, 2008</w:t>
            </w:r>
          </w:p>
        </w:tc>
        <w:tc>
          <w:tcPr>
            <w:tcW w:w="200" w:type="dxa"/>
            <w:vAlign w:val="bottom"/>
          </w:tcPr>
          <w:p>
            <w:pPr>
              <w:spacing w:after="0"/>
              <w:rPr>
                <w:sz w:val="12"/>
                <w:szCs w:val="12"/>
                <w:color w:val="auto"/>
              </w:rPr>
            </w:pPr>
          </w:p>
        </w:tc>
        <w:tc>
          <w:tcPr>
            <w:tcW w:w="72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w w:val="94"/>
              </w:rPr>
              <w:t>Aug. 2,</w:t>
            </w:r>
          </w:p>
        </w:tc>
        <w:tc>
          <w:tcPr>
            <w:tcW w:w="200" w:type="dxa"/>
            <w:vAlign w:val="bottom"/>
          </w:tcPr>
          <w:p>
            <w:pPr>
              <w:spacing w:after="0"/>
              <w:rPr>
                <w:sz w:val="12"/>
                <w:szCs w:val="12"/>
                <w:color w:val="auto"/>
              </w:rPr>
            </w:pP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88"/>
              </w:rPr>
              <w:t>Nov. 3, 2007</w:t>
            </w:r>
          </w:p>
        </w:tc>
      </w:tr>
      <w:tr>
        <w:trPr>
          <w:trHeight w:val="185"/>
        </w:trPr>
        <w:tc>
          <w:tcPr>
            <w:tcW w:w="20" w:type="dxa"/>
            <w:vAlign w:val="bottom"/>
          </w:tcPr>
          <w:p>
            <w:pPr>
              <w:spacing w:after="0"/>
              <w:rPr>
                <w:sz w:val="16"/>
                <w:szCs w:val="16"/>
                <w:color w:val="auto"/>
              </w:rPr>
            </w:pPr>
          </w:p>
        </w:tc>
        <w:tc>
          <w:tcPr>
            <w:tcW w:w="4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Total revenue</w:t>
            </w:r>
          </w:p>
        </w:tc>
        <w:tc>
          <w:tcPr>
            <w:tcW w:w="19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21,833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25,274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75,227</w:t>
            </w:r>
          </w:p>
        </w:tc>
      </w:tr>
      <w:tr>
        <w:trPr>
          <w:trHeight w:val="181"/>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Cost of sales</w:t>
            </w: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21,591</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20,941</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50,945</w:t>
            </w:r>
          </w:p>
        </w:tc>
      </w:tr>
      <w:tr>
        <w:trPr>
          <w:trHeight w:val="169"/>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Gross margin</w:t>
            </w:r>
          </w:p>
        </w:tc>
        <w:tc>
          <w:tcPr>
            <w:tcW w:w="1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242</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4,333</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24,282</w:t>
            </w:r>
          </w:p>
        </w:tc>
      </w:tr>
      <w:tr>
        <w:trPr>
          <w:trHeight w:val="164"/>
        </w:trPr>
        <w:tc>
          <w:tcPr>
            <w:tcW w:w="426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240" w:type="dxa"/>
            <w:vAlign w:val="bottom"/>
          </w:tcPr>
          <w:p>
            <w:pPr>
              <w:ind w:left="200"/>
              <w:spacing w:after="0"/>
              <w:rPr>
                <w:sz w:val="20"/>
                <w:szCs w:val="20"/>
                <w:color w:val="auto"/>
              </w:rPr>
            </w:pPr>
            <w:r>
              <w:rPr>
                <w:rFonts w:ascii="Arial" w:cs="Arial" w:eastAsia="Arial" w:hAnsi="Arial"/>
                <w:sz w:val="14"/>
                <w:szCs w:val="14"/>
                <w:color w:val="auto"/>
              </w:rPr>
              <w:t>R&amp;D</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214</w:t>
            </w:r>
          </w:p>
        </w:tc>
        <w:tc>
          <w:tcPr>
            <w:tcW w:w="20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2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19,701</w:t>
            </w:r>
          </w:p>
        </w:tc>
      </w:tr>
      <w:tr>
        <w:trPr>
          <w:trHeight w:val="181"/>
        </w:trPr>
        <w:tc>
          <w:tcPr>
            <w:tcW w:w="20" w:type="dxa"/>
            <w:vAlign w:val="bottom"/>
          </w:tcPr>
          <w:p>
            <w:pPr>
              <w:spacing w:after="0"/>
              <w:rPr>
                <w:sz w:val="15"/>
                <w:szCs w:val="15"/>
                <w:color w:val="auto"/>
              </w:rPr>
            </w:pPr>
          </w:p>
        </w:tc>
        <w:tc>
          <w:tcPr>
            <w:tcW w:w="42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Selling, marketing and G&amp;A</w:t>
            </w: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336</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2,630</w:t>
            </w:r>
          </w:p>
        </w:tc>
      </w:tr>
      <w:tr>
        <w:trPr>
          <w:trHeight w:val="164"/>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Operating (loss) income from discontinued operations</w:t>
            </w: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(308)</w:t>
            </w:r>
          </w:p>
        </w:tc>
        <w:tc>
          <w:tcPr>
            <w:tcW w:w="2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4,438</w:t>
            </w:r>
          </w:p>
        </w:tc>
        <w:tc>
          <w:tcPr>
            <w:tcW w:w="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1,951</w:t>
            </w:r>
          </w:p>
        </w:tc>
      </w:tr>
      <w:tr>
        <w:trPr>
          <w:trHeight w:val="181"/>
        </w:trPr>
        <w:tc>
          <w:tcPr>
            <w:tcW w:w="4260" w:type="dxa"/>
            <w:vAlign w:val="bottom"/>
            <w:gridSpan w:val="2"/>
          </w:tcPr>
          <w:p>
            <w:pPr>
              <w:spacing w:after="0"/>
              <w:rPr>
                <w:sz w:val="20"/>
                <w:szCs w:val="20"/>
                <w:color w:val="auto"/>
              </w:rPr>
            </w:pPr>
            <w:r>
              <w:rPr>
                <w:rFonts w:ascii="Arial" w:cs="Arial" w:eastAsia="Arial" w:hAnsi="Arial"/>
                <w:sz w:val="14"/>
                <w:szCs w:val="14"/>
                <w:color w:val="auto"/>
              </w:rPr>
              <w:t>Gain on sale of business</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6,578</w:t>
            </w:r>
          </w:p>
        </w:tc>
        <w:tc>
          <w:tcPr>
            <w:tcW w:w="2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69"/>
        </w:trPr>
        <w:tc>
          <w:tcPr>
            <w:tcW w:w="20" w:type="dxa"/>
            <w:vAlign w:val="bottom"/>
          </w:tcPr>
          <w:p>
            <w:pPr>
              <w:spacing w:after="0"/>
              <w:rPr>
                <w:sz w:val="14"/>
                <w:szCs w:val="14"/>
                <w:color w:val="auto"/>
              </w:rPr>
            </w:pPr>
          </w:p>
        </w:tc>
        <w:tc>
          <w:tcPr>
            <w:tcW w:w="4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(Loss) income before income taxes from discontinued operations</w:t>
            </w:r>
          </w:p>
        </w:tc>
        <w:tc>
          <w:tcPr>
            <w:tcW w:w="1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(308)</w:t>
            </w: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11,016</w:t>
            </w: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1,951</w:t>
            </w:r>
          </w:p>
        </w:tc>
      </w:tr>
      <w:tr>
        <w:trPr>
          <w:trHeight w:val="169"/>
        </w:trPr>
        <w:tc>
          <w:tcPr>
            <w:tcW w:w="20" w:type="dxa"/>
            <w:vAlign w:val="bottom"/>
          </w:tcPr>
          <w:p>
            <w:pPr>
              <w:spacing w:after="0"/>
              <w:rPr>
                <w:sz w:val="14"/>
                <w:szCs w:val="14"/>
                <w:color w:val="auto"/>
              </w:rPr>
            </w:pPr>
          </w:p>
        </w:tc>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5"/>
              </w:rPr>
              <w:t>Provision for (benefit from) income taxes from discontinued operations</w:t>
            </w:r>
          </w:p>
        </w:tc>
        <w:tc>
          <w:tcPr>
            <w:tcW w:w="1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1,603</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(1,252)</w:t>
            </w:r>
          </w:p>
        </w:tc>
      </w:tr>
      <w:tr>
        <w:trPr>
          <w:trHeight w:val="169"/>
        </w:trPr>
        <w:tc>
          <w:tcPr>
            <w:tcW w:w="20" w:type="dxa"/>
            <w:vAlign w:val="bottom"/>
          </w:tcPr>
          <w:p>
            <w:pPr>
              <w:spacing w:after="0"/>
              <w:rPr>
                <w:sz w:val="14"/>
                <w:szCs w:val="14"/>
                <w:color w:val="auto"/>
              </w:rPr>
            </w:pPr>
          </w:p>
        </w:tc>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(Loss) income from discontinued operations, net of tax</w:t>
            </w:r>
          </w:p>
        </w:tc>
        <w:tc>
          <w:tcPr>
            <w:tcW w:w="1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3,203</w:t>
            </w: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13379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80" w:type="dxa"/>
            <w:vAlign w:val="bottom"/>
            <w:tcBorders>
              <w:top w:val="single" w:sz="8" w:color="auto"/>
            </w:tcBorders>
          </w:tcPr>
          <w:p>
            <w:pPr>
              <w:jc w:val="center"/>
              <w:ind w:right="28"/>
              <w:spacing w:after="0" w:line="160" w:lineRule="exact"/>
              <w:rPr>
                <w:sz w:val="20"/>
                <w:szCs w:val="20"/>
                <w:color w:val="auto"/>
              </w:rPr>
            </w:pPr>
            <w:r>
              <w:rPr>
                <w:rFonts w:ascii="Arial" w:cs="Arial" w:eastAsia="Arial" w:hAnsi="Arial"/>
                <w:sz w:val="14"/>
                <w:szCs w:val="14"/>
                <w:b w:val="1"/>
                <w:bCs w:val="1"/>
                <w:color w:val="auto"/>
                <w:w w:val="96"/>
              </w:rPr>
              <w:t>FY 08</w:t>
            </w:r>
          </w:p>
        </w:tc>
        <w:tc>
          <w:tcPr>
            <w:tcW w:w="92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6"/>
              </w:rPr>
              <w:t>FY 07</w:t>
            </w:r>
          </w:p>
        </w:tc>
      </w:tr>
      <w:tr>
        <w:trPr>
          <w:trHeight w:val="149"/>
        </w:trPr>
        <w:tc>
          <w:tcPr>
            <w:tcW w:w="11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Nov. 1, 2008</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Nov. 3,</w:t>
            </w:r>
          </w:p>
        </w:tc>
      </w:tr>
      <w:tr>
        <w:trPr>
          <w:trHeight w:val="186"/>
        </w:trPr>
        <w:tc>
          <w:tcPr>
            <w:tcW w:w="11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13379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640" w:hanging="570"/>
        <w:spacing w:after="0"/>
        <w:tabs>
          <w:tab w:leader="none" w:pos="640" w:val="left"/>
        </w:tabs>
        <w:numPr>
          <w:ilvl w:val="0"/>
          <w:numId w:val="2"/>
        </w:numPr>
        <w:rPr>
          <w:rFonts w:ascii="Arial" w:cs="Arial" w:eastAsia="Arial" w:hAnsi="Arial"/>
          <w:sz w:val="14"/>
          <w:szCs w:val="14"/>
          <w:color w:val="auto"/>
        </w:rPr>
      </w:pPr>
      <w:r>
        <w:rPr>
          <w:rFonts w:ascii="Arial" w:cs="Arial" w:eastAsia="Arial" w:hAnsi="Arial"/>
          <w:sz w:val="14"/>
          <w:szCs w:val="14"/>
          <w:color w:val="auto"/>
        </w:rPr>
        <w:t>115,600  $   275,106</w:t>
      </w:r>
    </w:p>
    <w:p>
      <w:pPr>
        <w:spacing w:after="0" w:line="21" w:lineRule="exact"/>
        <w:rPr>
          <w:rFonts w:ascii="Arial" w:cs="Arial" w:eastAsia="Arial" w:hAnsi="Arial"/>
          <w:sz w:val="14"/>
          <w:szCs w:val="14"/>
          <w:color w:val="auto"/>
        </w:rPr>
      </w:pPr>
    </w:p>
    <w:p>
      <w:pPr>
        <w:ind w:left="700"/>
        <w:spacing w:after="0"/>
        <w:rPr>
          <w:rFonts w:ascii="Arial" w:cs="Arial" w:eastAsia="Arial" w:hAnsi="Arial"/>
          <w:sz w:val="14"/>
          <w:szCs w:val="14"/>
          <w:color w:val="auto"/>
        </w:rPr>
      </w:pPr>
      <w:r>
        <w:rPr>
          <w:rFonts w:ascii="Arial" w:cs="Arial" w:eastAsia="Arial" w:hAnsi="Arial"/>
          <w:sz w:val="14"/>
          <w:szCs w:val="14"/>
          <w:color w:val="auto"/>
        </w:rPr>
        <w:t>95,070</w:t>
      </w:r>
      <w:r>
        <w:rPr>
          <w:rFonts w:ascii="Arial" w:cs="Arial" w:eastAsia="Arial" w:hAnsi="Arial"/>
          <w:sz w:val="13"/>
          <w:szCs w:val="13"/>
          <w:color w:val="auto"/>
        </w:rPr>
        <w:t>197,965</w:t>
      </w:r>
    </w:p>
    <w:p>
      <w:pPr>
        <w:spacing w:after="0" w:line="21" w:lineRule="exact"/>
        <w:rPr>
          <w:rFonts w:ascii="Arial" w:cs="Arial" w:eastAsia="Arial" w:hAnsi="Arial"/>
          <w:sz w:val="14"/>
          <w:szCs w:val="14"/>
          <w:color w:val="auto"/>
        </w:rPr>
      </w:pPr>
    </w:p>
    <w:p>
      <w:pPr>
        <w:ind w:left="700"/>
        <w:spacing w:after="0"/>
        <w:rPr>
          <w:rFonts w:ascii="Arial" w:cs="Arial" w:eastAsia="Arial" w:hAnsi="Arial"/>
          <w:sz w:val="14"/>
          <w:szCs w:val="14"/>
          <w:color w:val="auto"/>
        </w:rPr>
      </w:pPr>
      <w:r>
        <w:rPr>
          <w:rFonts w:ascii="Arial" w:cs="Arial" w:eastAsia="Arial" w:hAnsi="Arial"/>
          <w:sz w:val="14"/>
          <w:szCs w:val="14"/>
          <w:color w:val="auto"/>
        </w:rPr>
        <w:t>20,530</w:t>
      </w:r>
      <w:r>
        <w:rPr>
          <w:rFonts w:ascii="Arial" w:cs="Arial" w:eastAsia="Arial" w:hAnsi="Arial"/>
          <w:sz w:val="13"/>
          <w:szCs w:val="13"/>
          <w:color w:val="auto"/>
        </w:rPr>
        <w:t>77,141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13379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379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12700</wp:posOffset>
            </wp:positionV>
            <wp:extent cx="13379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12,639</w:t>
            </w:r>
          </w:p>
        </w:tc>
        <w:tc>
          <w:tcPr>
            <w:tcW w:w="2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80,977</w:t>
            </w:r>
          </w:p>
        </w:tc>
      </w:tr>
      <w:tr>
        <w:trPr>
          <w:trHeight w:val="181"/>
        </w:trPr>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2,312</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10,639</w:t>
            </w:r>
          </w:p>
        </w:tc>
      </w:tr>
      <w:tr>
        <w:trPr>
          <w:trHeight w:val="164"/>
        </w:trPr>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5,579</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(14,475)</w:t>
            </w:r>
          </w:p>
        </w:tc>
      </w:tr>
      <w:tr>
        <w:trPr>
          <w:trHeight w:val="181"/>
        </w:trPr>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362,594</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69"/>
        </w:trPr>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368,173</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(14,475)</w:t>
            </w:r>
          </w:p>
        </w:tc>
      </w:tr>
      <w:tr>
        <w:trPr>
          <w:trHeight w:val="169"/>
        </w:trPr>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107,066</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(9,259)</w:t>
            </w:r>
          </w:p>
        </w:tc>
      </w:tr>
      <w:tr>
        <w:trPr>
          <w:trHeight w:val="169"/>
        </w:trPr>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261,107</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(5,216)</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9220" w:space="100"/>
            <w:col w:w="2100"/>
          </w:cols>
          <w:pgMar w:left="240" w:top="130" w:right="239" w:bottom="1440" w:gutter="0" w:footer="0" w:header="0"/>
        </w:sectPr>
      </w:pPr>
    </w:p>
    <w:tbl>
      <w:tblPr>
        <w:tblLayout w:type="fixed"/>
        <w:tblInd w:w="0" w:type="dxa"/>
        <w:tblCellMar>
          <w:top w:w="0" w:type="dxa"/>
          <w:left w:w="0" w:type="dxa"/>
          <w:bottom w:w="0" w:type="dxa"/>
          <w:right w:w="0" w:type="dxa"/>
        </w:tblCellMar>
      </w:tblPr>
      <w:tr>
        <w:trPr>
          <w:trHeight w:val="176"/>
        </w:trPr>
        <w:tc>
          <w:tcPr>
            <w:tcW w:w="4920" w:type="dxa"/>
            <w:vAlign w:val="bottom"/>
          </w:tcPr>
          <w:p>
            <w:pPr>
              <w:spacing w:after="0"/>
              <w:rPr>
                <w:sz w:val="20"/>
                <w:szCs w:val="20"/>
                <w:color w:val="auto"/>
              </w:rPr>
            </w:pPr>
            <w:r>
              <w:rPr>
                <w:rFonts w:ascii="Arial" w:cs="Arial" w:eastAsia="Arial" w:hAnsi="Arial"/>
                <w:sz w:val="14"/>
                <w:szCs w:val="14"/>
                <w:color w:val="auto"/>
              </w:rPr>
              <w:t>(Loss) earnings per share from discontinued operations - basic</w:t>
            </w:r>
          </w:p>
        </w:tc>
        <w:tc>
          <w:tcPr>
            <w:tcW w:w="15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(0.00)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0.03</w:t>
            </w:r>
          </w:p>
        </w:tc>
        <w:tc>
          <w:tcPr>
            <w:tcW w:w="5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0.01</w:t>
            </w:r>
          </w:p>
        </w:tc>
        <w:tc>
          <w:tcPr>
            <w:tcW w:w="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0.89</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182"/>
        </w:trPr>
        <w:tc>
          <w:tcPr>
            <w:tcW w:w="4920" w:type="dxa"/>
            <w:vAlign w:val="bottom"/>
          </w:tcPr>
          <w:p>
            <w:pPr>
              <w:spacing w:after="0"/>
              <w:rPr>
                <w:sz w:val="20"/>
                <w:szCs w:val="20"/>
                <w:color w:val="auto"/>
              </w:rPr>
            </w:pPr>
            <w:r>
              <w:rPr>
                <w:rFonts w:ascii="Arial" w:cs="Arial" w:eastAsia="Arial" w:hAnsi="Arial"/>
                <w:sz w:val="14"/>
                <w:szCs w:val="14"/>
                <w:color w:val="auto"/>
              </w:rPr>
              <w:t>(Loss) earnings per share from discontinued operations - diluted</w:t>
            </w:r>
          </w:p>
        </w:tc>
        <w:tc>
          <w:tcPr>
            <w:tcW w:w="15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(0.00)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0.03</w:t>
            </w:r>
          </w:p>
        </w:tc>
        <w:tc>
          <w:tcPr>
            <w:tcW w:w="5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0.01</w:t>
            </w:r>
          </w:p>
        </w:tc>
        <w:tc>
          <w:tcPr>
            <w:tcW w:w="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0.88</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134"/>
        </w:trPr>
        <w:tc>
          <w:tcPr>
            <w:tcW w:w="492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r>
      <w:tr>
        <w:trPr>
          <w:trHeight w:val="21"/>
        </w:trPr>
        <w:tc>
          <w:tcPr>
            <w:tcW w:w="492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500" w:type="dxa"/>
            <w:vAlign w:val="bottom"/>
            <w:gridSpan w:val="3"/>
          </w:tcPr>
          <w:p>
            <w:pPr>
              <w:jc w:val="center"/>
              <w:ind w:left="628"/>
              <w:spacing w:after="0"/>
              <w:rPr>
                <w:sz w:val="20"/>
                <w:szCs w:val="20"/>
                <w:color w:val="auto"/>
              </w:rPr>
            </w:pPr>
            <w:r>
              <w:rPr>
                <w:rFonts w:ascii="Arial" w:cs="Arial" w:eastAsia="Arial" w:hAnsi="Arial"/>
                <w:sz w:val="14"/>
                <w:szCs w:val="14"/>
                <w:b w:val="1"/>
                <w:bCs w:val="1"/>
                <w:color w:val="auto"/>
                <w:w w:val="92"/>
              </w:rPr>
              <w:t>Analog Devices, Fourth Quarter, Fiscal 2008</w:t>
            </w: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2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Schedule C</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500" w:type="dxa"/>
            <w:vAlign w:val="bottom"/>
            <w:gridSpan w:val="3"/>
          </w:tcPr>
          <w:p>
            <w:pPr>
              <w:jc w:val="center"/>
              <w:ind w:left="648"/>
              <w:spacing w:after="0"/>
              <w:rPr>
                <w:sz w:val="20"/>
                <w:szCs w:val="20"/>
                <w:color w:val="auto"/>
              </w:rPr>
            </w:pPr>
            <w:r>
              <w:rPr>
                <w:rFonts w:ascii="Arial" w:cs="Arial" w:eastAsia="Arial" w:hAnsi="Arial"/>
                <w:sz w:val="14"/>
                <w:szCs w:val="14"/>
                <w:b w:val="1"/>
                <w:bCs w:val="1"/>
                <w:color w:val="auto"/>
                <w:w w:val="93"/>
              </w:rPr>
              <w:t>Selected Balance Sheet Information (GAAP)</w:t>
            </w: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500" w:type="dxa"/>
            <w:vAlign w:val="bottom"/>
            <w:gridSpan w:val="3"/>
          </w:tcPr>
          <w:p>
            <w:pPr>
              <w:jc w:val="center"/>
              <w:ind w:left="648"/>
              <w:spacing w:after="0"/>
              <w:rPr>
                <w:sz w:val="20"/>
                <w:szCs w:val="20"/>
                <w:color w:val="auto"/>
              </w:rPr>
            </w:pPr>
            <w:r>
              <w:rPr>
                <w:rFonts w:ascii="Arial" w:cs="Arial" w:eastAsia="Arial" w:hAnsi="Arial"/>
                <w:sz w:val="14"/>
                <w:szCs w:val="14"/>
                <w:b w:val="1"/>
                <w:bCs w:val="1"/>
                <w:color w:val="auto"/>
                <w:w w:val="93"/>
              </w:rPr>
              <w:t>(In thousands)</w:t>
            </w: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jc w:val="center"/>
              <w:ind w:right="568"/>
              <w:spacing w:after="0"/>
              <w:rPr>
                <w:sz w:val="20"/>
                <w:szCs w:val="20"/>
                <w:color w:val="auto"/>
              </w:rPr>
            </w:pPr>
            <w:r>
              <w:rPr>
                <w:rFonts w:ascii="Arial" w:cs="Arial" w:eastAsia="Arial" w:hAnsi="Arial"/>
                <w:sz w:val="14"/>
                <w:szCs w:val="14"/>
                <w:b w:val="1"/>
                <w:bCs w:val="1"/>
                <w:color w:val="auto"/>
                <w:w w:val="94"/>
              </w:rPr>
              <w:t>4Q 08</w:t>
            </w:r>
          </w:p>
        </w:tc>
        <w:tc>
          <w:tcPr>
            <w:tcW w:w="360" w:type="dxa"/>
            <w:vAlign w:val="bottom"/>
          </w:tcPr>
          <w:p>
            <w:pPr>
              <w:spacing w:after="0"/>
              <w:rPr>
                <w:sz w:val="24"/>
                <w:szCs w:val="24"/>
                <w:color w:val="auto"/>
              </w:rPr>
            </w:pPr>
          </w:p>
        </w:tc>
        <w:tc>
          <w:tcPr>
            <w:tcW w:w="1300" w:type="dxa"/>
            <w:vAlign w:val="bottom"/>
          </w:tcPr>
          <w:p>
            <w:pPr>
              <w:jc w:val="center"/>
              <w:ind w:right="408"/>
              <w:spacing w:after="0"/>
              <w:rPr>
                <w:sz w:val="20"/>
                <w:szCs w:val="20"/>
                <w:color w:val="auto"/>
              </w:rPr>
            </w:pPr>
            <w:r>
              <w:rPr>
                <w:rFonts w:ascii="Arial" w:cs="Arial" w:eastAsia="Arial" w:hAnsi="Arial"/>
                <w:sz w:val="14"/>
                <w:szCs w:val="14"/>
                <w:b w:val="1"/>
                <w:bCs w:val="1"/>
                <w:color w:val="auto"/>
                <w:w w:val="99"/>
              </w:rPr>
              <w:t>3Q 08</w:t>
            </w:r>
          </w:p>
        </w:tc>
        <w:tc>
          <w:tcPr>
            <w:tcW w:w="38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4Q 07</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jc w:val="right"/>
              <w:ind w:right="568"/>
              <w:spacing w:after="0" w:line="149" w:lineRule="exact"/>
              <w:rPr>
                <w:sz w:val="20"/>
                <w:szCs w:val="20"/>
                <w:color w:val="auto"/>
              </w:rPr>
            </w:pPr>
            <w:r>
              <w:rPr>
                <w:rFonts w:ascii="Arial" w:cs="Arial" w:eastAsia="Arial" w:hAnsi="Arial"/>
                <w:sz w:val="14"/>
                <w:szCs w:val="14"/>
                <w:b w:val="1"/>
                <w:bCs w:val="1"/>
                <w:color w:val="auto"/>
                <w:w w:val="91"/>
              </w:rPr>
              <w:t>Nov. 1,</w:t>
            </w:r>
          </w:p>
        </w:tc>
        <w:tc>
          <w:tcPr>
            <w:tcW w:w="360" w:type="dxa"/>
            <w:vAlign w:val="bottom"/>
          </w:tcPr>
          <w:p>
            <w:pPr>
              <w:spacing w:after="0"/>
              <w:rPr>
                <w:sz w:val="12"/>
                <w:szCs w:val="12"/>
                <w:color w:val="auto"/>
              </w:rPr>
            </w:pPr>
          </w:p>
        </w:tc>
        <w:tc>
          <w:tcPr>
            <w:tcW w:w="1300" w:type="dxa"/>
            <w:vAlign w:val="bottom"/>
          </w:tcPr>
          <w:p>
            <w:pPr>
              <w:jc w:val="right"/>
              <w:ind w:right="608"/>
              <w:spacing w:after="0" w:line="149" w:lineRule="exact"/>
              <w:rPr>
                <w:sz w:val="20"/>
                <w:szCs w:val="20"/>
                <w:color w:val="auto"/>
              </w:rPr>
            </w:pPr>
            <w:r>
              <w:rPr>
                <w:rFonts w:ascii="Arial" w:cs="Arial" w:eastAsia="Arial" w:hAnsi="Arial"/>
                <w:sz w:val="14"/>
                <w:szCs w:val="14"/>
                <w:b w:val="1"/>
                <w:bCs w:val="1"/>
                <w:color w:val="auto"/>
              </w:rPr>
              <w:t>Aug. 2,</w:t>
            </w:r>
          </w:p>
        </w:tc>
        <w:tc>
          <w:tcPr>
            <w:tcW w:w="38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Nov. 3,</w:t>
            </w:r>
          </w:p>
        </w:tc>
      </w:tr>
      <w:tr>
        <w:trPr>
          <w:trHeight w:val="185"/>
        </w:trPr>
        <w:tc>
          <w:tcPr>
            <w:tcW w:w="20" w:type="dxa"/>
            <w:vAlign w:val="bottom"/>
          </w:tcPr>
          <w:p>
            <w:pPr>
              <w:spacing w:after="0"/>
              <w:rPr>
                <w:sz w:val="16"/>
                <w:szCs w:val="16"/>
                <w:color w:val="auto"/>
              </w:rPr>
            </w:pPr>
          </w:p>
        </w:tc>
        <w:tc>
          <w:tcPr>
            <w:tcW w:w="3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2008</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2008</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Arial" w:cs="Arial" w:eastAsia="Arial" w:hAnsi="Arial"/>
                <w:sz w:val="14"/>
                <w:szCs w:val="14"/>
                <w:color w:val="auto"/>
              </w:rPr>
              <w:t>Cash &amp; short-term investments</w:t>
            </w:r>
          </w:p>
        </w:tc>
        <w:tc>
          <w:tcPr>
            <w:tcW w:w="350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1,309,686</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1,277,644</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1,081,207</w:t>
            </w:r>
          </w:p>
        </w:tc>
        <w:tc>
          <w:tcPr>
            <w:tcW w:w="20" w:type="dxa"/>
            <w:vAlign w:val="bottom"/>
          </w:tcPr>
          <w:p>
            <w:pPr>
              <w:spacing w:after="0"/>
              <w:rPr>
                <w:sz w:val="14"/>
                <w:szCs w:val="14"/>
                <w:color w:val="auto"/>
              </w:rPr>
            </w:pP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315,290</w:t>
            </w:r>
          </w:p>
        </w:tc>
        <w:tc>
          <w:tcPr>
            <w:tcW w:w="36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326,456</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323,777</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Inventories (1)</w:t>
            </w: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314,629</w:t>
            </w:r>
          </w:p>
        </w:tc>
        <w:tc>
          <w:tcPr>
            <w:tcW w:w="36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309,870</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324,373</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Current assets of discontinued operations</w:t>
            </w: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5,894</w:t>
            </w:r>
          </w:p>
        </w:tc>
        <w:tc>
          <w:tcPr>
            <w:tcW w:w="36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9,895</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87,457</w:t>
            </w:r>
          </w:p>
        </w:tc>
      </w:tr>
      <w:tr>
        <w:trPr>
          <w:trHeight w:val="181"/>
        </w:trPr>
        <w:tc>
          <w:tcPr>
            <w:tcW w:w="360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144,078</w:t>
            </w:r>
          </w:p>
        </w:tc>
        <w:tc>
          <w:tcPr>
            <w:tcW w:w="36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133,323</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162,038</w:t>
            </w:r>
          </w:p>
        </w:tc>
      </w:tr>
      <w:tr>
        <w:trPr>
          <w:trHeight w:val="164"/>
        </w:trPr>
        <w:tc>
          <w:tcPr>
            <w:tcW w:w="20" w:type="dxa"/>
            <w:vAlign w:val="bottom"/>
          </w:tcPr>
          <w:p>
            <w:pPr>
              <w:spacing w:after="0"/>
              <w:rPr>
                <w:sz w:val="14"/>
                <w:szCs w:val="14"/>
                <w:color w:val="auto"/>
              </w:rPr>
            </w:pPr>
          </w:p>
        </w:tc>
        <w:tc>
          <w:tcPr>
            <w:tcW w:w="358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Total current assets</w:t>
            </w:r>
          </w:p>
        </w:tc>
        <w:tc>
          <w:tcPr>
            <w:tcW w:w="17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2,089,577</w:t>
            </w:r>
          </w:p>
        </w:tc>
        <w:tc>
          <w:tcPr>
            <w:tcW w:w="3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2,057,188</w:t>
            </w: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1,978,852</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PP&amp;E, net</w:t>
            </w: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567,439</w:t>
            </w:r>
          </w:p>
        </w:tc>
        <w:tc>
          <w:tcPr>
            <w:tcW w:w="36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558,312</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556,075</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32,054</w:t>
            </w:r>
          </w:p>
        </w:tc>
        <w:tc>
          <w:tcPr>
            <w:tcW w:w="36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33,882</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36,902</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Goodwill and intangible assets</w:t>
            </w: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247,475</w:t>
            </w:r>
          </w:p>
        </w:tc>
        <w:tc>
          <w:tcPr>
            <w:tcW w:w="36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277,524</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303,622</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Other</w:t>
            </w: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92,410</w:t>
            </w:r>
          </w:p>
        </w:tc>
        <w:tc>
          <w:tcPr>
            <w:tcW w:w="36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103,868</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95,491</w:t>
            </w:r>
          </w:p>
        </w:tc>
      </w:tr>
      <w:tr>
        <w:trPr>
          <w:trHeight w:val="181"/>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Non-current assets of discontinued operations</w:t>
            </w:r>
          </w:p>
        </w:tc>
        <w:tc>
          <w:tcPr>
            <w:tcW w:w="17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62,037</w:t>
            </w: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62,037</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69"/>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assets</w:t>
            </w:r>
          </w:p>
        </w:tc>
        <w:tc>
          <w:tcPr>
            <w:tcW w:w="35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3,090,992</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3,092,811</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2,970,942</w:t>
            </w:r>
          </w:p>
        </w:tc>
      </w:tr>
      <w:tr>
        <w:trPr>
          <w:trHeight w:val="339"/>
        </w:trPr>
        <w:tc>
          <w:tcPr>
            <w:tcW w:w="3600" w:type="dxa"/>
            <w:vAlign w:val="bottom"/>
            <w:gridSpan w:val="2"/>
          </w:tcPr>
          <w:p>
            <w:pPr>
              <w:spacing w:after="0"/>
              <w:rPr>
                <w:sz w:val="20"/>
                <w:szCs w:val="20"/>
                <w:color w:val="auto"/>
              </w:rPr>
            </w:pPr>
            <w:r>
              <w:rPr>
                <w:rFonts w:ascii="Arial" w:cs="Arial" w:eastAsia="Arial" w:hAnsi="Arial"/>
                <w:sz w:val="14"/>
                <w:szCs w:val="14"/>
                <w:color w:val="auto"/>
              </w:rPr>
              <w:t>Deferred income on shipments to distributors, net</w:t>
            </w:r>
          </w:p>
        </w:tc>
        <w:tc>
          <w:tcPr>
            <w:tcW w:w="350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175,358</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174,070</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151,423</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Current liabilities of discontinued operations</w:t>
            </w: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18,454</w:t>
            </w:r>
          </w:p>
        </w:tc>
        <w:tc>
          <w:tcPr>
            <w:tcW w:w="36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76,431</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24,153</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Other current liabilities</w:t>
            </w: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375,246</w:t>
            </w:r>
          </w:p>
        </w:tc>
        <w:tc>
          <w:tcPr>
            <w:tcW w:w="36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362,812</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372,475</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Non-current liabilities</w:t>
            </w: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101,671</w:t>
            </w:r>
          </w:p>
        </w:tc>
        <w:tc>
          <w:tcPr>
            <w:tcW w:w="36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88,454</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85,757</w:t>
            </w:r>
          </w:p>
        </w:tc>
      </w:tr>
      <w:tr>
        <w:trPr>
          <w:trHeight w:val="181"/>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Stockholders' equity</w:t>
            </w:r>
          </w:p>
        </w:tc>
        <w:tc>
          <w:tcPr>
            <w:tcW w:w="17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2,420,263</w:t>
            </w: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2,391,044</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2,337,134</w:t>
            </w:r>
          </w:p>
        </w:tc>
      </w:tr>
      <w:tr>
        <w:trPr>
          <w:trHeight w:val="169"/>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liabilities &amp; equity</w:t>
            </w:r>
          </w:p>
        </w:tc>
        <w:tc>
          <w:tcPr>
            <w:tcW w:w="35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3,090,992</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3,092,811</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2,970,942</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(1) includes $2,632, $2,566 and $3,371 related to stock-based compensation in 4Q08, 3Q08 and 4Q07,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7202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2"/>
          <w:szCs w:val="12"/>
          <w:b w:val="1"/>
          <w:bCs w:val="1"/>
          <w:color w:val="auto"/>
        </w:rPr>
        <w:t>Analog Devices, Fourth Quarter, Fiscal 2008</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Schedule D</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Cash Flow Statement (GAAP)</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231140</wp:posOffset>
            </wp:positionV>
            <wp:extent cx="35248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p>
      <w:pPr>
        <w:spacing w:after="0" w:line="369"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Three Months Ended</w:t>
      </w:r>
    </w:p>
    <w:p>
      <w:pPr>
        <w:spacing w:after="0" w:line="24" w:lineRule="exact"/>
        <w:rPr>
          <w:sz w:val="20"/>
          <w:szCs w:val="20"/>
          <w:color w:val="auto"/>
        </w:rPr>
      </w:pPr>
    </w:p>
    <w:tbl>
      <w:tblPr>
        <w:tblLayout w:type="fixed"/>
        <w:tblInd w:w="5860" w:type="dxa"/>
        <w:tblCellMar>
          <w:top w:w="0" w:type="dxa"/>
          <w:left w:w="0" w:type="dxa"/>
          <w:bottom w:w="0" w:type="dxa"/>
          <w:right w:w="0" w:type="dxa"/>
        </w:tblCellMar>
      </w:tblPr>
      <w:tr>
        <w:trPr>
          <w:trHeight w:val="160"/>
        </w:trPr>
        <w:tc>
          <w:tcPr>
            <w:tcW w:w="102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9"/>
              </w:rPr>
              <w:t>4Q 08</w:t>
            </w:r>
          </w:p>
        </w:tc>
        <w:tc>
          <w:tcPr>
            <w:tcW w:w="106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4"/>
              </w:rPr>
              <w:t>3Q 08</w:t>
            </w:r>
          </w:p>
        </w:tc>
        <w:tc>
          <w:tcPr>
            <w:tcW w:w="10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4"/>
              </w:rPr>
              <w:t>4Q 07</w:t>
            </w:r>
          </w:p>
        </w:tc>
      </w:tr>
      <w:tr>
        <w:trPr>
          <w:trHeight w:val="149"/>
        </w:trPr>
        <w:tc>
          <w:tcPr>
            <w:tcW w:w="10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Nov. 1,</w:t>
            </w:r>
          </w:p>
        </w:tc>
        <w:tc>
          <w:tcPr>
            <w:tcW w:w="106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Aug. 2,</w:t>
            </w:r>
          </w:p>
        </w:tc>
        <w:tc>
          <w:tcPr>
            <w:tcW w:w="100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Nov. 3,</w:t>
            </w:r>
          </w:p>
        </w:tc>
      </w:tr>
      <w:tr>
        <w:trPr>
          <w:trHeight w:val="185"/>
        </w:trPr>
        <w:tc>
          <w:tcPr>
            <w:tcW w:w="1020" w:type="dxa"/>
            <w:vAlign w:val="bottom"/>
          </w:tcPr>
          <w:p>
            <w:pPr>
              <w:jc w:val="right"/>
              <w:ind w:right="308"/>
              <w:spacing w:after="0"/>
              <w:rPr>
                <w:sz w:val="20"/>
                <w:szCs w:val="20"/>
                <w:color w:val="auto"/>
              </w:rPr>
            </w:pPr>
            <w:r>
              <w:rPr>
                <w:rFonts w:ascii="Arial" w:cs="Arial" w:eastAsia="Arial" w:hAnsi="Arial"/>
                <w:sz w:val="14"/>
                <w:szCs w:val="14"/>
                <w:b w:val="1"/>
                <w:bCs w:val="1"/>
                <w:color w:val="auto"/>
              </w:rPr>
              <w:t>2008</w:t>
            </w:r>
          </w:p>
        </w:tc>
        <w:tc>
          <w:tcPr>
            <w:tcW w:w="1060" w:type="dxa"/>
            <w:vAlign w:val="bottom"/>
          </w:tcPr>
          <w:p>
            <w:pPr>
              <w:jc w:val="right"/>
              <w:ind w:right="328"/>
              <w:spacing w:after="0"/>
              <w:rPr>
                <w:sz w:val="20"/>
                <w:szCs w:val="20"/>
                <w:color w:val="auto"/>
              </w:rPr>
            </w:pPr>
            <w:r>
              <w:rPr>
                <w:rFonts w:ascii="Arial" w:cs="Arial" w:eastAsia="Arial" w:hAnsi="Arial"/>
                <w:sz w:val="14"/>
                <w:szCs w:val="14"/>
                <w:b w:val="1"/>
                <w:bCs w:val="1"/>
                <w:color w:val="auto"/>
              </w:rPr>
              <w:t>2008</w:t>
            </w:r>
          </w:p>
        </w:tc>
        <w:tc>
          <w:tcPr>
            <w:tcW w:w="1000" w:type="dxa"/>
            <w:vAlign w:val="bottom"/>
          </w:tcPr>
          <w:p>
            <w:pPr>
              <w:jc w:val="right"/>
              <w:ind w:right="268"/>
              <w:spacing w:after="0"/>
              <w:rPr>
                <w:sz w:val="20"/>
                <w:szCs w:val="20"/>
                <w:color w:val="auto"/>
              </w:rPr>
            </w:pPr>
            <w:r>
              <w:rPr>
                <w:rFonts w:ascii="Arial" w:cs="Arial" w:eastAsia="Arial" w:hAnsi="Arial"/>
                <w:sz w:val="14"/>
                <w:szCs w:val="14"/>
                <w:b w:val="1"/>
                <w:bCs w:val="1"/>
                <w:color w:val="auto"/>
              </w:rPr>
              <w:t>2007</w:t>
            </w:r>
          </w:p>
        </w:tc>
      </w:tr>
    </w:tbl>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Twelve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8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rPr>
              <w:t>FY 08</w:t>
            </w:r>
          </w:p>
        </w:tc>
        <w:tc>
          <w:tcPr>
            <w:tcW w:w="122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rPr>
              <w:t>FY 07</w:t>
            </w:r>
          </w:p>
        </w:tc>
      </w:tr>
      <w:tr>
        <w:trPr>
          <w:trHeight w:val="149"/>
        </w:trPr>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Nov. 1,</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Nov. 3,</w:t>
            </w:r>
          </w:p>
        </w:tc>
      </w:tr>
      <w:tr>
        <w:trPr>
          <w:trHeight w:val="185"/>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2008</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r>
    </w:tbl>
    <w:p>
      <w:pPr>
        <w:spacing w:after="0" w:line="1" w:lineRule="exact"/>
        <w:rPr>
          <w:sz w:val="20"/>
          <w:szCs w:val="20"/>
          <w:color w:val="auto"/>
        </w:rPr>
      </w:pPr>
    </w:p>
    <w:p>
      <w:pPr>
        <w:sectPr>
          <w:pgSz w:w="11900" w:h="16838" w:orient="portrait"/>
          <w:cols w:equalWidth="0" w:num="2">
            <w:col w:w="8940" w:space="80"/>
            <w:col w:w="240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5860" w:type="dxa"/>
            <w:vAlign w:val="bottom"/>
            <w:gridSpan w:val="2"/>
          </w:tcPr>
          <w:p>
            <w:pPr>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84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143,871</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138,608</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97,889</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786,284</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496,907</w:t>
            </w:r>
          </w:p>
        </w:tc>
      </w:tr>
      <w:tr>
        <w:trPr>
          <w:trHeight w:val="176"/>
        </w:trPr>
        <w:tc>
          <w:tcPr>
            <w:tcW w:w="20" w:type="dxa"/>
            <w:vAlign w:val="bottom"/>
          </w:tcPr>
          <w:p>
            <w:pPr>
              <w:spacing w:after="0"/>
              <w:rPr>
                <w:sz w:val="15"/>
                <w:szCs w:val="15"/>
                <w:color w:val="auto"/>
              </w:rPr>
            </w:pPr>
          </w:p>
        </w:tc>
        <w:tc>
          <w:tcPr>
            <w:tcW w:w="5840" w:type="dxa"/>
            <w:vAlign w:val="bottom"/>
          </w:tcPr>
          <w:p>
            <w:pPr>
              <w:ind w:left="120"/>
              <w:spacing w:after="0"/>
              <w:rPr>
                <w:sz w:val="20"/>
                <w:szCs w:val="20"/>
                <w:color w:val="auto"/>
              </w:rPr>
            </w:pPr>
            <w:r>
              <w:rPr>
                <w:rFonts w:ascii="Arial" w:cs="Arial" w:eastAsia="Arial" w:hAnsi="Arial"/>
                <w:sz w:val="14"/>
                <w:szCs w:val="14"/>
                <w:color w:val="auto"/>
              </w:rPr>
              <w:t>Adjustments to reconcile net income to net cash provided by operations: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840" w:type="dxa"/>
            <w:vAlign w:val="bottom"/>
          </w:tcPr>
          <w:p>
            <w:pPr>
              <w:ind w:left="460"/>
              <w:spacing w:after="0"/>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36,161</w:t>
            </w:r>
          </w:p>
        </w:tc>
        <w:tc>
          <w:tcPr>
            <w:tcW w:w="24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36,244</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35,104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144,222</w:t>
            </w:r>
          </w:p>
        </w:tc>
        <w:tc>
          <w:tcPr>
            <w:tcW w:w="28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142,173</w:t>
            </w:r>
          </w:p>
        </w:tc>
      </w:tr>
      <w:tr>
        <w:trPr>
          <w:trHeight w:val="176"/>
        </w:trPr>
        <w:tc>
          <w:tcPr>
            <w:tcW w:w="20" w:type="dxa"/>
            <w:vAlign w:val="bottom"/>
          </w:tcPr>
          <w:p>
            <w:pPr>
              <w:spacing w:after="0"/>
              <w:rPr>
                <w:sz w:val="15"/>
                <w:szCs w:val="15"/>
                <w:color w:val="auto"/>
              </w:rPr>
            </w:pPr>
          </w:p>
        </w:tc>
        <w:tc>
          <w:tcPr>
            <w:tcW w:w="5840" w:type="dxa"/>
            <w:vAlign w:val="bottom"/>
          </w:tcPr>
          <w:p>
            <w:pPr>
              <w:ind w:left="460"/>
              <w:spacing w:after="0"/>
              <w:rPr>
                <w:sz w:val="20"/>
                <w:szCs w:val="20"/>
                <w:color w:val="auto"/>
              </w:rPr>
            </w:pPr>
            <w:r>
              <w:rPr>
                <w:rFonts w:ascii="Arial" w:cs="Arial" w:eastAsia="Arial" w:hAnsi="Arial"/>
                <w:sz w:val="14"/>
                <w:szCs w:val="14"/>
                <w:color w:val="auto"/>
              </w:rPr>
              <w:t>Amortization of intangibles</w:t>
            </w:r>
          </w:p>
        </w:tc>
        <w:tc>
          <w:tcPr>
            <w:tcW w:w="2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1,774</w:t>
            </w:r>
          </w:p>
        </w:tc>
        <w:tc>
          <w:tcPr>
            <w:tcW w:w="24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2,438</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2,573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9,250</w:t>
            </w:r>
          </w:p>
        </w:tc>
        <w:tc>
          <w:tcPr>
            <w:tcW w:w="28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12,610</w:t>
            </w:r>
          </w:p>
        </w:tc>
      </w:tr>
      <w:tr>
        <w:trPr>
          <w:trHeight w:val="176"/>
        </w:trPr>
        <w:tc>
          <w:tcPr>
            <w:tcW w:w="20" w:type="dxa"/>
            <w:vAlign w:val="bottom"/>
          </w:tcPr>
          <w:p>
            <w:pPr>
              <w:spacing w:after="0"/>
              <w:rPr>
                <w:sz w:val="15"/>
                <w:szCs w:val="15"/>
                <w:color w:val="auto"/>
              </w:rPr>
            </w:pPr>
          </w:p>
        </w:tc>
        <w:tc>
          <w:tcPr>
            <w:tcW w:w="5840" w:type="dxa"/>
            <w:vAlign w:val="bottom"/>
          </w:tcPr>
          <w:p>
            <w:pPr>
              <w:ind w:left="460"/>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13,352</w:t>
            </w:r>
          </w:p>
        </w:tc>
        <w:tc>
          <w:tcPr>
            <w:tcW w:w="24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13,573</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17,506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50,247</w:t>
            </w:r>
          </w:p>
        </w:tc>
        <w:tc>
          <w:tcPr>
            <w:tcW w:w="28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72,652</w:t>
            </w:r>
          </w:p>
        </w:tc>
      </w:tr>
      <w:tr>
        <w:trPr>
          <w:trHeight w:val="176"/>
        </w:trPr>
        <w:tc>
          <w:tcPr>
            <w:tcW w:w="20" w:type="dxa"/>
            <w:vAlign w:val="bottom"/>
          </w:tcPr>
          <w:p>
            <w:pPr>
              <w:spacing w:after="0"/>
              <w:rPr>
                <w:sz w:val="15"/>
                <w:szCs w:val="15"/>
                <w:color w:val="auto"/>
              </w:rPr>
            </w:pPr>
          </w:p>
        </w:tc>
        <w:tc>
          <w:tcPr>
            <w:tcW w:w="5840" w:type="dxa"/>
            <w:vAlign w:val="bottom"/>
          </w:tcPr>
          <w:p>
            <w:pPr>
              <w:ind w:left="460"/>
              <w:spacing w:after="0"/>
              <w:rPr>
                <w:sz w:val="20"/>
                <w:szCs w:val="20"/>
                <w:color w:val="auto"/>
              </w:rPr>
            </w:pPr>
            <w:r>
              <w:rPr>
                <w:rFonts w:ascii="Arial" w:cs="Arial" w:eastAsia="Arial" w:hAnsi="Arial"/>
                <w:sz w:val="14"/>
                <w:szCs w:val="14"/>
                <w:color w:val="auto"/>
              </w:rPr>
              <w:t>Minority interest</w:t>
            </w:r>
          </w:p>
        </w:tc>
        <w:tc>
          <w:tcPr>
            <w:tcW w:w="2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(219)</w:t>
            </w:r>
          </w:p>
        </w:tc>
      </w:tr>
      <w:tr>
        <w:trPr>
          <w:trHeight w:val="176"/>
        </w:trPr>
        <w:tc>
          <w:tcPr>
            <w:tcW w:w="20" w:type="dxa"/>
            <w:vAlign w:val="bottom"/>
          </w:tcPr>
          <w:p>
            <w:pPr>
              <w:spacing w:after="0"/>
              <w:rPr>
                <w:sz w:val="15"/>
                <w:szCs w:val="15"/>
                <w:color w:val="auto"/>
              </w:rPr>
            </w:pPr>
          </w:p>
        </w:tc>
        <w:tc>
          <w:tcPr>
            <w:tcW w:w="5840" w:type="dxa"/>
            <w:vAlign w:val="bottom"/>
          </w:tcPr>
          <w:p>
            <w:pPr>
              <w:ind w:left="460"/>
              <w:spacing w:after="0"/>
              <w:rPr>
                <w:sz w:val="20"/>
                <w:szCs w:val="20"/>
                <w:color w:val="auto"/>
              </w:rPr>
            </w:pPr>
            <w:r>
              <w:rPr>
                <w:rFonts w:ascii="Arial" w:cs="Arial" w:eastAsia="Arial" w:hAnsi="Arial"/>
                <w:sz w:val="14"/>
                <w:szCs w:val="14"/>
                <w:color w:val="auto"/>
              </w:rPr>
              <w:t>Gain on sale of business</w:t>
            </w:r>
          </w:p>
        </w:tc>
        <w:tc>
          <w:tcPr>
            <w:tcW w:w="2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2,457</w:t>
            </w:r>
          </w:p>
        </w:tc>
        <w:tc>
          <w:tcPr>
            <w:tcW w:w="2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(3,802)</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(248,328)</w:t>
            </w:r>
          </w:p>
        </w:tc>
        <w:tc>
          <w:tcPr>
            <w:tcW w:w="28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5840" w:type="dxa"/>
            <w:vAlign w:val="bottom"/>
          </w:tcPr>
          <w:p>
            <w:pPr>
              <w:ind w:left="460"/>
              <w:spacing w:after="0"/>
              <w:rPr>
                <w:sz w:val="20"/>
                <w:szCs w:val="20"/>
                <w:color w:val="auto"/>
              </w:rPr>
            </w:pPr>
            <w:r>
              <w:rPr>
                <w:rFonts w:ascii="Arial" w:cs="Arial" w:eastAsia="Arial" w:hAnsi="Arial"/>
                <w:sz w:val="14"/>
                <w:szCs w:val="14"/>
                <w:color w:val="auto"/>
              </w:rPr>
              <w:t>Gain on sale of an investment</w:t>
            </w:r>
          </w:p>
        </w:tc>
        <w:tc>
          <w:tcPr>
            <w:tcW w:w="2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(7,919)</w:t>
            </w:r>
          </w:p>
        </w:tc>
      </w:tr>
      <w:tr>
        <w:trPr>
          <w:trHeight w:val="176"/>
        </w:trPr>
        <w:tc>
          <w:tcPr>
            <w:tcW w:w="20" w:type="dxa"/>
            <w:vAlign w:val="bottom"/>
          </w:tcPr>
          <w:p>
            <w:pPr>
              <w:spacing w:after="0"/>
              <w:rPr>
                <w:sz w:val="15"/>
                <w:szCs w:val="15"/>
                <w:color w:val="auto"/>
              </w:rPr>
            </w:pPr>
          </w:p>
        </w:tc>
        <w:tc>
          <w:tcPr>
            <w:tcW w:w="5840" w:type="dxa"/>
            <w:vAlign w:val="bottom"/>
          </w:tcPr>
          <w:p>
            <w:pPr>
              <w:ind w:left="460"/>
              <w:spacing w:after="0"/>
              <w:rPr>
                <w:sz w:val="20"/>
                <w:szCs w:val="20"/>
                <w:color w:val="auto"/>
              </w:rPr>
            </w:pPr>
            <w:r>
              <w:rPr>
                <w:rFonts w:ascii="Arial" w:cs="Arial" w:eastAsia="Arial" w:hAnsi="Arial"/>
                <w:sz w:val="14"/>
                <w:szCs w:val="14"/>
                <w:color w:val="auto"/>
              </w:rPr>
              <w:t>Excess tax benefit - stock options</w:t>
            </w:r>
          </w:p>
        </w:tc>
        <w:tc>
          <w:tcPr>
            <w:tcW w:w="22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(5,619)</w:t>
            </w:r>
          </w:p>
        </w:tc>
        <w:tc>
          <w:tcPr>
            <w:tcW w:w="2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(3,083)</w:t>
            </w:r>
          </w:p>
        </w:tc>
        <w:tc>
          <w:tcPr>
            <w:tcW w:w="24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(15,818)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(18,586)</w:t>
            </w:r>
          </w:p>
        </w:tc>
        <w:tc>
          <w:tcPr>
            <w:tcW w:w="2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(40,871)</w:t>
            </w:r>
          </w:p>
        </w:tc>
      </w:tr>
      <w:tr>
        <w:trPr>
          <w:trHeight w:val="176"/>
        </w:trPr>
        <w:tc>
          <w:tcPr>
            <w:tcW w:w="20" w:type="dxa"/>
            <w:vAlign w:val="bottom"/>
          </w:tcPr>
          <w:p>
            <w:pPr>
              <w:spacing w:after="0"/>
              <w:rPr>
                <w:sz w:val="15"/>
                <w:szCs w:val="15"/>
                <w:color w:val="auto"/>
              </w:rPr>
            </w:pPr>
          </w:p>
        </w:tc>
        <w:tc>
          <w:tcPr>
            <w:tcW w:w="5840" w:type="dxa"/>
            <w:vAlign w:val="bottom"/>
          </w:tcPr>
          <w:p>
            <w:pPr>
              <w:ind w:left="460"/>
              <w:spacing w:after="0"/>
              <w:rPr>
                <w:sz w:val="20"/>
                <w:szCs w:val="20"/>
                <w:color w:val="auto"/>
              </w:rPr>
            </w:pPr>
            <w:r>
              <w:rPr>
                <w:rFonts w:ascii="Arial" w:cs="Arial" w:eastAsia="Arial" w:hAnsi="Arial"/>
                <w:sz w:val="14"/>
                <w:szCs w:val="14"/>
                <w:color w:val="auto"/>
              </w:rPr>
              <w:t>Non-cash portion of special charge</w:t>
            </w:r>
          </w:p>
        </w:tc>
        <w:tc>
          <w:tcPr>
            <w:tcW w:w="2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438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438</w:t>
            </w:r>
          </w:p>
        </w:tc>
      </w:tr>
      <w:tr>
        <w:trPr>
          <w:trHeight w:val="176"/>
        </w:trPr>
        <w:tc>
          <w:tcPr>
            <w:tcW w:w="20" w:type="dxa"/>
            <w:vAlign w:val="bottom"/>
          </w:tcPr>
          <w:p>
            <w:pPr>
              <w:spacing w:after="0"/>
              <w:rPr>
                <w:sz w:val="15"/>
                <w:szCs w:val="15"/>
                <w:color w:val="auto"/>
              </w:rPr>
            </w:pPr>
          </w:p>
        </w:tc>
        <w:tc>
          <w:tcPr>
            <w:tcW w:w="5840" w:type="dxa"/>
            <w:vAlign w:val="bottom"/>
          </w:tcPr>
          <w:p>
            <w:pPr>
              <w:ind w:left="460"/>
              <w:spacing w:after="0"/>
              <w:rPr>
                <w:sz w:val="20"/>
                <w:szCs w:val="20"/>
                <w:color w:val="auto"/>
              </w:rPr>
            </w:pPr>
            <w:r>
              <w:rPr>
                <w:rFonts w:ascii="Arial" w:cs="Arial" w:eastAsia="Arial" w:hAnsi="Arial"/>
                <w:sz w:val="14"/>
                <w:szCs w:val="14"/>
                <w:color w:val="auto"/>
              </w:rPr>
              <w:t>Other non-cash activity</w:t>
            </w:r>
          </w:p>
        </w:tc>
        <w:tc>
          <w:tcPr>
            <w:tcW w:w="22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(996)</w:t>
            </w:r>
          </w:p>
        </w:tc>
        <w:tc>
          <w:tcPr>
            <w:tcW w:w="24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1,152</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538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310</w:t>
            </w:r>
          </w:p>
        </w:tc>
        <w:tc>
          <w:tcPr>
            <w:tcW w:w="28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853</w:t>
            </w:r>
          </w:p>
        </w:tc>
      </w:tr>
      <w:tr>
        <w:trPr>
          <w:trHeight w:val="176"/>
        </w:trPr>
        <w:tc>
          <w:tcPr>
            <w:tcW w:w="20" w:type="dxa"/>
            <w:vAlign w:val="bottom"/>
          </w:tcPr>
          <w:p>
            <w:pPr>
              <w:spacing w:after="0"/>
              <w:rPr>
                <w:sz w:val="15"/>
                <w:szCs w:val="15"/>
                <w:color w:val="auto"/>
              </w:rPr>
            </w:pPr>
          </w:p>
        </w:tc>
        <w:tc>
          <w:tcPr>
            <w:tcW w:w="584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(3,709)</w:t>
            </w:r>
          </w:p>
        </w:tc>
        <w:tc>
          <w:tcPr>
            <w:tcW w:w="2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(4,813)</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7,724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(11,369)</w:t>
            </w:r>
          </w:p>
        </w:tc>
        <w:tc>
          <w:tcPr>
            <w:tcW w:w="2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(2,850)</w:t>
            </w:r>
          </w:p>
        </w:tc>
      </w:tr>
      <w:tr>
        <w:trPr>
          <w:trHeight w:val="176"/>
        </w:trPr>
        <w:tc>
          <w:tcPr>
            <w:tcW w:w="586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840" w:type="dxa"/>
            <w:vAlign w:val="bottom"/>
          </w:tcPr>
          <w:p>
            <w:pPr>
              <w:ind w:left="460"/>
              <w:spacing w:after="0"/>
              <w:rPr>
                <w:sz w:val="20"/>
                <w:szCs w:val="20"/>
                <w:color w:val="auto"/>
              </w:rPr>
            </w:pPr>
            <w:r>
              <w:rPr>
                <w:rFonts w:ascii="Arial" w:cs="Arial" w:eastAsia="Arial" w:hAnsi="Arial"/>
                <w:sz w:val="14"/>
                <w:szCs w:val="14"/>
                <w:color w:val="auto"/>
              </w:rPr>
              <w:t>Income tax payments related to gain on sale of businesses</w:t>
            </w:r>
          </w:p>
        </w:tc>
        <w:tc>
          <w:tcPr>
            <w:tcW w:w="22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(36,936)</w:t>
            </w:r>
          </w:p>
        </w:tc>
        <w:tc>
          <w:tcPr>
            <w:tcW w:w="2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(6,182)</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(110,401)</w:t>
            </w:r>
          </w:p>
        </w:tc>
        <w:tc>
          <w:tcPr>
            <w:tcW w:w="28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1"/>
        </w:trPr>
        <w:tc>
          <w:tcPr>
            <w:tcW w:w="20" w:type="dxa"/>
            <w:vAlign w:val="bottom"/>
          </w:tcPr>
          <w:p>
            <w:pPr>
              <w:spacing w:after="0"/>
              <w:rPr>
                <w:sz w:val="15"/>
                <w:szCs w:val="15"/>
                <w:color w:val="auto"/>
              </w:rPr>
            </w:pPr>
          </w:p>
        </w:tc>
        <w:tc>
          <w:tcPr>
            <w:tcW w:w="58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Changes in other operating assets and liabilities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(8,097)</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22,012</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36,896</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67,739</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146,591</w:t>
            </w:r>
          </w:p>
        </w:tc>
      </w:tr>
      <w:tr>
        <w:trPr>
          <w:trHeight w:val="169"/>
        </w:trPr>
        <w:tc>
          <w:tcPr>
            <w:tcW w:w="20" w:type="dxa"/>
            <w:vAlign w:val="bottom"/>
          </w:tcPr>
          <w:p>
            <w:pPr>
              <w:spacing w:after="0"/>
              <w:rPr>
                <w:sz w:val="14"/>
                <w:szCs w:val="14"/>
                <w:color w:val="auto"/>
              </w:rPr>
            </w:pPr>
          </w:p>
        </w:tc>
        <w:tc>
          <w:tcPr>
            <w:tcW w:w="58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Total adjustments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(1,613)</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57,539</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84,961</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(116,916)</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323,458</w:t>
            </w:r>
          </w:p>
        </w:tc>
      </w:tr>
      <w:tr>
        <w:trPr>
          <w:trHeight w:val="169"/>
        </w:trPr>
        <w:tc>
          <w:tcPr>
            <w:tcW w:w="20" w:type="dxa"/>
            <w:vAlign w:val="bottom"/>
          </w:tcPr>
          <w:p>
            <w:pPr>
              <w:spacing w:after="0"/>
              <w:rPr>
                <w:sz w:val="14"/>
                <w:szCs w:val="14"/>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142,258</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196,147</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182,850</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669,368</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820,365</w:t>
            </w:r>
          </w:p>
        </w:tc>
      </w:tr>
      <w:tr>
        <w:trPr>
          <w:trHeight w:val="169"/>
        </w:trPr>
        <w:tc>
          <w:tcPr>
            <w:tcW w:w="20" w:type="dxa"/>
            <w:vAlign w:val="bottom"/>
          </w:tcPr>
          <w:p>
            <w:pPr>
              <w:spacing w:after="0"/>
              <w:rPr>
                <w:sz w:val="14"/>
                <w:szCs w:val="14"/>
                <w:color w:val="auto"/>
              </w:rPr>
            </w:pPr>
          </w:p>
        </w:tc>
        <w:tc>
          <w:tcPr>
            <w:tcW w:w="5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Percent of total revenue</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21.5%</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29.8%</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w:t>
            </w:r>
          </w:p>
        </w:tc>
      </w:tr>
      <w:tr>
        <w:trPr>
          <w:trHeight w:val="339"/>
        </w:trPr>
        <w:tc>
          <w:tcPr>
            <w:tcW w:w="586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5840" w:type="dxa"/>
            <w:vAlign w:val="bottom"/>
          </w:tcPr>
          <w:p>
            <w:pPr>
              <w:ind w:left="120"/>
              <w:spacing w:after="0"/>
              <w:rPr>
                <w:sz w:val="20"/>
                <w:szCs w:val="20"/>
                <w:color w:val="auto"/>
              </w:rPr>
            </w:pPr>
            <w:r>
              <w:rPr>
                <w:rFonts w:ascii="Arial" w:cs="Arial" w:eastAsia="Arial" w:hAnsi="Arial"/>
                <w:sz w:val="14"/>
                <w:szCs w:val="14"/>
                <w:color w:val="auto"/>
              </w:rPr>
              <w:t>Additions to property, plant and equipment</w:t>
            </w:r>
          </w:p>
        </w:tc>
        <w:tc>
          <w:tcPr>
            <w:tcW w:w="22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(47,377)</w:t>
            </w:r>
          </w:p>
        </w:tc>
        <w:tc>
          <w:tcPr>
            <w:tcW w:w="2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(39,381)</w:t>
            </w:r>
          </w:p>
        </w:tc>
        <w:tc>
          <w:tcPr>
            <w:tcW w:w="24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(33,177)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(157,408)</w:t>
            </w:r>
          </w:p>
        </w:tc>
        <w:tc>
          <w:tcPr>
            <w:tcW w:w="2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(141,810)</w:t>
            </w:r>
          </w:p>
        </w:tc>
      </w:tr>
      <w:tr>
        <w:trPr>
          <w:trHeight w:val="176"/>
        </w:trPr>
        <w:tc>
          <w:tcPr>
            <w:tcW w:w="20" w:type="dxa"/>
            <w:vAlign w:val="bottom"/>
          </w:tcPr>
          <w:p>
            <w:pPr>
              <w:spacing w:after="0"/>
              <w:rPr>
                <w:sz w:val="15"/>
                <w:szCs w:val="15"/>
                <w:color w:val="auto"/>
              </w:rPr>
            </w:pPr>
          </w:p>
        </w:tc>
        <w:tc>
          <w:tcPr>
            <w:tcW w:w="5840" w:type="dxa"/>
            <w:vAlign w:val="bottom"/>
          </w:tcPr>
          <w:p>
            <w:pPr>
              <w:ind w:left="120"/>
              <w:spacing w:after="0"/>
              <w:rPr>
                <w:sz w:val="20"/>
                <w:szCs w:val="20"/>
                <w:color w:val="auto"/>
              </w:rPr>
            </w:pPr>
            <w:r>
              <w:rPr>
                <w:rFonts w:ascii="Arial" w:cs="Arial" w:eastAsia="Arial" w:hAnsi="Arial"/>
                <w:sz w:val="14"/>
                <w:szCs w:val="14"/>
                <w:color w:val="auto"/>
              </w:rPr>
              <w:t>Purchases of short-term available-for-sale investments</w:t>
            </w:r>
          </w:p>
        </w:tc>
        <w:tc>
          <w:tcPr>
            <w:tcW w:w="22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(280,344)</w:t>
            </w:r>
          </w:p>
        </w:tc>
        <w:tc>
          <w:tcPr>
            <w:tcW w:w="2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(626,815)</w:t>
            </w:r>
          </w:p>
        </w:tc>
        <w:tc>
          <w:tcPr>
            <w:tcW w:w="24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(311,571)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(1,831,363)</w:t>
            </w:r>
          </w:p>
        </w:tc>
        <w:tc>
          <w:tcPr>
            <w:tcW w:w="2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(1,807,476)</w:t>
            </w:r>
          </w:p>
        </w:tc>
      </w:tr>
      <w:tr>
        <w:trPr>
          <w:trHeight w:val="176"/>
        </w:trPr>
        <w:tc>
          <w:tcPr>
            <w:tcW w:w="20" w:type="dxa"/>
            <w:vAlign w:val="bottom"/>
          </w:tcPr>
          <w:p>
            <w:pPr>
              <w:spacing w:after="0"/>
              <w:rPr>
                <w:sz w:val="15"/>
                <w:szCs w:val="15"/>
                <w:color w:val="auto"/>
              </w:rPr>
            </w:pPr>
          </w:p>
        </w:tc>
        <w:tc>
          <w:tcPr>
            <w:tcW w:w="5840" w:type="dxa"/>
            <w:vAlign w:val="bottom"/>
          </w:tcPr>
          <w:p>
            <w:pPr>
              <w:ind w:left="120"/>
              <w:spacing w:after="0"/>
              <w:rPr>
                <w:sz w:val="20"/>
                <w:szCs w:val="20"/>
                <w:color w:val="auto"/>
              </w:rPr>
            </w:pPr>
            <w:r>
              <w:rPr>
                <w:rFonts w:ascii="Arial" w:cs="Arial" w:eastAsia="Arial" w:hAnsi="Arial"/>
                <w:sz w:val="14"/>
                <w:szCs w:val="14"/>
                <w:color w:val="auto"/>
              </w:rPr>
              <w:t>Maturities of short-term available-for-sale investments</w:t>
            </w:r>
          </w:p>
        </w:tc>
        <w:tc>
          <w:tcPr>
            <w:tcW w:w="2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425,444</w:t>
            </w:r>
          </w:p>
        </w:tc>
        <w:tc>
          <w:tcPr>
            <w:tcW w:w="24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538,031</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545,792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1,774,391</w:t>
            </w:r>
          </w:p>
        </w:tc>
        <w:tc>
          <w:tcPr>
            <w:tcW w:w="28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2,943,468</w:t>
            </w:r>
          </w:p>
        </w:tc>
      </w:tr>
      <w:tr>
        <w:trPr>
          <w:trHeight w:val="176"/>
        </w:trPr>
        <w:tc>
          <w:tcPr>
            <w:tcW w:w="20" w:type="dxa"/>
            <w:vAlign w:val="bottom"/>
          </w:tcPr>
          <w:p>
            <w:pPr>
              <w:spacing w:after="0"/>
              <w:rPr>
                <w:sz w:val="15"/>
                <w:szCs w:val="15"/>
                <w:color w:val="auto"/>
              </w:rPr>
            </w:pPr>
          </w:p>
        </w:tc>
        <w:tc>
          <w:tcPr>
            <w:tcW w:w="5840" w:type="dxa"/>
            <w:vAlign w:val="bottom"/>
          </w:tcPr>
          <w:p>
            <w:pPr>
              <w:ind w:left="120"/>
              <w:spacing w:after="0"/>
              <w:rPr>
                <w:sz w:val="20"/>
                <w:szCs w:val="20"/>
                <w:color w:val="auto"/>
              </w:rPr>
            </w:pPr>
            <w:r>
              <w:rPr>
                <w:rFonts w:ascii="Arial" w:cs="Arial" w:eastAsia="Arial" w:hAnsi="Arial"/>
                <w:sz w:val="14"/>
                <w:szCs w:val="14"/>
                <w:color w:val="auto"/>
              </w:rPr>
              <w:t>Net proceeds related to sale of businesses</w:t>
            </w:r>
          </w:p>
        </w:tc>
        <w:tc>
          <w:tcPr>
            <w:tcW w:w="2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3,590</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403,181</w:t>
            </w:r>
          </w:p>
        </w:tc>
        <w:tc>
          <w:tcPr>
            <w:tcW w:w="28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5840" w:type="dxa"/>
            <w:vAlign w:val="bottom"/>
          </w:tcPr>
          <w:p>
            <w:pPr>
              <w:ind w:left="120"/>
              <w:spacing w:after="0"/>
              <w:rPr>
                <w:sz w:val="20"/>
                <w:szCs w:val="20"/>
                <w:color w:val="auto"/>
              </w:rPr>
            </w:pPr>
            <w:r>
              <w:rPr>
                <w:rFonts w:ascii="Arial" w:cs="Arial" w:eastAsia="Arial" w:hAnsi="Arial"/>
                <w:sz w:val="14"/>
                <w:szCs w:val="14"/>
                <w:color w:val="auto"/>
              </w:rPr>
              <w:t>Payments for acquisitions</w:t>
            </w:r>
          </w:p>
        </w:tc>
        <w:tc>
          <w:tcPr>
            <w:tcW w:w="2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(3,146)</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(3,146)</w:t>
            </w:r>
          </w:p>
        </w:tc>
        <w:tc>
          <w:tcPr>
            <w:tcW w:w="2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(9,160)</w:t>
            </w:r>
          </w:p>
        </w:tc>
      </w:tr>
      <w:tr>
        <w:trPr>
          <w:trHeight w:val="176"/>
        </w:trPr>
        <w:tc>
          <w:tcPr>
            <w:tcW w:w="20" w:type="dxa"/>
            <w:vAlign w:val="bottom"/>
          </w:tcPr>
          <w:p>
            <w:pPr>
              <w:spacing w:after="0"/>
              <w:rPr>
                <w:sz w:val="15"/>
                <w:szCs w:val="15"/>
                <w:color w:val="auto"/>
              </w:rPr>
            </w:pPr>
          </w:p>
        </w:tc>
        <w:tc>
          <w:tcPr>
            <w:tcW w:w="5840" w:type="dxa"/>
            <w:vAlign w:val="bottom"/>
          </w:tcPr>
          <w:p>
            <w:pPr>
              <w:ind w:left="120"/>
              <w:spacing w:after="0"/>
              <w:rPr>
                <w:sz w:val="20"/>
                <w:szCs w:val="20"/>
                <w:color w:val="auto"/>
              </w:rPr>
            </w:pPr>
            <w:r>
              <w:rPr>
                <w:rFonts w:ascii="Arial" w:cs="Arial" w:eastAsia="Arial" w:hAnsi="Arial"/>
                <w:sz w:val="14"/>
                <w:szCs w:val="14"/>
                <w:color w:val="auto"/>
              </w:rPr>
              <w:t>Proceeds from sale of investment</w:t>
            </w:r>
          </w:p>
        </w:tc>
        <w:tc>
          <w:tcPr>
            <w:tcW w:w="2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8,003</w:t>
            </w:r>
          </w:p>
        </w:tc>
      </w:tr>
      <w:tr>
        <w:trPr>
          <w:trHeight w:val="181"/>
        </w:trPr>
        <w:tc>
          <w:tcPr>
            <w:tcW w:w="20" w:type="dxa"/>
            <w:vAlign w:val="bottom"/>
          </w:tcPr>
          <w:p>
            <w:pPr>
              <w:spacing w:after="0"/>
              <w:rPr>
                <w:sz w:val="15"/>
                <w:szCs w:val="15"/>
                <w:color w:val="auto"/>
              </w:rPr>
            </w:pPr>
          </w:p>
        </w:tc>
        <w:tc>
          <w:tcPr>
            <w:tcW w:w="58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Decrease (increase) in other assets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1,176</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(1,855)</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(8,420)</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2,708</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(8,438)</w:t>
            </w:r>
          </w:p>
        </w:tc>
      </w:tr>
      <w:tr>
        <w:trPr>
          <w:trHeight w:val="169"/>
        </w:trPr>
        <w:tc>
          <w:tcPr>
            <w:tcW w:w="20" w:type="dxa"/>
            <w:vAlign w:val="bottom"/>
            <w:tcBorders>
              <w:bottom w:val="single" w:sz="8" w:color="auto"/>
            </w:tcBorders>
          </w:tcPr>
          <w:p>
            <w:pPr>
              <w:spacing w:after="0"/>
              <w:rPr>
                <w:sz w:val="14"/>
                <w:szCs w:val="14"/>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(used) for investing activities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98,899</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(129,576)</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192,624</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188,363</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984,587</w:t>
            </w:r>
          </w:p>
        </w:tc>
      </w:tr>
      <w:tr>
        <w:trPr>
          <w:trHeight w:val="339"/>
        </w:trPr>
        <w:tc>
          <w:tcPr>
            <w:tcW w:w="586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5840" w:type="dxa"/>
            <w:vAlign w:val="bottom"/>
          </w:tcPr>
          <w:p>
            <w:pPr>
              <w:ind w:left="120"/>
              <w:spacing w:after="0"/>
              <w:rPr>
                <w:sz w:val="20"/>
                <w:szCs w:val="20"/>
                <w:color w:val="auto"/>
              </w:rPr>
            </w:pPr>
            <w:r>
              <w:rPr>
                <w:rFonts w:ascii="Arial" w:cs="Arial" w:eastAsia="Arial" w:hAnsi="Arial"/>
                <w:sz w:val="14"/>
                <w:szCs w:val="14"/>
                <w:color w:val="auto"/>
              </w:rPr>
              <w:t>Dividend payments to shareholders</w:t>
            </w:r>
          </w:p>
        </w:tc>
        <w:tc>
          <w:tcPr>
            <w:tcW w:w="22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(58,105)</w:t>
            </w:r>
          </w:p>
        </w:tc>
        <w:tc>
          <w:tcPr>
            <w:tcW w:w="2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(58,078)</w:t>
            </w:r>
          </w:p>
        </w:tc>
        <w:tc>
          <w:tcPr>
            <w:tcW w:w="24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(55,437)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(222,530)</w:t>
            </w:r>
          </w:p>
        </w:tc>
        <w:tc>
          <w:tcPr>
            <w:tcW w:w="2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(228,281)</w:t>
            </w:r>
          </w:p>
        </w:tc>
      </w:tr>
      <w:tr>
        <w:trPr>
          <w:trHeight w:val="176"/>
        </w:trPr>
        <w:tc>
          <w:tcPr>
            <w:tcW w:w="20" w:type="dxa"/>
            <w:vAlign w:val="bottom"/>
          </w:tcPr>
          <w:p>
            <w:pPr>
              <w:spacing w:after="0"/>
              <w:rPr>
                <w:sz w:val="15"/>
                <w:szCs w:val="15"/>
                <w:color w:val="auto"/>
              </w:rPr>
            </w:pPr>
          </w:p>
        </w:tc>
        <w:tc>
          <w:tcPr>
            <w:tcW w:w="5840" w:type="dxa"/>
            <w:vAlign w:val="bottom"/>
          </w:tcPr>
          <w:p>
            <w:pPr>
              <w:ind w:left="120"/>
              <w:spacing w:after="0"/>
              <w:rPr>
                <w:sz w:val="20"/>
                <w:szCs w:val="20"/>
                <w:color w:val="auto"/>
              </w:rPr>
            </w:pPr>
            <w:r>
              <w:rPr>
                <w:rFonts w:ascii="Arial" w:cs="Arial" w:eastAsia="Arial" w:hAnsi="Arial"/>
                <w:sz w:val="14"/>
                <w:szCs w:val="14"/>
                <w:color w:val="auto"/>
              </w:rPr>
              <w:t>Repurchase of common stock</w:t>
            </w:r>
          </w:p>
        </w:tc>
        <w:tc>
          <w:tcPr>
            <w:tcW w:w="22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(17,473)</w:t>
            </w:r>
          </w:p>
        </w:tc>
        <w:tc>
          <w:tcPr>
            <w:tcW w:w="2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(27,578)</w:t>
            </w:r>
          </w:p>
        </w:tc>
        <w:tc>
          <w:tcPr>
            <w:tcW w:w="24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(317,691)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(569,853)</w:t>
            </w:r>
          </w:p>
        </w:tc>
        <w:tc>
          <w:tcPr>
            <w:tcW w:w="2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(1,647,212)</w:t>
            </w:r>
          </w:p>
        </w:tc>
      </w:tr>
      <w:tr>
        <w:trPr>
          <w:trHeight w:val="176"/>
        </w:trPr>
        <w:tc>
          <w:tcPr>
            <w:tcW w:w="20" w:type="dxa"/>
            <w:vAlign w:val="bottom"/>
          </w:tcPr>
          <w:p>
            <w:pPr>
              <w:spacing w:after="0"/>
              <w:rPr>
                <w:sz w:val="15"/>
                <w:szCs w:val="15"/>
                <w:color w:val="auto"/>
              </w:rPr>
            </w:pPr>
          </w:p>
        </w:tc>
        <w:tc>
          <w:tcPr>
            <w:tcW w:w="5840" w:type="dxa"/>
            <w:vAlign w:val="bottom"/>
          </w:tcPr>
          <w:p>
            <w:pPr>
              <w:ind w:left="120"/>
              <w:spacing w:after="0"/>
              <w:rPr>
                <w:sz w:val="20"/>
                <w:szCs w:val="20"/>
                <w:color w:val="auto"/>
              </w:rPr>
            </w:pPr>
            <w:r>
              <w:rPr>
                <w:rFonts w:ascii="Arial" w:cs="Arial" w:eastAsia="Arial" w:hAnsi="Arial"/>
                <w:sz w:val="14"/>
                <w:szCs w:val="14"/>
                <w:color w:val="auto"/>
              </w:rPr>
              <w:t>Increase (decrease) in liability for common stock repurchases</w:t>
            </w:r>
          </w:p>
        </w:tc>
        <w:tc>
          <w:tcPr>
            <w:tcW w:w="2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95</w:t>
            </w:r>
          </w:p>
        </w:tc>
        <w:tc>
          <w:tcPr>
            <w:tcW w:w="2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(366)</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234</w:t>
            </w:r>
          </w:p>
        </w:tc>
        <w:tc>
          <w:tcPr>
            <w:tcW w:w="28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5840" w:type="dxa"/>
            <w:vAlign w:val="bottom"/>
          </w:tcPr>
          <w:p>
            <w:pPr>
              <w:ind w:left="120"/>
              <w:spacing w:after="0"/>
              <w:rPr>
                <w:sz w:val="20"/>
                <w:szCs w:val="20"/>
                <w:color w:val="auto"/>
              </w:rPr>
            </w:pPr>
            <w:r>
              <w:rPr>
                <w:rFonts w:ascii="Arial" w:cs="Arial" w:eastAsia="Arial" w:hAnsi="Arial"/>
                <w:sz w:val="14"/>
                <w:szCs w:val="14"/>
                <w:color w:val="auto"/>
              </w:rPr>
              <w:t>Net proceeds from employee stock plans</w:t>
            </w:r>
          </w:p>
        </w:tc>
        <w:tc>
          <w:tcPr>
            <w:tcW w:w="2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11,150</w:t>
            </w:r>
          </w:p>
        </w:tc>
        <w:tc>
          <w:tcPr>
            <w:tcW w:w="24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20,885</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12,953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94,155</w:t>
            </w:r>
          </w:p>
        </w:tc>
        <w:tc>
          <w:tcPr>
            <w:tcW w:w="28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109,149</w:t>
            </w:r>
          </w:p>
        </w:tc>
      </w:tr>
      <w:tr>
        <w:trPr>
          <w:trHeight w:val="176"/>
        </w:trPr>
        <w:tc>
          <w:tcPr>
            <w:tcW w:w="20" w:type="dxa"/>
            <w:vAlign w:val="bottom"/>
          </w:tcPr>
          <w:p>
            <w:pPr>
              <w:spacing w:after="0"/>
              <w:rPr>
                <w:sz w:val="15"/>
                <w:szCs w:val="15"/>
                <w:color w:val="auto"/>
              </w:rPr>
            </w:pPr>
          </w:p>
        </w:tc>
        <w:tc>
          <w:tcPr>
            <w:tcW w:w="5840" w:type="dxa"/>
            <w:vAlign w:val="bottom"/>
          </w:tcPr>
          <w:p>
            <w:pPr>
              <w:ind w:left="120"/>
              <w:spacing w:after="0"/>
              <w:rPr>
                <w:sz w:val="20"/>
                <w:szCs w:val="20"/>
                <w:color w:val="auto"/>
              </w:rPr>
            </w:pPr>
            <w:r>
              <w:rPr>
                <w:rFonts w:ascii="Arial" w:cs="Arial" w:eastAsia="Arial" w:hAnsi="Arial"/>
                <w:sz w:val="14"/>
                <w:szCs w:val="14"/>
                <w:color w:val="auto"/>
              </w:rPr>
              <w:t>Credit facility fees</w:t>
            </w:r>
          </w:p>
        </w:tc>
        <w:tc>
          <w:tcPr>
            <w:tcW w:w="2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(600)</w:t>
            </w: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(600)</w:t>
            </w:r>
          </w:p>
        </w:tc>
        <w:tc>
          <w:tcPr>
            <w:tcW w:w="28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1"/>
        </w:trPr>
        <w:tc>
          <w:tcPr>
            <w:tcW w:w="20" w:type="dxa"/>
            <w:vAlign w:val="bottom"/>
          </w:tcPr>
          <w:p>
            <w:pPr>
              <w:spacing w:after="0"/>
              <w:rPr>
                <w:sz w:val="15"/>
                <w:szCs w:val="15"/>
                <w:color w:val="auto"/>
              </w:rPr>
            </w:pPr>
          </w:p>
        </w:tc>
        <w:tc>
          <w:tcPr>
            <w:tcW w:w="58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Excess tax benefit - stock options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5,619</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3,083</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15,818</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18,586</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40,871</w:t>
            </w:r>
          </w:p>
        </w:tc>
      </w:tr>
      <w:tr>
        <w:trPr>
          <w:trHeight w:val="169"/>
        </w:trPr>
        <w:tc>
          <w:tcPr>
            <w:tcW w:w="20" w:type="dxa"/>
            <w:vAlign w:val="bottom"/>
            <w:tcBorders>
              <w:bottom w:val="single" w:sz="8" w:color="auto"/>
            </w:tcBorders>
          </w:tcPr>
          <w:p>
            <w:pPr>
              <w:spacing w:after="0"/>
              <w:rPr>
                <w:sz w:val="14"/>
                <w:szCs w:val="14"/>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used for financing activities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(58,714)</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(62,654)</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(344,357)</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(680,008)</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(1,725,473)</w:t>
            </w:r>
          </w:p>
        </w:tc>
      </w:tr>
      <w:tr>
        <w:trPr>
          <w:trHeight w:val="169"/>
        </w:trPr>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(7,300)</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178</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(9,096)</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1,546</w:t>
            </w:r>
          </w:p>
        </w:tc>
      </w:tr>
      <w:tr>
        <w:trPr>
          <w:trHeight w:val="339"/>
        </w:trPr>
        <w:tc>
          <w:tcPr>
            <w:tcW w:w="5860" w:type="dxa"/>
            <w:vAlign w:val="bottom"/>
            <w:gridSpan w:val="2"/>
          </w:tcPr>
          <w:p>
            <w:pPr>
              <w:spacing w:after="0"/>
              <w:rPr>
                <w:sz w:val="20"/>
                <w:szCs w:val="20"/>
                <w:color w:val="auto"/>
              </w:rPr>
            </w:pPr>
            <w:r>
              <w:rPr>
                <w:rFonts w:ascii="Arial" w:cs="Arial" w:eastAsia="Arial" w:hAnsi="Arial"/>
                <w:sz w:val="14"/>
                <w:szCs w:val="14"/>
                <w:color w:val="auto"/>
              </w:rPr>
              <w:t>Net increase in cash and cash equivalents</w:t>
            </w:r>
          </w:p>
        </w:tc>
        <w:tc>
          <w:tcPr>
            <w:tcW w:w="22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175,143</w:t>
            </w:r>
          </w:p>
        </w:tc>
        <w:tc>
          <w:tcPr>
            <w:tcW w:w="24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4,095</w:t>
            </w:r>
          </w:p>
        </w:tc>
        <w:tc>
          <w:tcPr>
            <w:tcW w:w="24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31,074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168,627</w:t>
            </w:r>
          </w:p>
        </w:tc>
        <w:tc>
          <w:tcPr>
            <w:tcW w:w="28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81,025</w:t>
            </w:r>
          </w:p>
        </w:tc>
      </w:tr>
      <w:tr>
        <w:trPr>
          <w:trHeight w:val="181"/>
        </w:trPr>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418,456</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414,361</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393,898</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424,972</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343,947</w:t>
            </w:r>
          </w:p>
        </w:tc>
      </w:tr>
      <w:tr>
        <w:trPr>
          <w:trHeight w:val="169"/>
        </w:trPr>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593,599</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418,456</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424,972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593,599</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424,972</w:t>
            </w:r>
          </w:p>
        </w:tc>
      </w:tr>
      <w:tr>
        <w:trPr>
          <w:trHeight w:val="129"/>
        </w:trPr>
        <w:tc>
          <w:tcPr>
            <w:tcW w:w="20" w:type="dxa"/>
            <w:vAlign w:val="bottom"/>
          </w:tcPr>
          <w:p>
            <w:pPr>
              <w:spacing w:after="0"/>
              <w:rPr>
                <w:sz w:val="11"/>
                <w:szCs w:val="11"/>
                <w:color w:val="auto"/>
              </w:rPr>
            </w:pPr>
          </w:p>
        </w:tc>
        <w:tc>
          <w:tcPr>
            <w:tcW w:w="58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4"/>
          <w:szCs w:val="14"/>
          <w:b w:val="1"/>
          <w:bCs w:val="1"/>
          <w:color w:val="auto"/>
        </w:rPr>
        <w:t>Analog Devices, Fourth Quarter, Fiscal 2008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Revenue Trends by End Market</w:t>
      </w:r>
    </w:p>
    <w:p>
      <w:pPr>
        <w:spacing w:after="0" w:line="15"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4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0" w:type="dxa"/>
            <w:vAlign w:val="bottom"/>
            <w:gridSpan w:val="2"/>
          </w:tcPr>
          <w:p>
            <w:pPr>
              <w:jc w:val="center"/>
              <w:ind w:left="388"/>
              <w:spacing w:after="0" w:line="133" w:lineRule="exact"/>
              <w:rPr>
                <w:sz w:val="20"/>
                <w:szCs w:val="20"/>
                <w:color w:val="auto"/>
              </w:rPr>
            </w:pPr>
            <w:r>
              <w:rPr>
                <w:rFonts w:ascii="Arial" w:cs="Arial" w:eastAsia="Arial" w:hAnsi="Arial"/>
                <w:sz w:val="14"/>
                <w:szCs w:val="14"/>
                <w:b w:val="1"/>
                <w:bCs w:val="1"/>
                <w:color w:val="auto"/>
                <w:w w:val="91"/>
              </w:rPr>
              <w:t>Nov. 1,</w:t>
            </w:r>
          </w:p>
        </w:tc>
        <w:tc>
          <w:tcPr>
            <w:tcW w:w="5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4"/>
              </w:rPr>
              <w:t>Aug. 2,</w:t>
            </w:r>
          </w:p>
        </w:tc>
        <w:tc>
          <w:tcPr>
            <w:tcW w:w="240" w:type="dxa"/>
            <w:vAlign w:val="bottom"/>
          </w:tcPr>
          <w:p>
            <w:pPr>
              <w:spacing w:after="0"/>
              <w:rPr>
                <w:sz w:val="11"/>
                <w:szCs w:val="11"/>
                <w:color w:val="auto"/>
              </w:rPr>
            </w:pPr>
          </w:p>
        </w:tc>
        <w:tc>
          <w:tcPr>
            <w:tcW w:w="940" w:type="dxa"/>
            <w:vAlign w:val="bottom"/>
          </w:tcPr>
          <w:p>
            <w:pPr>
              <w:jc w:val="center"/>
              <w:ind w:right="208"/>
              <w:spacing w:after="0" w:line="133" w:lineRule="exact"/>
              <w:rPr>
                <w:sz w:val="20"/>
                <w:szCs w:val="20"/>
                <w:color w:val="auto"/>
              </w:rPr>
            </w:pPr>
            <w:r>
              <w:rPr>
                <w:rFonts w:ascii="Arial" w:cs="Arial" w:eastAsia="Arial" w:hAnsi="Arial"/>
                <w:sz w:val="14"/>
                <w:szCs w:val="14"/>
                <w:b w:val="1"/>
                <w:bCs w:val="1"/>
                <w:color w:val="auto"/>
                <w:w w:val="91"/>
              </w:rPr>
              <w:t>Nov. 3,</w:t>
            </w:r>
          </w:p>
        </w:tc>
        <w:tc>
          <w:tcPr>
            <w:tcW w:w="20" w:type="dxa"/>
            <w:vAlign w:val="bottom"/>
          </w:tcPr>
          <w:p>
            <w:pPr>
              <w:spacing w:after="0"/>
              <w:rPr>
                <w:sz w:val="11"/>
                <w:szCs w:val="11"/>
                <w:color w:val="auto"/>
              </w:rPr>
            </w:pPr>
          </w:p>
        </w:tc>
      </w:tr>
      <w:tr>
        <w:trPr>
          <w:trHeight w:val="185"/>
        </w:trPr>
        <w:tc>
          <w:tcPr>
            <w:tcW w:w="4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6"/>
                <w:szCs w:val="16"/>
                <w:color w:val="auto"/>
              </w:rPr>
            </w:pPr>
          </w:p>
        </w:tc>
      </w:tr>
      <w:tr>
        <w:trPr>
          <w:trHeight w:val="169"/>
        </w:trPr>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468"/>
              <w:spacing w:after="0"/>
              <w:rPr>
                <w:sz w:val="20"/>
                <w:szCs w:val="20"/>
                <w:color w:val="auto"/>
              </w:rPr>
            </w:pPr>
            <w:r>
              <w:rPr>
                <w:rFonts w:ascii="Arial" w:cs="Arial" w:eastAsia="Arial" w:hAnsi="Arial"/>
                <w:sz w:val="14"/>
                <w:szCs w:val="14"/>
                <w:b w:val="1"/>
                <w:bCs w:val="1"/>
                <w:color w:val="auto"/>
              </w:rPr>
              <w:t>Revenue</w:t>
            </w:r>
          </w:p>
        </w:tc>
        <w:tc>
          <w:tcPr>
            <w:tcW w:w="70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Q/Q %</w:t>
            </w:r>
          </w:p>
        </w:tc>
        <w:tc>
          <w:tcPr>
            <w:tcW w:w="1460" w:type="dxa"/>
            <w:vAlign w:val="bottom"/>
          </w:tcPr>
          <w:p>
            <w:pPr>
              <w:jc w:val="right"/>
              <w:ind w:right="268"/>
              <w:spacing w:after="0"/>
              <w:rPr>
                <w:sz w:val="20"/>
                <w:szCs w:val="20"/>
                <w:color w:val="auto"/>
              </w:rPr>
            </w:pPr>
            <w:r>
              <w:rPr>
                <w:rFonts w:ascii="Arial" w:cs="Arial" w:eastAsia="Arial" w:hAnsi="Arial"/>
                <w:sz w:val="14"/>
                <w:szCs w:val="14"/>
                <w:b w:val="1"/>
                <w:bCs w:val="1"/>
                <w:color w:val="auto"/>
              </w:rPr>
              <w:t>Y/Y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4"/>
                <w:szCs w:val="14"/>
                <w:color w:val="auto"/>
              </w:rPr>
            </w:pPr>
          </w:p>
        </w:tc>
        <w:tc>
          <w:tcPr>
            <w:tcW w:w="940" w:type="dxa"/>
            <w:vAlign w:val="bottom"/>
          </w:tcPr>
          <w:p>
            <w:pPr>
              <w:jc w:val="center"/>
              <w:ind w:right="188"/>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4"/>
                <w:szCs w:val="14"/>
                <w:color w:val="auto"/>
              </w:rPr>
            </w:pPr>
          </w:p>
        </w:tc>
      </w:tr>
      <w:tr>
        <w:trPr>
          <w:trHeight w:val="164"/>
        </w:trPr>
        <w:tc>
          <w:tcPr>
            <w:tcW w:w="4160" w:type="dxa"/>
            <w:vAlign w:val="bottom"/>
          </w:tcPr>
          <w:p>
            <w:pPr>
              <w:spacing w:after="0"/>
              <w:rPr>
                <w:sz w:val="20"/>
                <w:szCs w:val="20"/>
                <w:color w:val="auto"/>
              </w:rPr>
            </w:pPr>
            <w:r>
              <w:rPr>
                <w:rFonts w:ascii="Arial" w:cs="Arial" w:eastAsia="Arial" w:hAnsi="Arial"/>
                <w:sz w:val="14"/>
                <w:szCs w:val="14"/>
                <w:color w:val="auto"/>
              </w:rPr>
              <w:t>Industrial</w:t>
            </w:r>
          </w:p>
        </w:tc>
        <w:tc>
          <w:tcPr>
            <w:tcW w:w="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312,841</w:t>
            </w: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47%</w:t>
            </w:r>
          </w:p>
        </w:tc>
        <w:tc>
          <w:tcPr>
            <w:tcW w:w="3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328,901</w:t>
            </w:r>
          </w:p>
        </w:tc>
        <w:tc>
          <w:tcPr>
            <w:tcW w:w="140" w:type="dxa"/>
            <w:vAlign w:val="bottom"/>
          </w:tcPr>
          <w:p>
            <w:pPr>
              <w:spacing w:after="0"/>
              <w:rPr>
                <w:sz w:val="14"/>
                <w:szCs w:val="14"/>
                <w:color w:val="auto"/>
              </w:rPr>
            </w:pPr>
          </w:p>
        </w:tc>
        <w:tc>
          <w:tcPr>
            <w:tcW w:w="2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300,006</w:t>
            </w:r>
          </w:p>
        </w:tc>
        <w:tc>
          <w:tcPr>
            <w:tcW w:w="20" w:type="dxa"/>
            <w:vAlign w:val="bottom"/>
          </w:tcPr>
          <w:p>
            <w:pPr>
              <w:spacing w:after="0"/>
              <w:rPr>
                <w:sz w:val="14"/>
                <w:szCs w:val="14"/>
                <w:color w:val="auto"/>
              </w:rPr>
            </w:pPr>
          </w:p>
        </w:tc>
      </w:tr>
      <w:tr>
        <w:trPr>
          <w:trHeight w:val="176"/>
        </w:trPr>
        <w:tc>
          <w:tcPr>
            <w:tcW w:w="4160" w:type="dxa"/>
            <w:vAlign w:val="bottom"/>
          </w:tcPr>
          <w:p>
            <w:pPr>
              <w:spacing w:after="0"/>
              <w:rPr>
                <w:sz w:val="20"/>
                <w:szCs w:val="20"/>
                <w:color w:val="auto"/>
              </w:rPr>
            </w:pPr>
            <w:r>
              <w:rPr>
                <w:rFonts w:ascii="Arial" w:cs="Arial" w:eastAsia="Arial" w:hAnsi="Arial"/>
                <w:sz w:val="14"/>
                <w:szCs w:val="14"/>
                <w:color w:val="auto"/>
              </w:rPr>
              <w:t>Communications</w:t>
            </w:r>
          </w:p>
        </w:tc>
        <w:tc>
          <w:tcPr>
            <w:tcW w:w="26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175,799</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27%</w:t>
            </w: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w:t>
            </w:r>
          </w:p>
        </w:tc>
        <w:tc>
          <w:tcPr>
            <w:tcW w:w="1460" w:type="dxa"/>
            <w:vAlign w:val="bottom"/>
          </w:tcPr>
          <w:p>
            <w:pPr>
              <w:jc w:val="right"/>
              <w:ind w:right="28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158,862</w:t>
            </w:r>
          </w:p>
        </w:tc>
        <w:tc>
          <w:tcPr>
            <w:tcW w:w="2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131,027</w:t>
            </w:r>
          </w:p>
        </w:tc>
      </w:tr>
      <w:tr>
        <w:trPr>
          <w:trHeight w:val="176"/>
        </w:trPr>
        <w:tc>
          <w:tcPr>
            <w:tcW w:w="4160" w:type="dxa"/>
            <w:vAlign w:val="bottom"/>
          </w:tcPr>
          <w:p>
            <w:pPr>
              <w:spacing w:after="0"/>
              <w:rPr>
                <w:sz w:val="20"/>
                <w:szCs w:val="20"/>
                <w:color w:val="auto"/>
              </w:rPr>
            </w:pPr>
            <w:r>
              <w:rPr>
                <w:rFonts w:ascii="Arial" w:cs="Arial" w:eastAsia="Arial" w:hAnsi="Arial"/>
                <w:sz w:val="14"/>
                <w:szCs w:val="14"/>
                <w:color w:val="auto"/>
              </w:rPr>
              <w:t>Consumer</w:t>
            </w:r>
          </w:p>
        </w:tc>
        <w:tc>
          <w:tcPr>
            <w:tcW w:w="26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140,302</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1460" w:type="dxa"/>
            <w:vAlign w:val="bottom"/>
          </w:tcPr>
          <w:p>
            <w:pPr>
              <w:jc w:val="right"/>
              <w:ind w:right="28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138,157</w:t>
            </w:r>
          </w:p>
        </w:tc>
        <w:tc>
          <w:tcPr>
            <w:tcW w:w="2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157,929</w:t>
            </w:r>
          </w:p>
        </w:tc>
      </w:tr>
      <w:tr>
        <w:trPr>
          <w:trHeight w:val="181"/>
        </w:trPr>
        <w:tc>
          <w:tcPr>
            <w:tcW w:w="4160" w:type="dxa"/>
            <w:vAlign w:val="bottom"/>
          </w:tcPr>
          <w:p>
            <w:pPr>
              <w:spacing w:after="0"/>
              <w:rPr>
                <w:sz w:val="20"/>
                <w:szCs w:val="20"/>
                <w:color w:val="auto"/>
              </w:rPr>
            </w:pPr>
            <w:r>
              <w:rPr>
                <w:rFonts w:ascii="Arial" w:cs="Arial" w:eastAsia="Arial" w:hAnsi="Arial"/>
                <w:sz w:val="14"/>
                <w:szCs w:val="14"/>
                <w:color w:val="auto"/>
              </w:rPr>
              <w:t>Computer</w:t>
            </w:r>
          </w:p>
        </w:tc>
        <w:tc>
          <w:tcPr>
            <w:tcW w:w="26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31,754</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1460" w:type="dxa"/>
            <w:vAlign w:val="bottom"/>
          </w:tcPr>
          <w:p>
            <w:pPr>
              <w:jc w:val="right"/>
              <w:ind w:right="28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33,066</w:t>
            </w:r>
          </w:p>
        </w:tc>
        <w:tc>
          <w:tcPr>
            <w:tcW w:w="2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34,580</w:t>
            </w:r>
          </w:p>
        </w:tc>
      </w:tr>
      <w:tr>
        <w:trPr>
          <w:trHeight w:val="169"/>
        </w:trPr>
        <w:tc>
          <w:tcPr>
            <w:tcW w:w="416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660,696</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100%</w:t>
            </w: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1460" w:type="dxa"/>
            <w:vAlign w:val="bottom"/>
          </w:tcPr>
          <w:p>
            <w:pPr>
              <w:jc w:val="right"/>
              <w:ind w:right="26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658,986</w:t>
            </w:r>
          </w:p>
        </w:tc>
        <w:tc>
          <w:tcPr>
            <w:tcW w:w="14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623,542</w:t>
            </w:r>
          </w:p>
        </w:tc>
        <w:tc>
          <w:tcPr>
            <w:tcW w:w="20" w:type="dxa"/>
            <w:vAlign w:val="bottom"/>
          </w:tcPr>
          <w:p>
            <w:pPr>
              <w:spacing w:after="0"/>
              <w:rPr>
                <w:sz w:val="14"/>
                <w:szCs w:val="14"/>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260" w:type="dxa"/>
            <w:vAlign w:val="bottom"/>
            <w:tcBorders>
              <w:top w:val="single" w:sz="8" w:color="auto"/>
              <w:bottom w:val="single" w:sz="8" w:color="auto"/>
            </w:tcBorders>
            <w:gridSpan w:val="2"/>
          </w:tcPr>
          <w:p>
            <w:pPr>
              <w:jc w:val="right"/>
              <w:ind w:right="708"/>
              <w:spacing w:after="0"/>
              <w:rPr>
                <w:sz w:val="20"/>
                <w:szCs w:val="20"/>
                <w:color w:val="auto"/>
              </w:rPr>
            </w:pPr>
            <w:r>
              <w:rPr>
                <w:rFonts w:ascii="Arial" w:cs="Arial" w:eastAsia="Arial" w:hAnsi="Arial"/>
                <w:sz w:val="14"/>
                <w:szCs w:val="14"/>
                <w:b w:val="1"/>
                <w:bCs w:val="1"/>
                <w:color w:val="auto"/>
                <w:w w:val="99"/>
              </w:rPr>
              <w:t>Twelve Months Ended</w:t>
            </w:r>
          </w:p>
        </w:tc>
        <w:tc>
          <w:tcPr>
            <w:tcW w:w="1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4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gridSpan w:val="3"/>
          </w:tcPr>
          <w:p>
            <w:pPr>
              <w:jc w:val="right"/>
              <w:ind w:right="808"/>
              <w:spacing w:after="0" w:line="133" w:lineRule="exact"/>
              <w:rPr>
                <w:sz w:val="20"/>
                <w:szCs w:val="20"/>
                <w:color w:val="auto"/>
              </w:rPr>
            </w:pPr>
            <w:r>
              <w:rPr>
                <w:rFonts w:ascii="Arial" w:cs="Arial" w:eastAsia="Arial" w:hAnsi="Arial"/>
                <w:sz w:val="14"/>
                <w:szCs w:val="14"/>
                <w:b w:val="1"/>
                <w:bCs w:val="1"/>
                <w:color w:val="auto"/>
              </w:rPr>
              <w:t>Nov. 1,</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jc w:val="center"/>
              <w:ind w:right="248"/>
              <w:spacing w:after="0" w:line="133" w:lineRule="exact"/>
              <w:rPr>
                <w:sz w:val="20"/>
                <w:szCs w:val="20"/>
                <w:color w:val="auto"/>
              </w:rPr>
            </w:pPr>
            <w:r>
              <w:rPr>
                <w:rFonts w:ascii="Arial" w:cs="Arial" w:eastAsia="Arial" w:hAnsi="Arial"/>
                <w:sz w:val="14"/>
                <w:szCs w:val="14"/>
                <w:b w:val="1"/>
                <w:bCs w:val="1"/>
                <w:color w:val="auto"/>
                <w:w w:val="91"/>
              </w:rPr>
              <w:t>Nov. 3,</w:t>
            </w:r>
          </w:p>
        </w:tc>
        <w:tc>
          <w:tcPr>
            <w:tcW w:w="20" w:type="dxa"/>
            <w:vAlign w:val="bottom"/>
          </w:tcPr>
          <w:p>
            <w:pPr>
              <w:spacing w:after="0"/>
              <w:rPr>
                <w:sz w:val="11"/>
                <w:szCs w:val="11"/>
                <w:color w:val="auto"/>
              </w:rPr>
            </w:pPr>
          </w:p>
        </w:tc>
      </w:tr>
      <w:tr>
        <w:trPr>
          <w:trHeight w:val="185"/>
        </w:trPr>
        <w:tc>
          <w:tcPr>
            <w:tcW w:w="4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868"/>
              <w:spacing w:after="0"/>
              <w:rPr>
                <w:sz w:val="20"/>
                <w:szCs w:val="20"/>
                <w:color w:val="auto"/>
              </w:rPr>
            </w:pPr>
            <w:r>
              <w:rPr>
                <w:rFonts w:ascii="Arial" w:cs="Arial" w:eastAsia="Arial" w:hAnsi="Arial"/>
                <w:sz w:val="14"/>
                <w:szCs w:val="14"/>
                <w:b w:val="1"/>
                <w:bCs w:val="1"/>
                <w:color w:val="auto"/>
                <w:w w:val="89"/>
              </w:rPr>
              <w:t>2008</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6"/>
                <w:szCs w:val="16"/>
                <w:color w:val="auto"/>
              </w:rPr>
            </w:pPr>
          </w:p>
        </w:tc>
      </w:tr>
      <w:tr>
        <w:trPr>
          <w:trHeight w:val="169"/>
        </w:trPr>
        <w:tc>
          <w:tcPr>
            <w:tcW w:w="4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Revenue</w:t>
            </w:r>
          </w:p>
        </w:tc>
        <w:tc>
          <w:tcPr>
            <w:tcW w:w="5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Y/Y %</w:t>
            </w: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Y/Y %*</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4"/>
                <w:szCs w:val="14"/>
                <w:color w:val="auto"/>
              </w:rPr>
            </w:pPr>
          </w:p>
        </w:tc>
      </w:tr>
      <w:tr>
        <w:trPr>
          <w:trHeight w:val="164"/>
        </w:trPr>
        <w:tc>
          <w:tcPr>
            <w:tcW w:w="4160" w:type="dxa"/>
            <w:vAlign w:val="bottom"/>
          </w:tcPr>
          <w:p>
            <w:pPr>
              <w:spacing w:after="0"/>
              <w:rPr>
                <w:sz w:val="20"/>
                <w:szCs w:val="20"/>
                <w:color w:val="auto"/>
              </w:rPr>
            </w:pPr>
            <w:r>
              <w:rPr>
                <w:rFonts w:ascii="Arial" w:cs="Arial" w:eastAsia="Arial" w:hAnsi="Arial"/>
                <w:sz w:val="14"/>
                <w:szCs w:val="14"/>
                <w:color w:val="auto"/>
              </w:rPr>
              <w:t>Industrial</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1,274,924</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w:t>
            </w:r>
          </w:p>
        </w:tc>
        <w:tc>
          <w:tcPr>
            <w:tcW w:w="1240" w:type="dxa"/>
            <w:vAlign w:val="bottom"/>
            <w:gridSpan w:val="2"/>
          </w:tcPr>
          <w:p>
            <w:pPr>
              <w:jc w:val="right"/>
              <w:ind w:right="288"/>
              <w:spacing w:after="0"/>
              <w:rPr>
                <w:sz w:val="20"/>
                <w:szCs w:val="20"/>
                <w:color w:val="auto"/>
              </w:rPr>
            </w:pPr>
            <w:r>
              <w:rPr>
                <w:rFonts w:ascii="Arial" w:cs="Arial" w:eastAsia="Arial" w:hAnsi="Arial"/>
                <w:sz w:val="14"/>
                <w:szCs w:val="14"/>
                <w:color w:val="auto"/>
              </w:rPr>
              <w:t>6%</w:t>
            </w: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1,198,984</w:t>
            </w:r>
          </w:p>
        </w:tc>
        <w:tc>
          <w:tcPr>
            <w:tcW w:w="20" w:type="dxa"/>
            <w:vAlign w:val="bottom"/>
          </w:tcPr>
          <w:p>
            <w:pPr>
              <w:spacing w:after="0"/>
              <w:rPr>
                <w:sz w:val="14"/>
                <w:szCs w:val="14"/>
                <w:color w:val="auto"/>
              </w:rPr>
            </w:pPr>
          </w:p>
        </w:tc>
      </w:tr>
      <w:tr>
        <w:trPr>
          <w:trHeight w:val="176"/>
        </w:trPr>
        <w:tc>
          <w:tcPr>
            <w:tcW w:w="4160" w:type="dxa"/>
            <w:vAlign w:val="bottom"/>
          </w:tcPr>
          <w:p>
            <w:pPr>
              <w:spacing w:after="0"/>
              <w:rPr>
                <w:sz w:val="20"/>
                <w:szCs w:val="20"/>
                <w:color w:val="auto"/>
              </w:rPr>
            </w:pPr>
            <w:r>
              <w:rPr>
                <w:rFonts w:ascii="Arial" w:cs="Arial" w:eastAsia="Arial" w:hAnsi="Arial"/>
                <w:sz w:val="14"/>
                <w:szCs w:val="14"/>
                <w:color w:val="auto"/>
              </w:rPr>
              <w:t>Communications</w:t>
            </w:r>
          </w:p>
        </w:tc>
        <w:tc>
          <w:tcPr>
            <w:tcW w:w="26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637,277</w:t>
            </w:r>
          </w:p>
        </w:tc>
        <w:tc>
          <w:tcPr>
            <w:tcW w:w="580" w:type="dxa"/>
            <w:vAlign w:val="bottom"/>
          </w:tcPr>
          <w:p>
            <w:pPr>
              <w:jc w:val="right"/>
              <w:spacing w:after="0"/>
              <w:rPr>
                <w:sz w:val="20"/>
                <w:szCs w:val="20"/>
                <w:color w:val="auto"/>
              </w:rPr>
            </w:pPr>
            <w:r>
              <w:rPr>
                <w:rFonts w:ascii="Arial" w:cs="Arial" w:eastAsia="Arial" w:hAnsi="Arial"/>
                <w:sz w:val="14"/>
                <w:szCs w:val="14"/>
                <w:color w:val="auto"/>
              </w:rPr>
              <w:t>25%</w:t>
            </w:r>
          </w:p>
        </w:tc>
        <w:tc>
          <w:tcPr>
            <w:tcW w:w="1240" w:type="dxa"/>
            <w:vAlign w:val="bottom"/>
            <w:gridSpan w:val="2"/>
          </w:tcPr>
          <w:p>
            <w:pPr>
              <w:jc w:val="right"/>
              <w:ind w:right="288"/>
              <w:spacing w:after="0"/>
              <w:rPr>
                <w:sz w:val="20"/>
                <w:szCs w:val="20"/>
                <w:color w:val="auto"/>
              </w:rPr>
            </w:pPr>
            <w:r>
              <w:rPr>
                <w:rFonts w:ascii="Arial" w:cs="Arial" w:eastAsia="Arial" w:hAnsi="Arial"/>
                <w:sz w:val="14"/>
                <w:szCs w:val="14"/>
                <w:color w:val="auto"/>
              </w:rPr>
              <w:t>21%</w:t>
            </w: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527,287</w:t>
            </w:r>
          </w:p>
        </w:tc>
      </w:tr>
      <w:tr>
        <w:trPr>
          <w:trHeight w:val="176"/>
        </w:trPr>
        <w:tc>
          <w:tcPr>
            <w:tcW w:w="4160" w:type="dxa"/>
            <w:vAlign w:val="bottom"/>
          </w:tcPr>
          <w:p>
            <w:pPr>
              <w:spacing w:after="0"/>
              <w:rPr>
                <w:sz w:val="20"/>
                <w:szCs w:val="20"/>
                <w:color w:val="auto"/>
              </w:rPr>
            </w:pPr>
            <w:r>
              <w:rPr>
                <w:rFonts w:ascii="Arial" w:cs="Arial" w:eastAsia="Arial" w:hAnsi="Arial"/>
                <w:sz w:val="14"/>
                <w:szCs w:val="14"/>
                <w:color w:val="auto"/>
              </w:rPr>
              <w:t>Consumer</w:t>
            </w:r>
          </w:p>
        </w:tc>
        <w:tc>
          <w:tcPr>
            <w:tcW w:w="26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544,274</w:t>
            </w:r>
          </w:p>
        </w:tc>
        <w:tc>
          <w:tcPr>
            <w:tcW w:w="580" w:type="dxa"/>
            <w:vAlign w:val="bottom"/>
          </w:tcPr>
          <w:p>
            <w:pPr>
              <w:jc w:val="right"/>
              <w:spacing w:after="0"/>
              <w:rPr>
                <w:sz w:val="20"/>
                <w:szCs w:val="20"/>
                <w:color w:val="auto"/>
              </w:rPr>
            </w:pPr>
            <w:r>
              <w:rPr>
                <w:rFonts w:ascii="Arial" w:cs="Arial" w:eastAsia="Arial" w:hAnsi="Arial"/>
                <w:sz w:val="14"/>
                <w:szCs w:val="14"/>
                <w:color w:val="auto"/>
              </w:rPr>
              <w:t>21%</w:t>
            </w:r>
          </w:p>
        </w:tc>
        <w:tc>
          <w:tcPr>
            <w:tcW w:w="1240" w:type="dxa"/>
            <w:vAlign w:val="bottom"/>
            <w:gridSpan w:val="2"/>
          </w:tcPr>
          <w:p>
            <w:pPr>
              <w:jc w:val="right"/>
              <w:ind w:right="288"/>
              <w:spacing w:after="0"/>
              <w:rPr>
                <w:sz w:val="20"/>
                <w:szCs w:val="20"/>
                <w:color w:val="auto"/>
              </w:rPr>
            </w:pPr>
            <w:r>
              <w:rPr>
                <w:rFonts w:ascii="Arial" w:cs="Arial" w:eastAsia="Arial" w:hAnsi="Arial"/>
                <w:sz w:val="14"/>
                <w:szCs w:val="14"/>
                <w:color w:val="auto"/>
              </w:rPr>
              <w:t>-2%</w:t>
            </w: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557,373</w:t>
            </w:r>
          </w:p>
        </w:tc>
      </w:tr>
      <w:tr>
        <w:trPr>
          <w:trHeight w:val="181"/>
        </w:trPr>
        <w:tc>
          <w:tcPr>
            <w:tcW w:w="4160" w:type="dxa"/>
            <w:vAlign w:val="bottom"/>
          </w:tcPr>
          <w:p>
            <w:pPr>
              <w:spacing w:after="0"/>
              <w:rPr>
                <w:sz w:val="20"/>
                <w:szCs w:val="20"/>
                <w:color w:val="auto"/>
              </w:rPr>
            </w:pPr>
            <w:r>
              <w:rPr>
                <w:rFonts w:ascii="Arial" w:cs="Arial" w:eastAsia="Arial" w:hAnsi="Arial"/>
                <w:sz w:val="14"/>
                <w:szCs w:val="14"/>
                <w:color w:val="auto"/>
              </w:rPr>
              <w:t>Computer</w:t>
            </w:r>
          </w:p>
        </w:tc>
        <w:tc>
          <w:tcPr>
            <w:tcW w:w="26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126,456</w:t>
            </w: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1240" w:type="dxa"/>
            <w:vAlign w:val="bottom"/>
            <w:gridSpan w:val="2"/>
          </w:tcPr>
          <w:p>
            <w:pPr>
              <w:jc w:val="right"/>
              <w:ind w:right="288"/>
              <w:spacing w:after="0"/>
              <w:rPr>
                <w:sz w:val="20"/>
                <w:szCs w:val="20"/>
                <w:color w:val="auto"/>
              </w:rPr>
            </w:pPr>
            <w:r>
              <w:rPr>
                <w:rFonts w:ascii="Arial" w:cs="Arial" w:eastAsia="Arial" w:hAnsi="Arial"/>
                <w:sz w:val="14"/>
                <w:szCs w:val="14"/>
                <w:color w:val="auto"/>
              </w:rPr>
              <w:t>-13%</w:t>
            </w: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146,077</w:t>
            </w:r>
          </w:p>
        </w:tc>
      </w:tr>
      <w:tr>
        <w:trPr>
          <w:trHeight w:val="169"/>
        </w:trPr>
        <w:tc>
          <w:tcPr>
            <w:tcW w:w="4160" w:type="dxa"/>
            <w:vAlign w:val="bottom"/>
          </w:tcPr>
          <w:p>
            <w:pPr>
              <w:spacing w:after="0"/>
              <w:rPr>
                <w:sz w:val="20"/>
                <w:szCs w:val="20"/>
                <w:color w:val="auto"/>
              </w:rPr>
            </w:pPr>
            <w:r>
              <w:rPr>
                <w:rFonts w:ascii="Arial" w:cs="Arial" w:eastAsia="Arial" w:hAnsi="Arial"/>
                <w:sz w:val="14"/>
                <w:szCs w:val="14"/>
                <w:b w:val="1"/>
                <w:bCs w:val="1"/>
                <w:color w:val="auto"/>
              </w:rPr>
              <w:t>Total Product Revenue</w:t>
            </w: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2,582,931</w:t>
            </w: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w:t>
            </w: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6%</w:t>
            </w:r>
          </w:p>
        </w:tc>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2,429,721</w:t>
            </w:r>
          </w:p>
        </w:tc>
        <w:tc>
          <w:tcPr>
            <w:tcW w:w="20" w:type="dxa"/>
            <w:vAlign w:val="bottom"/>
          </w:tcPr>
          <w:p>
            <w:pPr>
              <w:spacing w:after="0"/>
              <w:rPr>
                <w:sz w:val="14"/>
                <w:szCs w:val="14"/>
                <w:color w:val="auto"/>
              </w:rPr>
            </w:pPr>
          </w:p>
        </w:tc>
      </w:tr>
      <w:tr>
        <w:trPr>
          <w:trHeight w:val="169"/>
        </w:trPr>
        <w:tc>
          <w:tcPr>
            <w:tcW w:w="4160" w:type="dxa"/>
            <w:vAlign w:val="bottom"/>
          </w:tcPr>
          <w:p>
            <w:pPr>
              <w:spacing w:after="0"/>
              <w:rPr>
                <w:sz w:val="20"/>
                <w:szCs w:val="20"/>
                <w:color w:val="auto"/>
              </w:rPr>
            </w:pPr>
            <w:r>
              <w:rPr>
                <w:rFonts w:ascii="Arial" w:cs="Arial" w:eastAsia="Arial" w:hAnsi="Arial"/>
                <w:sz w:val="14"/>
                <w:szCs w:val="14"/>
                <w:color w:val="auto"/>
              </w:rPr>
              <w:t>Revenue from one-time IP license</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35,000</w:t>
            </w:r>
          </w:p>
        </w:tc>
        <w:tc>
          <w:tcPr>
            <w:tcW w:w="20" w:type="dxa"/>
            <w:vAlign w:val="bottom"/>
          </w:tcPr>
          <w:p>
            <w:pPr>
              <w:spacing w:after="0"/>
              <w:rPr>
                <w:sz w:val="14"/>
                <w:szCs w:val="14"/>
                <w:color w:val="auto"/>
              </w:rPr>
            </w:pPr>
          </w:p>
        </w:tc>
      </w:tr>
      <w:tr>
        <w:trPr>
          <w:trHeight w:val="169"/>
        </w:trPr>
        <w:tc>
          <w:tcPr>
            <w:tcW w:w="4160" w:type="dxa"/>
            <w:vAlign w:val="bottom"/>
          </w:tcPr>
          <w:p>
            <w:pPr>
              <w:ind w:left="80"/>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2,582,931</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2,464,721</w:t>
            </w:r>
          </w:p>
        </w:tc>
        <w:tc>
          <w:tcPr>
            <w:tcW w:w="20" w:type="dxa"/>
            <w:vAlign w:val="bottom"/>
          </w:tcPr>
          <w:p>
            <w:pPr>
              <w:spacing w:after="0"/>
              <w:rPr>
                <w:sz w:val="14"/>
                <w:szCs w:val="14"/>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right="260" w:firstLine="8"/>
        <w:spacing w:after="0" w:line="253" w:lineRule="auto"/>
        <w:tabs>
          <w:tab w:leader="none" w:pos="108"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change reflects the year-over-year change on an equivalent 13-week basis. The year ended November 3, 2007 was a 53-week year. ADI follows a 52-week, or 364-day, fiscal calendar that results in a 53-week year approximately every seventh year, as occurred in fiscal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27202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4"/>
          <w:szCs w:val="14"/>
          <w:b w:val="1"/>
          <w:bCs w:val="1"/>
          <w:color w:val="auto"/>
        </w:rPr>
        <w:t>Analog Devices, Fourth Quarter, Fiscal 2008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Revenue Trends by Product Type</w:t>
      </w:r>
    </w:p>
    <w:p>
      <w:pPr>
        <w:spacing w:after="0" w:line="15"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90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4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left="388"/>
              <w:spacing w:after="0" w:line="133" w:lineRule="exact"/>
              <w:rPr>
                <w:sz w:val="20"/>
                <w:szCs w:val="20"/>
                <w:color w:val="auto"/>
              </w:rPr>
            </w:pPr>
            <w:r>
              <w:rPr>
                <w:rFonts w:ascii="Arial" w:cs="Arial" w:eastAsia="Arial" w:hAnsi="Arial"/>
                <w:sz w:val="14"/>
                <w:szCs w:val="14"/>
                <w:b w:val="1"/>
                <w:bCs w:val="1"/>
                <w:color w:val="auto"/>
                <w:w w:val="91"/>
              </w:rPr>
              <w:t>Nov. 1,</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4"/>
              </w:rPr>
              <w:t>Aug. 2,</w:t>
            </w:r>
          </w:p>
        </w:tc>
        <w:tc>
          <w:tcPr>
            <w:tcW w:w="240" w:type="dxa"/>
            <w:vAlign w:val="bottom"/>
          </w:tcPr>
          <w:p>
            <w:pPr>
              <w:spacing w:after="0"/>
              <w:rPr>
                <w:sz w:val="11"/>
                <w:szCs w:val="11"/>
                <w:color w:val="auto"/>
              </w:rPr>
            </w:pPr>
          </w:p>
        </w:tc>
        <w:tc>
          <w:tcPr>
            <w:tcW w:w="940" w:type="dxa"/>
            <w:vAlign w:val="bottom"/>
          </w:tcPr>
          <w:p>
            <w:pPr>
              <w:jc w:val="center"/>
              <w:ind w:right="168"/>
              <w:spacing w:after="0" w:line="133" w:lineRule="exact"/>
              <w:rPr>
                <w:sz w:val="20"/>
                <w:szCs w:val="20"/>
                <w:color w:val="auto"/>
              </w:rPr>
            </w:pPr>
            <w:r>
              <w:rPr>
                <w:rFonts w:ascii="Arial" w:cs="Arial" w:eastAsia="Arial" w:hAnsi="Arial"/>
                <w:sz w:val="14"/>
                <w:szCs w:val="14"/>
                <w:b w:val="1"/>
                <w:bCs w:val="1"/>
                <w:color w:val="auto"/>
                <w:w w:val="91"/>
              </w:rPr>
              <w:t>Nov. 3,</w:t>
            </w:r>
          </w:p>
        </w:tc>
        <w:tc>
          <w:tcPr>
            <w:tcW w:w="20" w:type="dxa"/>
            <w:vAlign w:val="bottom"/>
          </w:tcPr>
          <w:p>
            <w:pPr>
              <w:spacing w:after="0"/>
              <w:rPr>
                <w:sz w:val="11"/>
                <w:szCs w:val="11"/>
                <w:color w:val="auto"/>
              </w:rPr>
            </w:pPr>
          </w:p>
        </w:tc>
      </w:tr>
      <w:tr>
        <w:trPr>
          <w:trHeight w:val="185"/>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4"/>
                <w:szCs w:val="14"/>
                <w:b w:val="1"/>
                <w:bCs w:val="1"/>
                <w:color w:val="auto"/>
                <w:w w:val="96"/>
              </w:rPr>
              <w:t>2008</w:t>
            </w: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6"/>
                <w:szCs w:val="16"/>
                <w:color w:val="auto"/>
              </w:rPr>
            </w:pPr>
          </w:p>
        </w:tc>
      </w:tr>
      <w:tr>
        <w:trPr>
          <w:trHeight w:val="169"/>
        </w:trPr>
        <w:tc>
          <w:tcPr>
            <w:tcW w:w="4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Revenue</w:t>
            </w:r>
          </w:p>
        </w:tc>
        <w:tc>
          <w:tcPr>
            <w:tcW w:w="7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Q/Q %</w:t>
            </w: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Y/Y %</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4"/>
                <w:szCs w:val="14"/>
                <w:color w:val="auto"/>
              </w:rPr>
            </w:pPr>
          </w:p>
        </w:tc>
      </w:tr>
      <w:tr>
        <w:trPr>
          <w:trHeight w:val="164"/>
        </w:trPr>
        <w:tc>
          <w:tcPr>
            <w:tcW w:w="4300" w:type="dxa"/>
            <w:vAlign w:val="bottom"/>
          </w:tcPr>
          <w:p>
            <w:pPr>
              <w:spacing w:after="0"/>
              <w:rPr>
                <w:sz w:val="20"/>
                <w:szCs w:val="20"/>
                <w:color w:val="auto"/>
              </w:rPr>
            </w:pPr>
            <w:r>
              <w:rPr>
                <w:rFonts w:ascii="Arial" w:cs="Arial" w:eastAsia="Arial" w:hAnsi="Arial"/>
                <w:sz w:val="14"/>
                <w:szCs w:val="14"/>
                <w:color w:val="auto"/>
              </w:rPr>
              <w:t>Converters</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309,436</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47%</w:t>
            </w:r>
          </w:p>
        </w:tc>
        <w:tc>
          <w:tcPr>
            <w:tcW w:w="30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2%</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302,764</w:t>
            </w:r>
          </w:p>
        </w:tc>
        <w:tc>
          <w:tcPr>
            <w:tcW w:w="140" w:type="dxa"/>
            <w:vAlign w:val="bottom"/>
          </w:tcPr>
          <w:p>
            <w:pPr>
              <w:spacing w:after="0"/>
              <w:rPr>
                <w:sz w:val="14"/>
                <w:szCs w:val="14"/>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286,341</w:t>
            </w:r>
          </w:p>
        </w:tc>
        <w:tc>
          <w:tcPr>
            <w:tcW w:w="20" w:type="dxa"/>
            <w:vAlign w:val="bottom"/>
          </w:tcPr>
          <w:p>
            <w:pPr>
              <w:spacing w:after="0"/>
              <w:rPr>
                <w:sz w:val="14"/>
                <w:szCs w:val="14"/>
                <w:color w:val="auto"/>
              </w:rPr>
            </w:pPr>
          </w:p>
        </w:tc>
      </w:tr>
      <w:tr>
        <w:trPr>
          <w:trHeight w:val="176"/>
        </w:trPr>
        <w:tc>
          <w:tcPr>
            <w:tcW w:w="4300" w:type="dxa"/>
            <w:vAlign w:val="bottom"/>
          </w:tcPr>
          <w:p>
            <w:pPr>
              <w:spacing w:after="0"/>
              <w:rPr>
                <w:sz w:val="20"/>
                <w:szCs w:val="20"/>
                <w:color w:val="auto"/>
              </w:rPr>
            </w:pPr>
            <w:r>
              <w:rPr>
                <w:rFonts w:ascii="Arial" w:cs="Arial" w:eastAsia="Arial" w:hAnsi="Arial"/>
                <w:sz w:val="14"/>
                <w:szCs w:val="14"/>
                <w:color w:val="auto"/>
              </w:rPr>
              <w:t>Amplifiers</w:t>
            </w:r>
          </w:p>
        </w:tc>
        <w:tc>
          <w:tcPr>
            <w:tcW w:w="2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150,520</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15"/>
                <w:szCs w:val="15"/>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150,923</w:t>
            </w:r>
          </w:p>
        </w:tc>
        <w:tc>
          <w:tcPr>
            <w:tcW w:w="2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138,497</w:t>
            </w:r>
          </w:p>
        </w:tc>
      </w:tr>
      <w:tr>
        <w:trPr>
          <w:trHeight w:val="181"/>
        </w:trPr>
        <w:tc>
          <w:tcPr>
            <w:tcW w:w="4300" w:type="dxa"/>
            <w:vAlign w:val="bottom"/>
          </w:tcPr>
          <w:p>
            <w:pPr>
              <w:spacing w:after="0"/>
              <w:rPr>
                <w:sz w:val="20"/>
                <w:szCs w:val="20"/>
                <w:color w:val="auto"/>
              </w:rPr>
            </w:pPr>
            <w:r>
              <w:rPr>
                <w:rFonts w:ascii="Arial" w:cs="Arial" w:eastAsia="Arial" w:hAnsi="Arial"/>
                <w:sz w:val="14"/>
                <w:szCs w:val="14"/>
                <w:color w:val="auto"/>
              </w:rPr>
              <w:t>Other analog</w:t>
            </w:r>
          </w:p>
        </w:tc>
        <w:tc>
          <w:tcPr>
            <w:tcW w:w="2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93,782</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300" w:type="dxa"/>
            <w:vAlign w:val="bottom"/>
          </w:tcPr>
          <w:p>
            <w:pPr>
              <w:spacing w:after="0"/>
              <w:rPr>
                <w:sz w:val="15"/>
                <w:szCs w:val="15"/>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auto"/>
              </w:rPr>
              <w:t>-6%</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100,003</w:t>
            </w:r>
          </w:p>
        </w:tc>
        <w:tc>
          <w:tcPr>
            <w:tcW w:w="2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100,232</w:t>
            </w:r>
          </w:p>
        </w:tc>
      </w:tr>
      <w:tr>
        <w:trPr>
          <w:trHeight w:val="169"/>
        </w:trPr>
        <w:tc>
          <w:tcPr>
            <w:tcW w:w="4300" w:type="dxa"/>
            <w:vAlign w:val="bottom"/>
          </w:tcPr>
          <w:p>
            <w:pPr>
              <w:spacing w:after="0"/>
              <w:rPr>
                <w:sz w:val="20"/>
                <w:szCs w:val="20"/>
                <w:color w:val="auto"/>
              </w:rPr>
            </w:pPr>
            <w:r>
              <w:rPr>
                <w:rFonts w:ascii="Arial" w:cs="Arial" w:eastAsia="Arial" w:hAnsi="Arial"/>
                <w:sz w:val="14"/>
                <w:szCs w:val="14"/>
                <w:color w:val="auto"/>
              </w:rPr>
              <w:t>Sub-Total Analog Signal Processing</w:t>
            </w:r>
          </w:p>
        </w:tc>
        <w:tc>
          <w:tcPr>
            <w:tcW w:w="2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553,738</w:t>
            </w:r>
          </w:p>
        </w:tc>
        <w:tc>
          <w:tcPr>
            <w:tcW w:w="7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84%</w:t>
            </w:r>
          </w:p>
        </w:tc>
        <w:tc>
          <w:tcPr>
            <w:tcW w:w="30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553,690</w:t>
            </w:r>
          </w:p>
        </w:tc>
        <w:tc>
          <w:tcPr>
            <w:tcW w:w="1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525,070</w:t>
            </w:r>
          </w:p>
        </w:tc>
        <w:tc>
          <w:tcPr>
            <w:tcW w:w="20" w:type="dxa"/>
            <w:vAlign w:val="bottom"/>
          </w:tcPr>
          <w:p>
            <w:pPr>
              <w:spacing w:after="0"/>
              <w:rPr>
                <w:sz w:val="14"/>
                <w:szCs w:val="14"/>
                <w:color w:val="auto"/>
              </w:rPr>
            </w:pPr>
          </w:p>
        </w:tc>
      </w:tr>
      <w:tr>
        <w:trPr>
          <w:trHeight w:val="169"/>
        </w:trPr>
        <w:tc>
          <w:tcPr>
            <w:tcW w:w="4300" w:type="dxa"/>
            <w:vAlign w:val="bottom"/>
          </w:tcPr>
          <w:p>
            <w:pPr>
              <w:spacing w:after="0"/>
              <w:rPr>
                <w:sz w:val="20"/>
                <w:szCs w:val="20"/>
                <w:color w:val="auto"/>
              </w:rPr>
            </w:pPr>
            <w:r>
              <w:rPr>
                <w:rFonts w:ascii="Arial" w:cs="Arial" w:eastAsia="Arial" w:hAnsi="Arial"/>
                <w:sz w:val="14"/>
                <w:szCs w:val="14"/>
                <w:color w:val="auto"/>
              </w:rPr>
              <w:t>Power management &amp; reference</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38,912</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6%</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36,674</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32,283</w:t>
            </w:r>
          </w:p>
        </w:tc>
        <w:tc>
          <w:tcPr>
            <w:tcW w:w="20" w:type="dxa"/>
            <w:vAlign w:val="bottom"/>
          </w:tcPr>
          <w:p>
            <w:pPr>
              <w:spacing w:after="0"/>
              <w:rPr>
                <w:sz w:val="14"/>
                <w:szCs w:val="14"/>
                <w:color w:val="auto"/>
              </w:rPr>
            </w:pPr>
          </w:p>
        </w:tc>
      </w:tr>
      <w:tr>
        <w:trPr>
          <w:trHeight w:val="169"/>
        </w:trPr>
        <w:tc>
          <w:tcPr>
            <w:tcW w:w="4300" w:type="dxa"/>
            <w:vAlign w:val="bottom"/>
          </w:tcPr>
          <w:p>
            <w:pPr>
              <w:spacing w:after="0"/>
              <w:rPr>
                <w:sz w:val="20"/>
                <w:szCs w:val="20"/>
                <w:color w:val="auto"/>
              </w:rPr>
            </w:pPr>
            <w:r>
              <w:rPr>
                <w:rFonts w:ascii="Arial" w:cs="Arial" w:eastAsia="Arial" w:hAnsi="Arial"/>
                <w:sz w:val="14"/>
                <w:szCs w:val="14"/>
                <w:b w:val="1"/>
                <w:bCs w:val="1"/>
                <w:color w:val="auto"/>
              </w:rPr>
              <w:t>Total Analog Products</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592,650</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90%</w:t>
            </w:r>
          </w:p>
        </w:tc>
        <w:tc>
          <w:tcPr>
            <w:tcW w:w="30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0%</w:t>
            </w: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590,364</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557,353</w:t>
            </w:r>
          </w:p>
        </w:tc>
        <w:tc>
          <w:tcPr>
            <w:tcW w:w="20" w:type="dxa"/>
            <w:vAlign w:val="bottom"/>
          </w:tcPr>
          <w:p>
            <w:pPr>
              <w:spacing w:after="0"/>
              <w:rPr>
                <w:sz w:val="14"/>
                <w:szCs w:val="14"/>
                <w:color w:val="auto"/>
              </w:rPr>
            </w:pPr>
          </w:p>
        </w:tc>
      </w:tr>
      <w:tr>
        <w:trPr>
          <w:trHeight w:val="164"/>
        </w:trPr>
        <w:tc>
          <w:tcPr>
            <w:tcW w:w="4300" w:type="dxa"/>
            <w:vAlign w:val="bottom"/>
          </w:tcPr>
          <w:p>
            <w:pPr>
              <w:spacing w:after="0"/>
              <w:rPr>
                <w:sz w:val="20"/>
                <w:szCs w:val="20"/>
                <w:color w:val="auto"/>
              </w:rPr>
            </w:pPr>
            <w:r>
              <w:rPr>
                <w:rFonts w:ascii="Arial" w:cs="Arial" w:eastAsia="Arial" w:hAnsi="Arial"/>
                <w:sz w:val="14"/>
                <w:szCs w:val="14"/>
                <w:color w:val="auto"/>
              </w:rPr>
              <w:t>General purpose DSP</w:t>
            </w:r>
          </w:p>
        </w:tc>
        <w:tc>
          <w:tcPr>
            <w:tcW w:w="26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61,025</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60,521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56,034</w:t>
            </w:r>
          </w:p>
        </w:tc>
        <w:tc>
          <w:tcPr>
            <w:tcW w:w="20" w:type="dxa"/>
            <w:vAlign w:val="bottom"/>
          </w:tcPr>
          <w:p>
            <w:pPr>
              <w:spacing w:after="0"/>
              <w:rPr>
                <w:sz w:val="14"/>
                <w:szCs w:val="14"/>
                <w:color w:val="auto"/>
              </w:rPr>
            </w:pPr>
          </w:p>
        </w:tc>
      </w:tr>
      <w:tr>
        <w:trPr>
          <w:trHeight w:val="181"/>
        </w:trPr>
        <w:tc>
          <w:tcPr>
            <w:tcW w:w="4300" w:type="dxa"/>
            <w:vAlign w:val="bottom"/>
          </w:tcPr>
          <w:p>
            <w:pPr>
              <w:spacing w:after="0"/>
              <w:rPr>
                <w:sz w:val="20"/>
                <w:szCs w:val="20"/>
                <w:color w:val="auto"/>
              </w:rPr>
            </w:pPr>
            <w:r>
              <w:rPr>
                <w:rFonts w:ascii="Arial" w:cs="Arial" w:eastAsia="Arial" w:hAnsi="Arial"/>
                <w:sz w:val="14"/>
                <w:szCs w:val="14"/>
                <w:color w:val="auto"/>
              </w:rPr>
              <w:t>Other DSP</w:t>
            </w:r>
          </w:p>
        </w:tc>
        <w:tc>
          <w:tcPr>
            <w:tcW w:w="2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7,021</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5"/>
                <w:szCs w:val="15"/>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-13%</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8,101</w:t>
            </w:r>
          </w:p>
        </w:tc>
        <w:tc>
          <w:tcPr>
            <w:tcW w:w="2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10,155</w:t>
            </w:r>
          </w:p>
        </w:tc>
      </w:tr>
      <w:tr>
        <w:trPr>
          <w:trHeight w:val="169"/>
        </w:trPr>
        <w:tc>
          <w:tcPr>
            <w:tcW w:w="4300" w:type="dxa"/>
            <w:vAlign w:val="bottom"/>
          </w:tcPr>
          <w:p>
            <w:pPr>
              <w:spacing w:after="0"/>
              <w:rPr>
                <w:sz w:val="20"/>
                <w:szCs w:val="20"/>
                <w:color w:val="auto"/>
              </w:rPr>
            </w:pPr>
            <w:r>
              <w:rPr>
                <w:rFonts w:ascii="Arial" w:cs="Arial" w:eastAsia="Arial" w:hAnsi="Arial"/>
                <w:sz w:val="14"/>
                <w:szCs w:val="14"/>
                <w:b w:val="1"/>
                <w:bCs w:val="1"/>
                <w:color w:val="auto"/>
              </w:rPr>
              <w:t>Total Digital Signal Processing</w:t>
            </w:r>
          </w:p>
        </w:tc>
        <w:tc>
          <w:tcPr>
            <w:tcW w:w="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68,046</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w:t>
            </w:r>
          </w:p>
        </w:tc>
        <w:tc>
          <w:tcPr>
            <w:tcW w:w="300" w:type="dxa"/>
            <w:vAlign w:val="bottom"/>
          </w:tcPr>
          <w:p>
            <w:pPr>
              <w:spacing w:after="0"/>
              <w:rPr>
                <w:sz w:val="14"/>
                <w:szCs w:val="14"/>
                <w:color w:val="auto"/>
              </w:rPr>
            </w:pP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-1%</w:t>
            </w: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68,622</w:t>
            </w:r>
          </w:p>
        </w:tc>
        <w:tc>
          <w:tcPr>
            <w:tcW w:w="14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66,189</w:t>
            </w:r>
          </w:p>
        </w:tc>
        <w:tc>
          <w:tcPr>
            <w:tcW w:w="20" w:type="dxa"/>
            <w:vAlign w:val="bottom"/>
          </w:tcPr>
          <w:p>
            <w:pPr>
              <w:spacing w:after="0"/>
              <w:rPr>
                <w:sz w:val="14"/>
                <w:szCs w:val="14"/>
                <w:color w:val="auto"/>
              </w:rPr>
            </w:pPr>
          </w:p>
        </w:tc>
      </w:tr>
      <w:tr>
        <w:trPr>
          <w:trHeight w:val="169"/>
        </w:trPr>
        <w:tc>
          <w:tcPr>
            <w:tcW w:w="430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660,696</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100%</w:t>
            </w:r>
          </w:p>
        </w:tc>
        <w:tc>
          <w:tcPr>
            <w:tcW w:w="30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0%</w:t>
            </w: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658,986</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623,542</w:t>
            </w:r>
          </w:p>
        </w:tc>
        <w:tc>
          <w:tcPr>
            <w:tcW w:w="20" w:type="dxa"/>
            <w:vAlign w:val="bottom"/>
          </w:tcPr>
          <w:p>
            <w:pPr>
              <w:spacing w:after="0"/>
              <w:rPr>
                <w:sz w:val="14"/>
                <w:szCs w:val="14"/>
                <w:color w:val="auto"/>
              </w:rPr>
            </w:pPr>
          </w:p>
        </w:tc>
      </w:tr>
      <w:tr>
        <w:trPr>
          <w:trHeight w:val="20"/>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2"/>
        </w:trPr>
        <w:tc>
          <w:tcPr>
            <w:tcW w:w="4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4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w w:val="97"/>
              </w:rPr>
              <w:t>Twelve Months Ended</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4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left="388"/>
              <w:spacing w:after="0" w:line="133" w:lineRule="exact"/>
              <w:rPr>
                <w:sz w:val="20"/>
                <w:szCs w:val="20"/>
                <w:color w:val="auto"/>
              </w:rPr>
            </w:pPr>
            <w:r>
              <w:rPr>
                <w:rFonts w:ascii="Arial" w:cs="Arial" w:eastAsia="Arial" w:hAnsi="Arial"/>
                <w:sz w:val="14"/>
                <w:szCs w:val="14"/>
                <w:b w:val="1"/>
                <w:bCs w:val="1"/>
                <w:color w:val="auto"/>
                <w:w w:val="91"/>
              </w:rPr>
              <w:t>Nov. 1,</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jc w:val="center"/>
              <w:ind w:right="228"/>
              <w:spacing w:after="0" w:line="133" w:lineRule="exact"/>
              <w:rPr>
                <w:sz w:val="20"/>
                <w:szCs w:val="20"/>
                <w:color w:val="auto"/>
              </w:rPr>
            </w:pPr>
            <w:r>
              <w:rPr>
                <w:rFonts w:ascii="Arial" w:cs="Arial" w:eastAsia="Arial" w:hAnsi="Arial"/>
                <w:sz w:val="14"/>
                <w:szCs w:val="14"/>
                <w:b w:val="1"/>
                <w:bCs w:val="1"/>
                <w:color w:val="auto"/>
                <w:w w:val="91"/>
              </w:rPr>
              <w:t>Nov. 3,</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5"/>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4"/>
                <w:szCs w:val="14"/>
                <w:b w:val="1"/>
                <w:bCs w:val="1"/>
                <w:color w:val="auto"/>
                <w:w w:val="96"/>
              </w:rPr>
              <w:t>2008</w:t>
            </w: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4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Revenue</w:t>
            </w:r>
          </w:p>
        </w:tc>
        <w:tc>
          <w:tcPr>
            <w:tcW w:w="7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Y/Y %</w:t>
            </w: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Y/Y %*</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4"/>
        </w:trPr>
        <w:tc>
          <w:tcPr>
            <w:tcW w:w="4300" w:type="dxa"/>
            <w:vAlign w:val="bottom"/>
          </w:tcPr>
          <w:p>
            <w:pPr>
              <w:spacing w:after="0"/>
              <w:rPr>
                <w:sz w:val="20"/>
                <w:szCs w:val="20"/>
                <w:color w:val="auto"/>
              </w:rPr>
            </w:pPr>
            <w:r>
              <w:rPr>
                <w:rFonts w:ascii="Arial" w:cs="Arial" w:eastAsia="Arial" w:hAnsi="Arial"/>
                <w:sz w:val="14"/>
                <w:szCs w:val="14"/>
                <w:color w:val="auto"/>
              </w:rPr>
              <w:t>Converters</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1,190,964</w:t>
            </w:r>
          </w:p>
        </w:tc>
        <w:tc>
          <w:tcPr>
            <w:tcW w:w="12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46%</w:t>
            </w:r>
          </w:p>
        </w:tc>
        <w:tc>
          <w:tcPr>
            <w:tcW w:w="30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8%</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1,104,842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4300" w:type="dxa"/>
            <w:vAlign w:val="bottom"/>
          </w:tcPr>
          <w:p>
            <w:pPr>
              <w:spacing w:after="0"/>
              <w:rPr>
                <w:sz w:val="20"/>
                <w:szCs w:val="20"/>
                <w:color w:val="auto"/>
              </w:rPr>
            </w:pPr>
            <w:r>
              <w:rPr>
                <w:rFonts w:ascii="Arial" w:cs="Arial" w:eastAsia="Arial" w:hAnsi="Arial"/>
                <w:sz w:val="14"/>
                <w:szCs w:val="14"/>
                <w:color w:val="auto"/>
              </w:rPr>
              <w:t>Amplifiers</w:t>
            </w:r>
          </w:p>
        </w:tc>
        <w:tc>
          <w:tcPr>
            <w:tcW w:w="2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590,275</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15"/>
                <w:szCs w:val="15"/>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6%</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557,515</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4300" w:type="dxa"/>
            <w:vAlign w:val="bottom"/>
          </w:tcPr>
          <w:p>
            <w:pPr>
              <w:spacing w:after="0"/>
              <w:rPr>
                <w:sz w:val="20"/>
                <w:szCs w:val="20"/>
                <w:color w:val="auto"/>
              </w:rPr>
            </w:pPr>
            <w:r>
              <w:rPr>
                <w:rFonts w:ascii="Arial" w:cs="Arial" w:eastAsia="Arial" w:hAnsi="Arial"/>
                <w:sz w:val="14"/>
                <w:szCs w:val="14"/>
                <w:color w:val="auto"/>
              </w:rPr>
              <w:t>Other analog</w:t>
            </w:r>
          </w:p>
        </w:tc>
        <w:tc>
          <w:tcPr>
            <w:tcW w:w="2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393,856</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15"/>
                <w:szCs w:val="15"/>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395,494</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300" w:type="dxa"/>
            <w:vAlign w:val="bottom"/>
          </w:tcPr>
          <w:p>
            <w:pPr>
              <w:spacing w:after="0"/>
              <w:rPr>
                <w:sz w:val="20"/>
                <w:szCs w:val="20"/>
                <w:color w:val="auto"/>
              </w:rPr>
            </w:pPr>
            <w:r>
              <w:rPr>
                <w:rFonts w:ascii="Arial" w:cs="Arial" w:eastAsia="Arial" w:hAnsi="Arial"/>
                <w:sz w:val="14"/>
                <w:szCs w:val="14"/>
                <w:color w:val="auto"/>
              </w:rPr>
              <w:t>Sub-Total Analog Signal Processing</w:t>
            </w:r>
          </w:p>
        </w:tc>
        <w:tc>
          <w:tcPr>
            <w:tcW w:w="2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2,175,095</w:t>
            </w: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84%</w:t>
            </w:r>
          </w:p>
        </w:tc>
        <w:tc>
          <w:tcPr>
            <w:tcW w:w="30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6%</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2,057,851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300" w:type="dxa"/>
            <w:vAlign w:val="bottom"/>
          </w:tcPr>
          <w:p>
            <w:pPr>
              <w:spacing w:after="0"/>
              <w:rPr>
                <w:sz w:val="20"/>
                <w:szCs w:val="20"/>
                <w:color w:val="auto"/>
              </w:rPr>
            </w:pPr>
            <w:r>
              <w:rPr>
                <w:rFonts w:ascii="Arial" w:cs="Arial" w:eastAsia="Arial" w:hAnsi="Arial"/>
                <w:sz w:val="14"/>
                <w:szCs w:val="14"/>
                <w:color w:val="auto"/>
              </w:rPr>
              <w:t>Power management &amp; reference</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143,702</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16%</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124,101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300" w:type="dxa"/>
            <w:vAlign w:val="bottom"/>
          </w:tcPr>
          <w:p>
            <w:pPr>
              <w:spacing w:after="0"/>
              <w:rPr>
                <w:sz w:val="20"/>
                <w:szCs w:val="20"/>
                <w:color w:val="auto"/>
              </w:rPr>
            </w:pPr>
            <w:r>
              <w:rPr>
                <w:rFonts w:ascii="Arial" w:cs="Arial" w:eastAsia="Arial" w:hAnsi="Arial"/>
                <w:sz w:val="14"/>
                <w:szCs w:val="14"/>
                <w:b w:val="1"/>
                <w:bCs w:val="1"/>
                <w:color w:val="auto"/>
              </w:rPr>
              <w:t>Total Analog Products</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2,318,797</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90%</w:t>
            </w:r>
          </w:p>
        </w:tc>
        <w:tc>
          <w:tcPr>
            <w:tcW w:w="30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6%</w:t>
            </w: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2,181,952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4"/>
        </w:trPr>
        <w:tc>
          <w:tcPr>
            <w:tcW w:w="4300" w:type="dxa"/>
            <w:vAlign w:val="bottom"/>
          </w:tcPr>
          <w:p>
            <w:pPr>
              <w:spacing w:after="0"/>
              <w:rPr>
                <w:sz w:val="20"/>
                <w:szCs w:val="20"/>
                <w:color w:val="auto"/>
              </w:rPr>
            </w:pPr>
            <w:r>
              <w:rPr>
                <w:rFonts w:ascii="Arial" w:cs="Arial" w:eastAsia="Arial" w:hAnsi="Arial"/>
                <w:sz w:val="14"/>
                <w:szCs w:val="14"/>
                <w:color w:val="auto"/>
              </w:rPr>
              <w:t>General purpose DSP</w:t>
            </w:r>
          </w:p>
        </w:tc>
        <w:tc>
          <w:tcPr>
            <w:tcW w:w="26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234,946</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10%</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214,339</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4300" w:type="dxa"/>
            <w:vAlign w:val="bottom"/>
          </w:tcPr>
          <w:p>
            <w:pPr>
              <w:spacing w:after="0"/>
              <w:rPr>
                <w:sz w:val="20"/>
                <w:szCs w:val="20"/>
                <w:color w:val="auto"/>
              </w:rPr>
            </w:pPr>
            <w:r>
              <w:rPr>
                <w:rFonts w:ascii="Arial" w:cs="Arial" w:eastAsia="Arial" w:hAnsi="Arial"/>
                <w:sz w:val="14"/>
                <w:szCs w:val="14"/>
                <w:color w:val="auto"/>
              </w:rPr>
              <w:t>Other DSP</w:t>
            </w:r>
          </w:p>
        </w:tc>
        <w:tc>
          <w:tcPr>
            <w:tcW w:w="2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29,188</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5"/>
                <w:szCs w:val="15"/>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-13%</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33,430</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300" w:type="dxa"/>
            <w:vAlign w:val="bottom"/>
          </w:tcPr>
          <w:p>
            <w:pPr>
              <w:spacing w:after="0"/>
              <w:rPr>
                <w:sz w:val="20"/>
                <w:szCs w:val="20"/>
                <w:color w:val="auto"/>
              </w:rPr>
            </w:pPr>
            <w:r>
              <w:rPr>
                <w:rFonts w:ascii="Arial" w:cs="Arial" w:eastAsia="Arial" w:hAnsi="Arial"/>
                <w:sz w:val="14"/>
                <w:szCs w:val="14"/>
                <w:b w:val="1"/>
                <w:bCs w:val="1"/>
                <w:color w:val="auto"/>
              </w:rPr>
              <w:t>Total Digital Signal Processing</w:t>
            </w:r>
          </w:p>
        </w:tc>
        <w:tc>
          <w:tcPr>
            <w:tcW w:w="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264,134</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w:t>
            </w:r>
          </w:p>
        </w:tc>
        <w:tc>
          <w:tcPr>
            <w:tcW w:w="30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7%</w:t>
            </w: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247,769</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300" w:type="dxa"/>
            <w:vAlign w:val="bottom"/>
          </w:tcPr>
          <w:p>
            <w:pPr>
              <w:spacing w:after="0"/>
              <w:rPr>
                <w:sz w:val="20"/>
                <w:szCs w:val="20"/>
                <w:color w:val="auto"/>
              </w:rPr>
            </w:pPr>
            <w:r>
              <w:rPr>
                <w:rFonts w:ascii="Arial" w:cs="Arial" w:eastAsia="Arial" w:hAnsi="Arial"/>
                <w:sz w:val="14"/>
                <w:szCs w:val="14"/>
                <w:b w:val="1"/>
                <w:bCs w:val="1"/>
                <w:color w:val="auto"/>
              </w:rPr>
              <w:t>Total Product Revenue</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2,582,931</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100%</w:t>
            </w:r>
          </w:p>
        </w:tc>
        <w:tc>
          <w:tcPr>
            <w:tcW w:w="30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6%</w:t>
            </w: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2,429,721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300" w:type="dxa"/>
            <w:vAlign w:val="bottom"/>
          </w:tcPr>
          <w:p>
            <w:pPr>
              <w:spacing w:after="0"/>
              <w:rPr>
                <w:sz w:val="20"/>
                <w:szCs w:val="20"/>
                <w:color w:val="auto"/>
              </w:rPr>
            </w:pPr>
            <w:r>
              <w:rPr>
                <w:rFonts w:ascii="Arial" w:cs="Arial" w:eastAsia="Arial" w:hAnsi="Arial"/>
                <w:sz w:val="14"/>
                <w:szCs w:val="14"/>
                <w:color w:val="auto"/>
              </w:rPr>
              <w:t>Revenue from one-time IP license</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35,000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30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2,582,931</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2,464,721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6" w:lineRule="exact"/>
        <w:rPr>
          <w:sz w:val="20"/>
          <w:szCs w:val="20"/>
          <w:color w:val="auto"/>
        </w:rPr>
      </w:pPr>
    </w:p>
    <w:p>
      <w:pPr>
        <w:ind w:right="260" w:firstLine="8"/>
        <w:spacing w:after="0" w:line="253" w:lineRule="auto"/>
        <w:tabs>
          <w:tab w:leader="none" w:pos="108"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change reflects the year-over-year change on an equivalent 13-week basis. The year ended November 3, 2007 was a 53-week year. ADI follows a 52-week, or 364-day, fiscal calendar that results in a 53-week year approximately every seventh year, as occurred in fiscal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27202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4"/>
          <w:szCs w:val="14"/>
          <w:b w:val="1"/>
          <w:bCs w:val="1"/>
          <w:color w:val="auto"/>
        </w:rPr>
        <w:t>Analog Devices, Fourth Quarter, Fiscal 2008</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Schedule G</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Reconciliation from Non-GAAP to GAAP Data (In thousands, except per-share amounts)</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See "Non-GAAP Financial Information" in this press release for a description of the items excluded from our non-GAAP measures.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GAAP Gross Margin</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Percent of Total Revenue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Revenue from One-time Licensing of IP</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Gross Margin</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Percent of Product Revenue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GAAP Operating Expenses</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Percent of Product Revenue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Restructuring-Related Expense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Litigation Settlement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Operating Expenses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Percent of Product Revenue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GAAP Operating Income From Continuing Operations</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Percent of Total Revenue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Revenue from One-time Licensing of IP</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Restructuring-Related Expense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Litigation Settlement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Operating Income From Continuing Operations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Percent of Product Revenue</w:t>
      </w:r>
    </w:p>
    <w:p>
      <w:pPr>
        <w:spacing w:after="0" w:line="186" w:lineRule="exact"/>
        <w:rPr>
          <w:sz w:val="20"/>
          <w:szCs w:val="20"/>
          <w:color w:val="auto"/>
        </w:rPr>
      </w:pPr>
    </w:p>
    <w:p>
      <w:pPr>
        <w:ind w:left="140" w:right="2160" w:hanging="134"/>
        <w:spacing w:after="0" w:line="290" w:lineRule="auto"/>
        <w:rPr>
          <w:sz w:val="20"/>
          <w:szCs w:val="20"/>
          <w:color w:val="auto"/>
        </w:rPr>
      </w:pPr>
      <w:r>
        <w:rPr>
          <w:rFonts w:ascii="Arial" w:cs="Arial" w:eastAsia="Arial" w:hAnsi="Arial"/>
          <w:sz w:val="13"/>
          <w:szCs w:val="13"/>
          <w:b w:val="1"/>
          <w:bCs w:val="1"/>
          <w:color w:val="auto"/>
        </w:rPr>
        <w:t xml:space="preserve">GAAP Diluted EPS Including Discontinued Operations </w:t>
      </w:r>
      <w:r>
        <w:rPr>
          <w:rFonts w:ascii="Arial" w:cs="Arial" w:eastAsia="Arial" w:hAnsi="Arial"/>
          <w:sz w:val="13"/>
          <w:szCs w:val="13"/>
          <w:color w:val="auto"/>
        </w:rPr>
        <w:t>Diluted Loss (Earnings) Per Share from Discontinued Operations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GAAP Diluted EPS From Continuing Operations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Revenue from One-time Licensing of IP</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Acquisition Related Expense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Restructuring-Related Expense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Litigation Settlement</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Gain on Sale of Investment</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Impact of the Reinstatement of the R&amp;D Tax Credit</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One Time Tax Adjustment Related to the IRS Examination of Fiscal Years 2004 and 2005</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Diluted EPS From Continuing Operations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40" w:type="dxa"/>
            <w:vAlign w:val="bottom"/>
            <w:tcBorders>
              <w:top w:val="single" w:sz="8" w:color="auto"/>
              <w:bottom w:val="single" w:sz="8" w:color="auto"/>
            </w:tcBorders>
          </w:tcPr>
          <w:p>
            <w:pPr>
              <w:spacing w:after="0"/>
              <w:rPr>
                <w:sz w:val="16"/>
                <w:szCs w:val="16"/>
                <w:color w:val="auto"/>
              </w:rPr>
            </w:pPr>
          </w:p>
        </w:tc>
        <w:tc>
          <w:tcPr>
            <w:tcW w:w="180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840" w:type="dxa"/>
            <w:vAlign w:val="bottom"/>
            <w:tcBorders>
              <w:top w:val="single" w:sz="8" w:color="auto"/>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Twelve Months Ended</w:t>
            </w:r>
          </w:p>
        </w:tc>
      </w:tr>
      <w:tr>
        <w:trPr>
          <w:trHeight w:val="160"/>
        </w:trPr>
        <w:tc>
          <w:tcPr>
            <w:tcW w:w="140" w:type="dxa"/>
            <w:vAlign w:val="bottom"/>
          </w:tcPr>
          <w:p>
            <w:pPr>
              <w:spacing w:after="0"/>
              <w:rPr>
                <w:sz w:val="13"/>
                <w:szCs w:val="13"/>
                <w:color w:val="auto"/>
              </w:rPr>
            </w:pPr>
          </w:p>
        </w:tc>
        <w:tc>
          <w:tcPr>
            <w:tcW w:w="660" w:type="dxa"/>
            <w:vAlign w:val="bottom"/>
          </w:tcPr>
          <w:p>
            <w:pPr>
              <w:jc w:val="center"/>
              <w:ind w:right="108"/>
              <w:spacing w:after="0" w:line="160" w:lineRule="exact"/>
              <w:rPr>
                <w:sz w:val="20"/>
                <w:szCs w:val="20"/>
                <w:color w:val="auto"/>
              </w:rPr>
            </w:pPr>
            <w:r>
              <w:rPr>
                <w:rFonts w:ascii="Arial" w:cs="Arial" w:eastAsia="Arial" w:hAnsi="Arial"/>
                <w:sz w:val="14"/>
                <w:szCs w:val="14"/>
                <w:b w:val="1"/>
                <w:bCs w:val="1"/>
                <w:color w:val="auto"/>
                <w:w w:val="94"/>
              </w:rPr>
              <w:t>4Q 08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68"/>
              <w:spacing w:after="0" w:line="160" w:lineRule="exact"/>
              <w:rPr>
                <w:sz w:val="20"/>
                <w:szCs w:val="20"/>
                <w:color w:val="auto"/>
              </w:rPr>
            </w:pPr>
            <w:r>
              <w:rPr>
                <w:rFonts w:ascii="Arial" w:cs="Arial" w:eastAsia="Arial" w:hAnsi="Arial"/>
                <w:sz w:val="14"/>
                <w:szCs w:val="14"/>
                <w:b w:val="1"/>
                <w:bCs w:val="1"/>
                <w:color w:val="auto"/>
                <w:w w:val="94"/>
              </w:rPr>
              <w:t>3Q 08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center"/>
              <w:ind w:right="128"/>
              <w:spacing w:after="0" w:line="160" w:lineRule="exact"/>
              <w:rPr>
                <w:sz w:val="20"/>
                <w:szCs w:val="20"/>
                <w:color w:val="auto"/>
              </w:rPr>
            </w:pPr>
            <w:r>
              <w:rPr>
                <w:rFonts w:ascii="Arial" w:cs="Arial" w:eastAsia="Arial" w:hAnsi="Arial"/>
                <w:sz w:val="14"/>
                <w:szCs w:val="14"/>
                <w:b w:val="1"/>
                <w:bCs w:val="1"/>
                <w:color w:val="auto"/>
                <w:w w:val="99"/>
              </w:rPr>
              <w:t>4Q 07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88"/>
              <w:spacing w:after="0" w:line="160" w:lineRule="exact"/>
              <w:rPr>
                <w:sz w:val="20"/>
                <w:szCs w:val="20"/>
                <w:color w:val="auto"/>
              </w:rPr>
            </w:pPr>
            <w:r>
              <w:rPr>
                <w:rFonts w:ascii="Arial" w:cs="Arial" w:eastAsia="Arial" w:hAnsi="Arial"/>
                <w:sz w:val="14"/>
                <w:szCs w:val="14"/>
                <w:b w:val="1"/>
                <w:bCs w:val="1"/>
                <w:color w:val="auto"/>
              </w:rPr>
              <w:t>FY 08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108"/>
              <w:spacing w:after="0" w:line="160" w:lineRule="exact"/>
              <w:rPr>
                <w:sz w:val="20"/>
                <w:szCs w:val="20"/>
                <w:color w:val="auto"/>
              </w:rPr>
            </w:pPr>
            <w:r>
              <w:rPr>
                <w:rFonts w:ascii="Arial" w:cs="Arial" w:eastAsia="Arial" w:hAnsi="Arial"/>
                <w:sz w:val="14"/>
                <w:szCs w:val="14"/>
                <w:b w:val="1"/>
                <w:bCs w:val="1"/>
                <w:color w:val="auto"/>
              </w:rPr>
              <w:t>FY 07</w:t>
            </w:r>
          </w:p>
        </w:tc>
      </w:tr>
      <w:tr>
        <w:trPr>
          <w:trHeight w:val="149"/>
        </w:trPr>
        <w:tc>
          <w:tcPr>
            <w:tcW w:w="140" w:type="dxa"/>
            <w:vAlign w:val="bottom"/>
          </w:tcPr>
          <w:p>
            <w:pPr>
              <w:spacing w:after="0"/>
              <w:rPr>
                <w:sz w:val="12"/>
                <w:szCs w:val="12"/>
                <w:color w:val="auto"/>
              </w:rPr>
            </w:pP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w w:val="95"/>
              </w:rPr>
              <w:t>Nov. 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8"/>
              </w:rPr>
              <w:t>Aug. 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w w:val="87"/>
              </w:rPr>
              <w:t>Nov. 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Nov. 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1"/>
              </w:rPr>
              <w:t>Nov. 3,</w:t>
            </w:r>
          </w:p>
        </w:tc>
      </w:tr>
      <w:tr>
        <w:trPr>
          <w:trHeight w:val="185"/>
        </w:trPr>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2008</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2007</w:t>
            </w:r>
          </w:p>
        </w:tc>
      </w:tr>
      <w:tr>
        <w:trPr>
          <w:trHeight w:val="339"/>
        </w:trPr>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403,657</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401,794</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373,892</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w w:val="99"/>
              </w:rPr>
              <w:t>1,577,275</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1,508,276</w:t>
            </w:r>
          </w:p>
        </w:tc>
      </w:tr>
      <w:tr>
        <w:trPr>
          <w:trHeight w:val="176"/>
        </w:trPr>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61.1%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61.0%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60.0%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61.1%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61.2%</w:t>
            </w:r>
          </w:p>
        </w:tc>
      </w:tr>
      <w:tr>
        <w:trPr>
          <w:trHeight w:val="181"/>
        </w:trPr>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(35,000)</w:t>
            </w:r>
          </w:p>
        </w:tc>
      </w:tr>
      <w:tr>
        <w:trPr>
          <w:trHeight w:val="169"/>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403,657</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401,794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0"/>
              </w:rPr>
              <w:t>373,892</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9"/>
              </w:rPr>
              <w:t>1,577,275</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9"/>
              </w:rPr>
              <w:t>1,473,276</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3"/>
        </w:trPr>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61.1%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61.0%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60.0%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61.1%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60.6%</w:t>
            </w:r>
          </w:p>
        </w:tc>
      </w:tr>
      <w:tr>
        <w:trPr>
          <w:trHeight w:val="339"/>
        </w:trPr>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242,920</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240,604</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254,279</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952,250</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939,553</w:t>
            </w:r>
          </w:p>
        </w:tc>
      </w:tr>
      <w:tr>
        <w:trPr>
          <w:trHeight w:val="176"/>
        </w:trPr>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36.8%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36.5%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40.8%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36.9%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38.7%</w:t>
            </w:r>
          </w:p>
        </w:tc>
      </w:tr>
      <w:tr>
        <w:trPr>
          <w:trHeight w:val="176"/>
        </w:trPr>
        <w:tc>
          <w:tcPr>
            <w:tcW w:w="14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(3,088)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5"/>
              </w:rPr>
              <w:t>(25,183)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(3,088)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(40,495)</w:t>
            </w:r>
          </w:p>
        </w:tc>
      </w:tr>
      <w:tr>
        <w:trPr>
          <w:trHeight w:val="181"/>
        </w:trPr>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8,500</w:t>
            </w:r>
          </w:p>
        </w:tc>
      </w:tr>
      <w:tr>
        <w:trPr>
          <w:trHeight w:val="169"/>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239,832</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240,604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0"/>
              </w:rPr>
              <w:t>229,096</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949,162</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907,558</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3"/>
        </w:trPr>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36.3%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36.5%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36.7%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36.7%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37.4%</w:t>
            </w:r>
          </w:p>
        </w:tc>
      </w:tr>
      <w:tr>
        <w:trPr>
          <w:trHeight w:val="339"/>
        </w:trPr>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160,737</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161,190</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119,613</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625,025</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568,723</w:t>
            </w:r>
          </w:p>
        </w:tc>
      </w:tr>
      <w:tr>
        <w:trPr>
          <w:trHeight w:val="176"/>
        </w:trPr>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19.2%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23.1%</w:t>
            </w:r>
          </w:p>
        </w:tc>
      </w:tr>
      <w:tr>
        <w:trPr>
          <w:trHeight w:val="176"/>
        </w:trPr>
        <w:tc>
          <w:tcPr>
            <w:tcW w:w="14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(35,000)</w:t>
            </w:r>
          </w:p>
        </w:tc>
      </w:tr>
      <w:tr>
        <w:trPr>
          <w:trHeight w:val="176"/>
        </w:trPr>
        <w:tc>
          <w:tcPr>
            <w:tcW w:w="14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3,088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25,183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3,088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40,495</w:t>
            </w:r>
          </w:p>
        </w:tc>
      </w:tr>
      <w:tr>
        <w:trPr>
          <w:trHeight w:val="181"/>
        </w:trPr>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(8,500)</w:t>
            </w:r>
          </w:p>
        </w:tc>
      </w:tr>
      <w:tr>
        <w:trPr>
          <w:trHeight w:val="169"/>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163,825</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161,190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0"/>
              </w:rPr>
              <w:t>144,796</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628,113</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565,718</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3"/>
        </w:trPr>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24.5%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23.2%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24.3%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23.3%</w:t>
            </w:r>
          </w:p>
        </w:tc>
      </w:tr>
      <w:tr>
        <w:trPr>
          <w:trHeight w:val="339"/>
        </w:trPr>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0.49</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0.47</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0.31</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2.65</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1.50</w:t>
            </w:r>
          </w:p>
        </w:tc>
      </w:tr>
      <w:tr>
        <w:trPr>
          <w:trHeight w:val="172"/>
        </w:trPr>
        <w:tc>
          <w:tcPr>
            <w:tcW w:w="1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(0.03)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(0.88)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0.02</w:t>
            </w:r>
          </w:p>
        </w:tc>
      </w:tr>
      <w:tr>
        <w:trPr>
          <w:trHeight w:val="180"/>
        </w:trPr>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0.49</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0.44</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0.30</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1.77</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1.51</w:t>
            </w:r>
          </w:p>
        </w:tc>
      </w:tr>
      <w:tr>
        <w:trPr>
          <w:trHeight w:val="176"/>
        </w:trPr>
        <w:tc>
          <w:tcPr>
            <w:tcW w:w="14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(0.068)</w:t>
            </w:r>
          </w:p>
        </w:tc>
      </w:tr>
      <w:tr>
        <w:trPr>
          <w:trHeight w:val="176"/>
        </w:trPr>
        <w:tc>
          <w:tcPr>
            <w:tcW w:w="14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0.017</w:t>
            </w:r>
          </w:p>
        </w:tc>
      </w:tr>
      <w:tr>
        <w:trPr>
          <w:trHeight w:val="176"/>
        </w:trPr>
        <w:tc>
          <w:tcPr>
            <w:tcW w:w="14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0.008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0.064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0.008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0.090</w:t>
            </w:r>
          </w:p>
        </w:tc>
      </w:tr>
      <w:tr>
        <w:trPr>
          <w:trHeight w:val="176"/>
        </w:trPr>
        <w:tc>
          <w:tcPr>
            <w:tcW w:w="14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(0.037)</w:t>
            </w:r>
          </w:p>
        </w:tc>
      </w:tr>
      <w:tr>
        <w:trPr>
          <w:trHeight w:val="176"/>
        </w:trPr>
        <w:tc>
          <w:tcPr>
            <w:tcW w:w="14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(0.015)</w:t>
            </w:r>
          </w:p>
        </w:tc>
      </w:tr>
      <w:tr>
        <w:trPr>
          <w:trHeight w:val="182"/>
        </w:trPr>
        <w:tc>
          <w:tcPr>
            <w:tcW w:w="14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(0.011)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(0.030)</w:t>
            </w:r>
          </w:p>
        </w:tc>
      </w:tr>
      <w:tr>
        <w:trPr>
          <w:trHeight w:val="323"/>
        </w:trPr>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0.014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0.013</w:t>
            </w:r>
          </w:p>
        </w:tc>
      </w:tr>
      <w:tr>
        <w:trPr>
          <w:trHeight w:val="169"/>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0.49</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0.44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0.38</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1.77</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1.48</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6060" w:space="720"/>
            <w:col w:w="4640"/>
          </w:cols>
          <w:pgMar w:left="240" w:top="130" w:right="239" w:bottom="1440" w:gutter="0" w:footer="0" w:header="0"/>
          <w:type w:val="continuous"/>
        </w:sect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Analog Devices, Inc.</w:t>
      </w:r>
    </w:p>
    <w:p>
      <w:pPr>
        <w:spacing w:after="0" w:line="230" w:lineRule="auto"/>
        <w:rPr>
          <w:sz w:val="20"/>
          <w:szCs w:val="20"/>
          <w:color w:val="auto"/>
        </w:rPr>
      </w:pPr>
      <w:r>
        <w:rPr>
          <w:rFonts w:ascii="Arial" w:cs="Arial" w:eastAsia="Arial" w:hAnsi="Arial"/>
          <w:sz w:val="22"/>
          <w:szCs w:val="22"/>
          <w:color w:val="auto"/>
        </w:rPr>
        <w:t>Mindy Kohl, 781-461-3282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Director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Fax: 781-461-3491</w:t>
      </w:r>
    </w:p>
    <w:p>
      <w:pPr>
        <w:spacing w:after="0"/>
        <w:rPr>
          <w:sz w:val="20"/>
          <w:szCs w:val="20"/>
          <w:color w:val="auto"/>
        </w:rPr>
      </w:pPr>
      <w:r>
        <w:rPr>
          <w:rFonts w:ascii="Arial" w:cs="Arial" w:eastAsia="Arial" w:hAnsi="Arial"/>
          <w:sz w:val="19"/>
          <w:szCs w:val="19"/>
          <w:u w:val="single" w:color="auto"/>
          <w:color w:val="auto"/>
        </w:rPr>
        <w:t>investor.relations@analog.com</w:t>
      </w:r>
    </w:p>
    <w:sectPr>
      <w:pgSz w:w="11900" w:h="16838" w:orient="portrait"/>
      <w:cols w:equalWidth="0" w:num="1">
        <w:col w:w="11420"/>
      </w:cols>
      <w:pgMar w:left="240" w:top="13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2019-12-11T10:57:01Z</dcterms:created>
  <dcterms:modified xsi:type="dcterms:W3CDTF">2019-12-11T10:57:01Z</dcterms:modified>
</cp:coreProperties>
</file>