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4"/>
          <w:szCs w:val="24"/>
          <w:color w:val="auto"/>
        </w:rPr>
      </w:pPr>
    </w:p>
    <w:p>
      <w:pPr>
        <w:spacing w:after="0" w:line="355"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6"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440"/>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jc w:val="center"/>
        <w:ind w:left="2860" w:right="3159" w:hanging="2481"/>
        <w:spacing w:after="0" w:line="239" w:lineRule="auto"/>
        <w:tabs>
          <w:tab w:leader="none" w:pos="171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 OF THE SECURITIES EXCHANGE ACT OF 1934</w:t>
      </w:r>
    </w:p>
    <w:p>
      <w:pPr>
        <w:sectPr>
          <w:pgSz w:w="11900" w:h="16838" w:orient="portrait"/>
          <w:cols w:equalWidth="0" w:num="1">
            <w:col w:w="10219"/>
          </w:cols>
          <w:pgMar w:left="240" w:top="237" w:right="1440" w:bottom="1440" w:gutter="0" w:footer="0" w:header="0"/>
        </w:sectPr>
      </w:pPr>
    </w:p>
    <w:p>
      <w:pPr>
        <w:spacing w:after="0" w:line="373"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ind w:left="680"/>
        <w:spacing w:after="0"/>
        <w:rPr>
          <w:sz w:val="20"/>
          <w:szCs w:val="20"/>
          <w:color w:val="auto"/>
        </w:rPr>
      </w:pPr>
      <w:r>
        <w:rPr>
          <w:rFonts w:ascii="Courier New" w:cs="Courier New" w:eastAsia="Courier New" w:hAnsi="Courier New"/>
          <w:sz w:val="16"/>
          <w:szCs w:val="16"/>
          <w:color w:val="auto"/>
        </w:rPr>
        <w:t>FOR THE QUARTERLY PERIOD ENDED APRIL 29, 2000</w:t>
      </w:r>
    </w:p>
    <w:p>
      <w:pPr>
        <w:spacing w:after="0" w:line="2" w:lineRule="exact"/>
        <w:rPr>
          <w:sz w:val="24"/>
          <w:szCs w:val="24"/>
          <w:color w:val="auto"/>
        </w:rPr>
      </w:pPr>
    </w:p>
    <w:p>
      <w:pPr>
        <w:ind w:left="2480"/>
        <w:spacing w:after="0"/>
        <w:rPr>
          <w:sz w:val="20"/>
          <w:szCs w:val="20"/>
          <w:color w:val="auto"/>
        </w:rPr>
      </w:pPr>
      <w:r>
        <w:rPr>
          <w:rFonts w:ascii="Courier New" w:cs="Courier New" w:eastAsia="Courier New" w:hAnsi="Courier New"/>
          <w:sz w:val="16"/>
          <w:szCs w:val="16"/>
          <w:color w:val="auto"/>
        </w:rPr>
        <w:t>OR</w:t>
      </w:r>
    </w:p>
    <w:p>
      <w:pPr>
        <w:spacing w:after="0" w:line="2"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TRANSITION REPORT PURSUANT TO SECTION 13 OR 15 (d) OF THE</w:t>
      </w:r>
    </w:p>
    <w:p>
      <w:pPr>
        <w:spacing w:after="0" w:line="2" w:lineRule="exact"/>
        <w:rPr>
          <w:sz w:val="24"/>
          <w:szCs w:val="24"/>
          <w:color w:val="auto"/>
        </w:rPr>
      </w:pPr>
    </w:p>
    <w:p>
      <w:pPr>
        <w:ind w:left="1440"/>
        <w:spacing w:after="0"/>
        <w:rPr>
          <w:sz w:val="20"/>
          <w:szCs w:val="20"/>
          <w:color w:val="auto"/>
        </w:rPr>
      </w:pPr>
      <w:r>
        <w:rPr>
          <w:rFonts w:ascii="Courier New" w:cs="Courier New" w:eastAsia="Courier New" w:hAnsi="Courier New"/>
          <w:sz w:val="16"/>
          <w:szCs w:val="16"/>
          <w:color w:val="auto"/>
        </w:rPr>
        <w:t>SECURITIES EXCHANGE ACT OF 1934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TRANSITION PERIOD FROM_______________ TO ____________</w:t>
      </w:r>
    </w:p>
    <w:p>
      <w:pPr>
        <w:spacing w:after="0" w:line="194" w:lineRule="exact"/>
        <w:rPr>
          <w:sz w:val="24"/>
          <w:szCs w:val="24"/>
          <w:color w:val="auto"/>
        </w:rPr>
      </w:pPr>
    </w:p>
    <w:p>
      <w:pPr>
        <w:sectPr>
          <w:pgSz w:w="11900" w:h="16838" w:orient="portrait"/>
          <w:cols w:equalWidth="0" w:num="2">
            <w:col w:w="700" w:space="720"/>
            <w:col w:w="8799"/>
          </w:cols>
          <w:pgMar w:left="240" w:top="237" w:right="1440" w:bottom="1440" w:gutter="0" w:footer="0" w:header="0"/>
          <w:type w:val="continuous"/>
        </w:sectPr>
      </w:pPr>
    </w:p>
    <w:p>
      <w:pPr>
        <w:ind w:left="2580"/>
        <w:spacing w:after="0"/>
        <w:rPr>
          <w:sz w:val="20"/>
          <w:szCs w:val="20"/>
          <w:color w:val="auto"/>
        </w:rPr>
      </w:pPr>
      <w:r>
        <w:rPr>
          <w:rFonts w:ascii="Courier New" w:cs="Courier New" w:eastAsia="Courier New" w:hAnsi="Courier New"/>
          <w:sz w:val="16"/>
          <w:szCs w:val="16"/>
          <w:color w:val="auto"/>
        </w:rPr>
        <w:t>COMMISSION FILE NO. 1-7819</w:t>
      </w:r>
    </w:p>
    <w:p>
      <w:pPr>
        <w:spacing w:after="0" w:line="369"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1420"/>
        <w:spacing w:after="0"/>
        <w:rPr>
          <w:sz w:val="20"/>
          <w:szCs w:val="20"/>
          <w:color w:val="auto"/>
        </w:rPr>
      </w:pPr>
      <w:r>
        <w:rPr>
          <w:rFonts w:ascii="Courier New" w:cs="Courier New" w:eastAsia="Courier New" w:hAnsi="Courier New"/>
          <w:sz w:val="16"/>
          <w:szCs w:val="16"/>
          <w:color w:val="auto"/>
        </w:rPr>
        <w:t>MASSACHUSETTS</w:t>
      </w:r>
    </w:p>
    <w:p>
      <w:pPr>
        <w:spacing w:after="0" w:line="5" w:lineRule="exact"/>
        <w:rPr>
          <w:sz w:val="24"/>
          <w:szCs w:val="24"/>
          <w:color w:val="auto"/>
        </w:rPr>
      </w:pPr>
    </w:p>
    <w:p>
      <w:pPr>
        <w:ind w:left="660"/>
        <w:spacing w:after="0"/>
        <w:rPr>
          <w:sz w:val="20"/>
          <w:szCs w:val="20"/>
          <w:color w:val="auto"/>
        </w:rPr>
      </w:pPr>
      <w:r>
        <w:rPr>
          <w:rFonts w:ascii="Courier New" w:cs="Courier New" w:eastAsia="Courier New" w:hAnsi="Courier New"/>
          <w:sz w:val="15"/>
          <w:szCs w:val="15"/>
          <w:color w:val="auto"/>
        </w:rPr>
        <w:t>(State or other jurisdiction of</w:t>
      </w:r>
    </w:p>
    <w:p>
      <w:pPr>
        <w:spacing w:after="0" w:line="11"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04-2348234</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8" w:lineRule="exact"/>
        <w:rPr>
          <w:sz w:val="24"/>
          <w:szCs w:val="24"/>
          <w:color w:val="auto"/>
        </w:rPr>
      </w:pPr>
    </w:p>
    <w:p>
      <w:pPr>
        <w:sectPr>
          <w:pgSz w:w="11900" w:h="16838" w:orient="portrait"/>
          <w:cols w:equalWidth="0" w:num="2">
            <w:col w:w="4620" w:space="720"/>
            <w:col w:w="4879"/>
          </w:cols>
          <w:pgMar w:left="240" w:top="237" w:right="1440" w:bottom="1440" w:gutter="0" w:footer="0" w:header="0"/>
          <w:type w:val="continuous"/>
        </w:sectPr>
      </w:pPr>
    </w:p>
    <w:p>
      <w:pPr>
        <w:spacing w:after="0" w:line="172" w:lineRule="exact"/>
        <w:rPr>
          <w:sz w:val="24"/>
          <w:szCs w:val="24"/>
          <w:color w:val="auto"/>
        </w:rPr>
      </w:pPr>
    </w:p>
    <w:p>
      <w:pPr>
        <w:ind w:left="380" w:right="800" w:firstLine="381"/>
        <w:spacing w:after="0" w:line="271" w:lineRule="auto"/>
        <w:rPr>
          <w:sz w:val="20"/>
          <w:szCs w:val="20"/>
          <w:color w:val="auto"/>
        </w:rPr>
      </w:pPr>
      <w:r>
        <w:rPr>
          <w:rFonts w:ascii="Courier New" w:cs="Courier New" w:eastAsia="Courier New" w:hAnsi="Courier New"/>
          <w:sz w:val="15"/>
          <w:szCs w:val="15"/>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02062-9106</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30" w:lineRule="exact"/>
        <w:rPr>
          <w:sz w:val="24"/>
          <w:szCs w:val="24"/>
          <w:color w:val="auto"/>
        </w:rPr>
      </w:pPr>
    </w:p>
    <w:p>
      <w:pPr>
        <w:sectPr>
          <w:pgSz w:w="11900" w:h="16838" w:orient="portrait"/>
          <w:cols w:equalWidth="0" w:num="2">
            <w:col w:w="5000" w:space="720"/>
            <w:col w:w="4499"/>
          </w:cols>
          <w:pgMar w:left="240" w:top="237" w:right="1440" w:bottom="1440" w:gutter="0" w:footer="0" w:header="0"/>
          <w:type w:val="continuous"/>
        </w:sectPr>
      </w:pPr>
    </w:p>
    <w:p>
      <w:pPr>
        <w:spacing w:after="0" w:line="330"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(781) 329-4700</w:t>
      </w:r>
    </w:p>
    <w:p>
      <w:pPr>
        <w:spacing w:after="0" w:line="5"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5"/>
          <w:szCs w:val="15"/>
          <w:color w:val="auto"/>
        </w:rPr>
        <w:t>(Registrant's telephone number, including area code)</w:t>
      </w:r>
    </w:p>
    <w:p>
      <w:pPr>
        <w:sectPr>
          <w:pgSz w:w="11900" w:h="16838" w:orient="portrait"/>
          <w:cols w:equalWidth="0" w:num="1">
            <w:col w:w="10219"/>
          </w:cols>
          <w:pgMar w:left="240" w:top="237" w:right="1440" w:bottom="1440" w:gutter="0" w:footer="0" w:header="0"/>
          <w:type w:val="continuous"/>
        </w:sectPr>
      </w:pPr>
    </w:p>
    <w:p>
      <w:pPr>
        <w:spacing w:after="0" w:line="194"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55" w:lineRule="exact"/>
        <w:rPr>
          <w:sz w:val="24"/>
          <w:szCs w:val="24"/>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190" w:lineRule="exact"/>
        <w:rPr>
          <w:sz w:val="24"/>
          <w:szCs w:val="24"/>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The number of shares outstanding of each of the issuer's classes of Common Stock as of May 27, 2000 was 355,239,991 shares of Common Stock.</w:t>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37"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5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917"/>
        </w:trPr>
        <w:tc>
          <w:tcPr>
            <w:tcW w:w="1140" w:type="dxa"/>
            <w:vAlign w:val="bottom"/>
          </w:tcPr>
          <w:p>
            <w:pPr>
              <w:spacing w:after="0"/>
              <w:rPr>
                <w:sz w:val="24"/>
                <w:szCs w:val="24"/>
                <w:color w:val="auto"/>
              </w:rPr>
            </w:pPr>
          </w:p>
        </w:tc>
        <w:tc>
          <w:tcPr>
            <w:tcW w:w="5400" w:type="dxa"/>
            <w:vAlign w:val="bottom"/>
          </w:tcPr>
          <w:p>
            <w:pPr>
              <w:ind w:left="2380"/>
              <w:spacing w:after="0"/>
              <w:rPr>
                <w:sz w:val="20"/>
                <w:szCs w:val="20"/>
                <w:color w:val="auto"/>
              </w:rPr>
            </w:pPr>
            <w:r>
              <w:rPr>
                <w:rFonts w:ascii="Courier New" w:cs="Courier New" w:eastAsia="Courier New" w:hAnsi="Courier New"/>
                <w:sz w:val="16"/>
                <w:szCs w:val="16"/>
                <w:color w:val="auto"/>
              </w:rPr>
              <w:t>PART I</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5400" w:type="dxa"/>
            <w:vAlign w:val="bottom"/>
          </w:tcPr>
          <w:p>
            <w:pPr>
              <w:ind w:left="1720"/>
              <w:spacing w:after="0"/>
              <w:rPr>
                <w:sz w:val="20"/>
                <w:szCs w:val="20"/>
                <w:color w:val="auto"/>
              </w:rPr>
            </w:pPr>
            <w:r>
              <w:rPr>
                <w:rFonts w:ascii="Courier New" w:cs="Courier New" w:eastAsia="Courier New" w:hAnsi="Courier New"/>
                <w:sz w:val="16"/>
                <w:szCs w:val="16"/>
                <w:color w:val="auto"/>
              </w:rPr>
              <w:t>FINANCIAL INFORMATION</w:t>
            </w: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734"/>
        </w:trPr>
        <w:tc>
          <w:tcPr>
            <w:tcW w:w="11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40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7"/>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ANALOG DEVICES, INC.</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3"/>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CONDENSED CONSOLIDATED STATEMENTS OF INCOME</w:t>
            </w: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5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(thousands except per share amounts)</w:t>
            </w: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917"/>
        </w:trPr>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Three Months Ended</w:t>
            </w:r>
          </w:p>
        </w:tc>
        <w:tc>
          <w:tcPr>
            <w:tcW w:w="8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7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April 29, 2000</w:t>
            </w:r>
          </w:p>
        </w:tc>
        <w:tc>
          <w:tcPr>
            <w:tcW w:w="15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May 1, 1999</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400" w:type="dxa"/>
            <w:vAlign w:val="bottom"/>
          </w:tcPr>
          <w:p>
            <w:pPr>
              <w:spacing w:after="0"/>
              <w:rPr>
                <w:sz w:val="24"/>
                <w:szCs w:val="24"/>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580,995</w:t>
            </w:r>
          </w:p>
        </w:tc>
        <w:tc>
          <w:tcPr>
            <w:tcW w:w="7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340,067</w:t>
            </w:r>
          </w:p>
        </w:tc>
      </w:tr>
      <w:tr>
        <w:trPr>
          <w:trHeight w:val="367"/>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Cost of sales</w:t>
            </w:r>
          </w:p>
        </w:tc>
        <w:tc>
          <w:tcPr>
            <w:tcW w:w="840" w:type="dxa"/>
            <w:vAlign w:val="bottom"/>
          </w:tcPr>
          <w:p>
            <w:pPr>
              <w:spacing w:after="0"/>
              <w:rPr>
                <w:sz w:val="24"/>
                <w:szCs w:val="24"/>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257,184</w:t>
            </w:r>
          </w:p>
        </w:tc>
        <w:tc>
          <w:tcPr>
            <w:tcW w:w="76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176,435</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Gross margin</w:t>
            </w:r>
          </w:p>
        </w:tc>
        <w:tc>
          <w:tcPr>
            <w:tcW w:w="5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323,811</w:t>
            </w:r>
          </w:p>
        </w:tc>
        <w:tc>
          <w:tcPr>
            <w:tcW w:w="76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163,632</w:t>
            </w:r>
          </w:p>
        </w:tc>
      </w:tr>
      <w:tr>
        <w:trPr>
          <w:trHeight w:val="367"/>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Operating expenses:</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3"/>
        </w:trPr>
        <w:tc>
          <w:tcPr>
            <w:tcW w:w="65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Research and development</w:t>
            </w:r>
          </w:p>
        </w:tc>
        <w:tc>
          <w:tcPr>
            <w:tcW w:w="84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90,702</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61,899</w:t>
            </w:r>
          </w:p>
        </w:tc>
      </w:tr>
      <w:tr>
        <w:trPr>
          <w:trHeight w:val="183"/>
        </w:trPr>
        <w:tc>
          <w:tcPr>
            <w:tcW w:w="65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Write-off of purchased in-process research and development</w:t>
            </w:r>
          </w:p>
        </w:tc>
        <w:tc>
          <w:tcPr>
            <w:tcW w:w="84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5,140</w:t>
            </w:r>
          </w:p>
        </w:tc>
      </w:tr>
      <w:tr>
        <w:trPr>
          <w:trHeight w:val="183"/>
        </w:trPr>
        <w:tc>
          <w:tcPr>
            <w:tcW w:w="65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Selling, marketing, general and</w:t>
            </w: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65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administrative</w:t>
            </w:r>
          </w:p>
        </w:tc>
        <w:tc>
          <w:tcPr>
            <w:tcW w:w="84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71,073</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49,167</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161,775</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116,206</w:t>
            </w:r>
          </w:p>
        </w:tc>
      </w:tr>
      <w:tr>
        <w:trPr>
          <w:trHeight w:val="367"/>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w:t>
            </w:r>
          </w:p>
        </w:tc>
        <w:tc>
          <w:tcPr>
            <w:tcW w:w="840" w:type="dxa"/>
            <w:vAlign w:val="bottom"/>
          </w:tcPr>
          <w:p>
            <w:pPr>
              <w:spacing w:after="0"/>
              <w:rPr>
                <w:sz w:val="24"/>
                <w:szCs w:val="24"/>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162,036</w:t>
            </w:r>
          </w:p>
        </w:tc>
        <w:tc>
          <w:tcPr>
            <w:tcW w:w="76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47,426</w:t>
            </w:r>
          </w:p>
        </w:tc>
      </w:tr>
      <w:tr>
        <w:trPr>
          <w:trHeight w:val="367"/>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Nonoperating (income) expense, net</w:t>
            </w:r>
          </w:p>
        </w:tc>
        <w:tc>
          <w:tcPr>
            <w:tcW w:w="840" w:type="dxa"/>
            <w:vAlign w:val="bottom"/>
          </w:tcPr>
          <w:p>
            <w:pPr>
              <w:spacing w:after="0"/>
              <w:rPr>
                <w:sz w:val="24"/>
                <w:szCs w:val="24"/>
                <w:color w:val="auto"/>
              </w:rPr>
            </w:pP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(12,324)</w:t>
            </w: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(3,278)</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840" w:type="dxa"/>
            <w:vAlign w:val="bottom"/>
          </w:tcPr>
          <w:p>
            <w:pPr>
              <w:spacing w:after="0"/>
              <w:rPr>
                <w:sz w:val="24"/>
                <w:szCs w:val="24"/>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174,360</w:t>
            </w:r>
          </w:p>
        </w:tc>
        <w:tc>
          <w:tcPr>
            <w:tcW w:w="76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50,704</w:t>
            </w:r>
          </w:p>
        </w:tc>
      </w:tr>
      <w:tr>
        <w:trPr>
          <w:trHeight w:val="367"/>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840" w:type="dxa"/>
            <w:vAlign w:val="bottom"/>
          </w:tcPr>
          <w:p>
            <w:pPr>
              <w:spacing w:after="0"/>
              <w:rPr>
                <w:sz w:val="24"/>
                <w:szCs w:val="24"/>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52,308</w:t>
            </w:r>
          </w:p>
        </w:tc>
        <w:tc>
          <w:tcPr>
            <w:tcW w:w="76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11,598</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400" w:type="dxa"/>
            <w:vAlign w:val="bottom"/>
          </w:tcPr>
          <w:p>
            <w:pPr>
              <w:spacing w:after="0"/>
              <w:rPr>
                <w:sz w:val="24"/>
                <w:szCs w:val="24"/>
                <w:color w:val="auto"/>
              </w:rPr>
            </w:pP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122,052</w:t>
            </w:r>
          </w:p>
        </w:tc>
        <w:tc>
          <w:tcPr>
            <w:tcW w:w="7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39,106</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Shares used to compute earnings per share - basic</w:t>
            </w:r>
          </w:p>
        </w:tc>
        <w:tc>
          <w:tcPr>
            <w:tcW w:w="840" w:type="dxa"/>
            <w:vAlign w:val="bottom"/>
          </w:tcPr>
          <w:p>
            <w:pPr>
              <w:spacing w:after="0"/>
              <w:rPr>
                <w:sz w:val="24"/>
                <w:szCs w:val="24"/>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352,706</w:t>
            </w:r>
          </w:p>
        </w:tc>
        <w:tc>
          <w:tcPr>
            <w:tcW w:w="76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334,024</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Shares used to compute earnings per share - diluted</w:t>
            </w:r>
          </w:p>
        </w:tc>
        <w:tc>
          <w:tcPr>
            <w:tcW w:w="84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382,321</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361,396</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 - basic</w:t>
            </w:r>
          </w:p>
        </w:tc>
        <w:tc>
          <w:tcPr>
            <w:tcW w:w="840" w:type="dxa"/>
            <w:vAlign w:val="bottom"/>
          </w:tcPr>
          <w:p>
            <w:pPr>
              <w:spacing w:after="0"/>
              <w:rPr>
                <w:sz w:val="24"/>
                <w:szCs w:val="24"/>
                <w:color w:val="auto"/>
              </w:rPr>
            </w:pP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$0.35</w:t>
            </w:r>
          </w:p>
        </w:tc>
        <w:tc>
          <w:tcPr>
            <w:tcW w:w="76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$0.12</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 - diluted</w:t>
            </w:r>
          </w:p>
        </w:tc>
        <w:tc>
          <w:tcPr>
            <w:tcW w:w="840" w:type="dxa"/>
            <w:vAlign w:val="bottom"/>
          </w:tcPr>
          <w:p>
            <w:pPr>
              <w:spacing w:after="0"/>
              <w:rPr>
                <w:sz w:val="15"/>
                <w:szCs w:val="15"/>
                <w:color w:val="auto"/>
              </w:rPr>
            </w:pP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$0.32</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$0.11</w:t>
            </w:r>
          </w:p>
        </w:tc>
      </w:tr>
      <w:tr>
        <w:trPr>
          <w:trHeight w:val="18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300"/>
          </w:cols>
          <w:pgMar w:left="240" w:top="298" w:right="1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5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17"/>
        </w:trPr>
        <w:tc>
          <w:tcPr>
            <w:tcW w:w="1140" w:type="dxa"/>
            <w:vAlign w:val="bottom"/>
          </w:tcPr>
          <w:p>
            <w:pPr>
              <w:spacing w:after="0"/>
              <w:rPr>
                <w:sz w:val="24"/>
                <w:szCs w:val="24"/>
                <w:color w:val="auto"/>
              </w:rPr>
            </w:pPr>
          </w:p>
        </w:tc>
        <w:tc>
          <w:tcPr>
            <w:tcW w:w="5200" w:type="dxa"/>
            <w:vAlign w:val="bottom"/>
          </w:tcPr>
          <w:p>
            <w:pPr>
              <w:ind w:left="2380"/>
              <w:spacing w:after="0"/>
              <w:rPr>
                <w:sz w:val="20"/>
                <w:szCs w:val="20"/>
                <w:color w:val="auto"/>
              </w:rPr>
            </w:pPr>
            <w:r>
              <w:rPr>
                <w:rFonts w:ascii="Courier New" w:cs="Courier New" w:eastAsia="Courier New" w:hAnsi="Courier New"/>
                <w:sz w:val="16"/>
                <w:szCs w:val="16"/>
                <w:color w:val="auto"/>
              </w:rPr>
              <w:t>PART I</w:t>
            </w:r>
          </w:p>
        </w:tc>
        <w:tc>
          <w:tcPr>
            <w:tcW w:w="2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5200" w:type="dxa"/>
            <w:vAlign w:val="bottom"/>
          </w:tcPr>
          <w:p>
            <w:pPr>
              <w:ind w:left="1720"/>
              <w:spacing w:after="0"/>
              <w:rPr>
                <w:sz w:val="20"/>
                <w:szCs w:val="20"/>
                <w:color w:val="auto"/>
              </w:rPr>
            </w:pPr>
            <w:r>
              <w:rPr>
                <w:rFonts w:ascii="Courier New" w:cs="Courier New" w:eastAsia="Courier New" w:hAnsi="Courier New"/>
                <w:sz w:val="16"/>
                <w:szCs w:val="16"/>
                <w:color w:val="auto"/>
              </w:rPr>
              <w:t>FINANCIAL INFORMATION</w:t>
            </w: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4"/>
        </w:trPr>
        <w:tc>
          <w:tcPr>
            <w:tcW w:w="11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20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2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7"/>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ANALOG DEVICES, INC.</w:t>
            </w:r>
          </w:p>
        </w:tc>
        <w:tc>
          <w:tcPr>
            <w:tcW w:w="2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CONDENSED CONSOLIDATED STATEMENTS OF INCOME</w:t>
            </w: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5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(thousands except per share amounts)</w:t>
            </w: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17"/>
        </w:trPr>
        <w:tc>
          <w:tcPr>
            <w:tcW w:w="1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720" w:type="dxa"/>
            <w:vAlign w:val="bottom"/>
            <w:gridSpan w:val="2"/>
          </w:tcPr>
          <w:p>
            <w:pPr>
              <w:ind w:left="1100"/>
              <w:spacing w:after="0"/>
              <w:rPr>
                <w:sz w:val="20"/>
                <w:szCs w:val="20"/>
                <w:color w:val="auto"/>
              </w:rPr>
            </w:pPr>
            <w:r>
              <w:rPr>
                <w:rFonts w:ascii="Courier New" w:cs="Courier New" w:eastAsia="Courier New" w:hAnsi="Courier New"/>
                <w:sz w:val="16"/>
                <w:szCs w:val="16"/>
                <w:color w:val="auto"/>
              </w:rPr>
              <w:t>Six Months Ended</w:t>
            </w:r>
          </w:p>
        </w:tc>
        <w:tc>
          <w:tcPr>
            <w:tcW w:w="8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5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April 29, 2000</w:t>
            </w:r>
          </w:p>
        </w:tc>
        <w:tc>
          <w:tcPr>
            <w:tcW w:w="15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May 1, 1999</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200" w:type="dxa"/>
            <w:vAlign w:val="bottom"/>
          </w:tcPr>
          <w:p>
            <w:pPr>
              <w:spacing w:after="0"/>
              <w:rPr>
                <w:sz w:val="24"/>
                <w:szCs w:val="24"/>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$ 1,071,272</w:t>
            </w:r>
          </w:p>
        </w:tc>
        <w:tc>
          <w:tcPr>
            <w:tcW w:w="7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640,567</w:t>
            </w:r>
          </w:p>
        </w:tc>
      </w:tr>
      <w:tr>
        <w:trPr>
          <w:trHeight w:val="367"/>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Cost of sales</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482,271</w:t>
            </w:r>
          </w:p>
        </w:tc>
        <w:tc>
          <w:tcPr>
            <w:tcW w:w="7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339,240</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Gross margin</w:t>
            </w:r>
          </w:p>
        </w:tc>
        <w:tc>
          <w:tcPr>
            <w:tcW w:w="5200" w:type="dxa"/>
            <w:vAlign w:val="bottom"/>
          </w:tcPr>
          <w:p>
            <w:pPr>
              <w:spacing w:after="0"/>
              <w:rPr>
                <w:sz w:val="24"/>
                <w:szCs w:val="24"/>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589,001</w:t>
            </w:r>
          </w:p>
        </w:tc>
        <w:tc>
          <w:tcPr>
            <w:tcW w:w="7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301,327</w:t>
            </w:r>
          </w:p>
        </w:tc>
      </w:tr>
      <w:tr>
        <w:trPr>
          <w:trHeight w:val="367"/>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Operating expenses:</w:t>
            </w:r>
          </w:p>
        </w:tc>
        <w:tc>
          <w:tcPr>
            <w:tcW w:w="2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3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Research and development</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173,714</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114,483</w:t>
            </w:r>
          </w:p>
        </w:tc>
      </w:tr>
      <w:tr>
        <w:trPr>
          <w:trHeight w:val="183"/>
        </w:trPr>
        <w:tc>
          <w:tcPr>
            <w:tcW w:w="63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Write-off of purchased in-process research and development</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5,140</w:t>
            </w:r>
          </w:p>
        </w:tc>
      </w:tr>
      <w:tr>
        <w:trPr>
          <w:trHeight w:val="183"/>
        </w:trPr>
        <w:tc>
          <w:tcPr>
            <w:tcW w:w="63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Selling, marketing, general and</w:t>
            </w: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administrative</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135,597</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95,348</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309,311</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214,971</w:t>
            </w:r>
          </w:p>
        </w:tc>
      </w:tr>
      <w:tr>
        <w:trPr>
          <w:trHeight w:val="367"/>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279,690</w:t>
            </w:r>
          </w:p>
        </w:tc>
        <w:tc>
          <w:tcPr>
            <w:tcW w:w="7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86,356</w:t>
            </w:r>
          </w:p>
        </w:tc>
      </w:tr>
      <w:tr>
        <w:trPr>
          <w:trHeight w:val="367"/>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Equity in loss of WaferTech</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1,149</w:t>
            </w:r>
          </w:p>
        </w:tc>
      </w:tr>
      <w:tr>
        <w:trPr>
          <w:trHeight w:val="367"/>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Nonoperating (income) expense, net</w:t>
            </w:r>
          </w:p>
        </w:tc>
        <w:tc>
          <w:tcPr>
            <w:tcW w:w="2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(21,735)</w:t>
            </w:r>
          </w:p>
        </w:tc>
        <w:tc>
          <w:tcPr>
            <w:tcW w:w="7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(2,858)</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301,425</w:t>
            </w:r>
          </w:p>
        </w:tc>
        <w:tc>
          <w:tcPr>
            <w:tcW w:w="7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88,065</w:t>
            </w:r>
          </w:p>
        </w:tc>
      </w:tr>
      <w:tr>
        <w:trPr>
          <w:trHeight w:val="367"/>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86,366</w:t>
            </w:r>
          </w:p>
        </w:tc>
        <w:tc>
          <w:tcPr>
            <w:tcW w:w="7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19,065</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200" w:type="dxa"/>
            <w:vAlign w:val="bottom"/>
          </w:tcPr>
          <w:p>
            <w:pPr>
              <w:spacing w:after="0"/>
              <w:rPr>
                <w:sz w:val="24"/>
                <w:szCs w:val="24"/>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215,059</w:t>
            </w:r>
          </w:p>
        </w:tc>
        <w:tc>
          <w:tcPr>
            <w:tcW w:w="7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69,000</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Shares used to compute earnings per share - basic</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351,029</w:t>
            </w:r>
          </w:p>
        </w:tc>
        <w:tc>
          <w:tcPr>
            <w:tcW w:w="7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326,584</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Shares used to compute earnings per share - diluted</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378,389</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357,556</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 - basic</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$0.61</w:t>
            </w:r>
          </w:p>
        </w:tc>
        <w:tc>
          <w:tcPr>
            <w:tcW w:w="7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$0.21</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 - diluted</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$0.57</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$0.20</w:t>
            </w:r>
          </w:p>
        </w:tc>
      </w:tr>
      <w:tr>
        <w:trPr>
          <w:trHeight w:val="183"/>
        </w:trPr>
        <w:tc>
          <w:tcPr>
            <w:tcW w:w="11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4900" w:type="dxa"/>
            <w:vAlign w:val="bottom"/>
          </w:tcPr>
          <w:p>
            <w:pPr>
              <w:ind w:left="280"/>
              <w:spacing w:after="0"/>
              <w:rPr>
                <w:sz w:val="20"/>
                <w:szCs w:val="20"/>
                <w:color w:val="auto"/>
              </w:rPr>
            </w:pPr>
            <w:r>
              <w:rPr>
                <w:rFonts w:ascii="Courier New" w:cs="Courier New" w:eastAsia="Courier New" w:hAnsi="Courier New"/>
                <w:sz w:val="16"/>
                <w:szCs w:val="16"/>
                <w:color w:val="auto"/>
              </w:rPr>
              <w:t>4</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4"/>
        </w:trPr>
        <w:tc>
          <w:tcPr>
            <w:tcW w:w="4900" w:type="dxa"/>
            <w:vAlign w:val="bottom"/>
          </w:tcPr>
          <w:p>
            <w:pPr>
              <w:spacing w:after="0"/>
              <w:rPr>
                <w:sz w:val="20"/>
                <w:szCs w:val="20"/>
                <w:color w:val="auto"/>
              </w:rPr>
            </w:pPr>
            <w:r>
              <w:rPr>
                <w:rFonts w:ascii="Courier New" w:cs="Courier New" w:eastAsia="Courier New" w:hAnsi="Courier New"/>
                <w:sz w:val="16"/>
                <w:szCs w:val="16"/>
                <w:color w:val="auto"/>
              </w:rPr>
              <w:t>ANALOG DEVICES, INC.</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CONDENSED CONSOLIDATED BALANCE SHEETS</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(thousands)</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917"/>
        </w:trPr>
        <w:tc>
          <w:tcPr>
            <w:tcW w:w="49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April 29, 2000</w:t>
            </w:r>
          </w:p>
        </w:tc>
        <w:tc>
          <w:tcPr>
            <w:tcW w:w="20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October 30, 1999</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May 1, 1999</w:t>
            </w:r>
          </w:p>
        </w:tc>
      </w:tr>
      <w:tr>
        <w:trPr>
          <w:trHeight w:val="183"/>
        </w:trPr>
        <w:tc>
          <w:tcPr>
            <w:tcW w:w="4900" w:type="dxa"/>
            <w:vAlign w:val="bottom"/>
          </w:tcPr>
          <w:p>
            <w:pPr>
              <w:spacing w:after="0"/>
              <w:rPr>
                <w:sz w:val="15"/>
                <w:szCs w:val="15"/>
                <w:color w:val="auto"/>
              </w:rPr>
            </w:pPr>
          </w:p>
        </w:tc>
        <w:tc>
          <w:tcPr>
            <w:tcW w:w="2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514,894</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355,891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401,307</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416,559</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406,553</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117,788</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351,538</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267,127</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225,127</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Raw materials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13,105</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13,735</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22,221</w:t>
            </w:r>
          </w:p>
        </w:tc>
      </w:tr>
      <w:tr>
        <w:trPr>
          <w:trHeight w:val="183"/>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Work in process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150,002</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150,427</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147,184</w:t>
            </w:r>
          </w:p>
        </w:tc>
      </w:tr>
      <w:tr>
        <w:trPr>
          <w:trHeight w:val="183"/>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Finished goods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117,291</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84,774</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89,969</w:t>
            </w:r>
          </w:p>
        </w:tc>
      </w:tr>
      <w:tr>
        <w:trPr>
          <w:trHeight w:val="183"/>
        </w:trPr>
        <w:tc>
          <w:tcPr>
            <w:tcW w:w="4900" w:type="dxa"/>
            <w:vAlign w:val="bottom"/>
          </w:tcPr>
          <w:p>
            <w:pPr>
              <w:spacing w:after="0"/>
              <w:rPr>
                <w:sz w:val="15"/>
                <w:szCs w:val="15"/>
                <w:color w:val="auto"/>
              </w:rPr>
            </w:pPr>
          </w:p>
        </w:tc>
        <w:tc>
          <w:tcPr>
            <w:tcW w:w="20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280,398</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248,936</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259,374</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98,000</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89,780</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95,000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11,236</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10,823</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13,654</w:t>
            </w:r>
          </w:p>
        </w:tc>
      </w:tr>
      <w:tr>
        <w:trPr>
          <w:trHeight w:val="183"/>
        </w:trPr>
        <w:tc>
          <w:tcPr>
            <w:tcW w:w="4900" w:type="dxa"/>
            <w:vAlign w:val="bottom"/>
          </w:tcPr>
          <w:p>
            <w:pPr>
              <w:spacing w:after="0"/>
              <w:rPr>
                <w:sz w:val="15"/>
                <w:szCs w:val="15"/>
                <w:color w:val="auto"/>
              </w:rPr>
            </w:pPr>
          </w:p>
        </w:tc>
        <w:tc>
          <w:tcPr>
            <w:tcW w:w="20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Total current assets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1,672,625</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1,379,110</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1,112,250</w:t>
            </w:r>
          </w:p>
        </w:tc>
      </w:tr>
      <w:tr>
        <w:trPr>
          <w:trHeight w:val="183"/>
        </w:trPr>
        <w:tc>
          <w:tcPr>
            <w:tcW w:w="4900" w:type="dxa"/>
            <w:vAlign w:val="bottom"/>
          </w:tcPr>
          <w:p>
            <w:pPr>
              <w:spacing w:after="0"/>
              <w:rPr>
                <w:sz w:val="15"/>
                <w:szCs w:val="15"/>
                <w:color w:val="auto"/>
              </w:rPr>
            </w:pPr>
          </w:p>
        </w:tc>
        <w:tc>
          <w:tcPr>
            <w:tcW w:w="20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Land and buildings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179,068</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166,130</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161,109</w:t>
            </w:r>
          </w:p>
        </w:tc>
      </w:tr>
      <w:tr>
        <w:trPr>
          <w:trHeight w:val="183"/>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Machinery and equipment</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1,151,759</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1,088,939</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1,050,673</w:t>
            </w:r>
          </w:p>
        </w:tc>
      </w:tr>
      <w:tr>
        <w:trPr>
          <w:trHeight w:val="183"/>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Office equipment</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80,718</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74,530</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73,766</w:t>
            </w:r>
          </w:p>
        </w:tc>
      </w:tr>
      <w:tr>
        <w:trPr>
          <w:trHeight w:val="183"/>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Leasehold improvements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113,807</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108,530</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104,749</w:t>
            </w:r>
          </w:p>
        </w:tc>
      </w:tr>
      <w:tr>
        <w:trPr>
          <w:trHeight w:val="183"/>
        </w:trPr>
        <w:tc>
          <w:tcPr>
            <w:tcW w:w="4900" w:type="dxa"/>
            <w:vAlign w:val="bottom"/>
          </w:tcPr>
          <w:p>
            <w:pPr>
              <w:spacing w:after="0"/>
              <w:rPr>
                <w:sz w:val="15"/>
                <w:szCs w:val="15"/>
                <w:color w:val="auto"/>
              </w:rPr>
            </w:pPr>
          </w:p>
        </w:tc>
        <w:tc>
          <w:tcPr>
            <w:tcW w:w="20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1,525,352</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1,438,129</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1,390,297</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820" w:type="dxa"/>
            <w:vAlign w:val="bottom"/>
          </w:tcPr>
          <w:p>
            <w:pPr>
              <w:spacing w:after="0"/>
              <w:rPr>
                <w:sz w:val="24"/>
                <w:szCs w:val="24"/>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860,591</w:t>
            </w:r>
          </w:p>
        </w:tc>
        <w:tc>
          <w:tcPr>
            <w:tcW w:w="580" w:type="dxa"/>
            <w:vAlign w:val="bottom"/>
          </w:tcPr>
          <w:p>
            <w:pPr>
              <w:spacing w:after="0"/>
              <w:rPr>
                <w:sz w:val="24"/>
                <w:szCs w:val="24"/>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795,323</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729,696</w:t>
            </w:r>
          </w:p>
        </w:tc>
      </w:tr>
      <w:tr>
        <w:trPr>
          <w:trHeight w:val="183"/>
        </w:trPr>
        <w:tc>
          <w:tcPr>
            <w:tcW w:w="4900" w:type="dxa"/>
            <w:vAlign w:val="bottom"/>
          </w:tcPr>
          <w:p>
            <w:pPr>
              <w:spacing w:after="0"/>
              <w:rPr>
                <w:sz w:val="15"/>
                <w:szCs w:val="15"/>
                <w:color w:val="auto"/>
              </w:rPr>
            </w:pPr>
          </w:p>
        </w:tc>
        <w:tc>
          <w:tcPr>
            <w:tcW w:w="20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Net property, plant and equipment</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664,761</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642,806</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660,601</w:t>
            </w:r>
          </w:p>
        </w:tc>
      </w:tr>
      <w:tr>
        <w:trPr>
          <w:trHeight w:val="183"/>
        </w:trPr>
        <w:tc>
          <w:tcPr>
            <w:tcW w:w="4900" w:type="dxa"/>
            <w:vAlign w:val="bottom"/>
          </w:tcPr>
          <w:p>
            <w:pPr>
              <w:spacing w:after="0"/>
              <w:rPr>
                <w:sz w:val="15"/>
                <w:szCs w:val="15"/>
                <w:color w:val="auto"/>
              </w:rPr>
            </w:pPr>
          </w:p>
        </w:tc>
        <w:tc>
          <w:tcPr>
            <w:tcW w:w="20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820" w:type="dxa"/>
            <w:vAlign w:val="bottom"/>
          </w:tcPr>
          <w:p>
            <w:pPr>
              <w:spacing w:after="0"/>
              <w:rPr>
                <w:sz w:val="24"/>
                <w:szCs w:val="24"/>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260,755</w:t>
            </w:r>
          </w:p>
        </w:tc>
        <w:tc>
          <w:tcPr>
            <w:tcW w:w="580" w:type="dxa"/>
            <w:vAlign w:val="bottom"/>
          </w:tcPr>
          <w:p>
            <w:pPr>
              <w:spacing w:after="0"/>
              <w:rPr>
                <w:sz w:val="24"/>
                <w:szCs w:val="24"/>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119,301</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88,376</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34,956</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30,563</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30,731</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35,925</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46,574</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46,900</w:t>
            </w:r>
          </w:p>
        </w:tc>
      </w:tr>
      <w:tr>
        <w:trPr>
          <w:trHeight w:val="183"/>
        </w:trPr>
        <w:tc>
          <w:tcPr>
            <w:tcW w:w="4900" w:type="dxa"/>
            <w:vAlign w:val="bottom"/>
          </w:tcPr>
          <w:p>
            <w:pPr>
              <w:spacing w:after="0"/>
              <w:rPr>
                <w:sz w:val="15"/>
                <w:szCs w:val="15"/>
                <w:color w:val="auto"/>
              </w:rPr>
            </w:pPr>
          </w:p>
        </w:tc>
        <w:tc>
          <w:tcPr>
            <w:tcW w:w="20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Total other assets</w:t>
            </w:r>
          </w:p>
        </w:tc>
        <w:tc>
          <w:tcPr>
            <w:tcW w:w="8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331,636</w:t>
            </w:r>
          </w:p>
        </w:tc>
        <w:tc>
          <w:tcPr>
            <w:tcW w:w="5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196,438</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166,007</w:t>
            </w:r>
          </w:p>
        </w:tc>
      </w:tr>
      <w:tr>
        <w:trPr>
          <w:trHeight w:val="183"/>
        </w:trPr>
        <w:tc>
          <w:tcPr>
            <w:tcW w:w="4900" w:type="dxa"/>
            <w:vAlign w:val="bottom"/>
          </w:tcPr>
          <w:p>
            <w:pPr>
              <w:spacing w:after="0"/>
              <w:rPr>
                <w:sz w:val="15"/>
                <w:szCs w:val="15"/>
                <w:color w:val="auto"/>
              </w:rPr>
            </w:pPr>
          </w:p>
        </w:tc>
        <w:tc>
          <w:tcPr>
            <w:tcW w:w="20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2,669,022</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2,218,354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1,938,858</w:t>
            </w:r>
          </w:p>
        </w:tc>
      </w:tr>
      <w:tr>
        <w:trPr>
          <w:trHeight w:val="183"/>
        </w:trPr>
        <w:tc>
          <w:tcPr>
            <w:tcW w:w="4900" w:type="dxa"/>
            <w:vAlign w:val="bottom"/>
          </w:tcPr>
          <w:p>
            <w:pPr>
              <w:spacing w:after="0"/>
              <w:rPr>
                <w:sz w:val="15"/>
                <w:szCs w:val="15"/>
                <w:color w:val="auto"/>
              </w:rPr>
            </w:pPr>
          </w:p>
        </w:tc>
        <w:tc>
          <w:tcPr>
            <w:tcW w:w="20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400"/>
          </w:cols>
          <w:pgMar w:left="240" w:top="298" w:right="1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34"/>
        </w:trPr>
        <w:tc>
          <w:tcPr>
            <w:tcW w:w="2040" w:type="dxa"/>
            <w:vAlign w:val="bottom"/>
          </w:tcPr>
          <w:p>
            <w:pPr>
              <w:spacing w:after="0"/>
              <w:rPr>
                <w:sz w:val="20"/>
                <w:szCs w:val="20"/>
                <w:color w:val="auto"/>
              </w:rPr>
            </w:pPr>
            <w:r>
              <w:rPr>
                <w:rFonts w:ascii="Courier New" w:cs="Courier New" w:eastAsia="Courier New" w:hAnsi="Courier New"/>
                <w:sz w:val="16"/>
                <w:szCs w:val="16"/>
                <w:color w:val="auto"/>
              </w:rPr>
              <w:t>ANALOG DEVICES, INC.</w:t>
            </w:r>
          </w:p>
        </w:tc>
        <w:tc>
          <w:tcPr>
            <w:tcW w:w="3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CONDENSED CONSOLIDATED BALANCE SHEETS</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(thousands)</w:t>
            </w: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917"/>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1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April 29, 2000</w:t>
            </w:r>
          </w:p>
        </w:tc>
        <w:tc>
          <w:tcPr>
            <w:tcW w:w="1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October 30, 1999</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May 1, 1999</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Short-term borrowings and current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portion of long-term debt</w:t>
            </w:r>
          </w:p>
        </w:tc>
        <w:tc>
          <w:tcPr>
            <w:tcW w:w="86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82,344</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Obligations under capital leases</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13,457</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14,717</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14,496</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139,903</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103,368</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68,797</w:t>
            </w:r>
          </w:p>
        </w:tc>
      </w:t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Deferred income on shipments to distributors</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112,795</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100,788</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96,749</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Income taxes payable</w:t>
            </w: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135,720</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66,761</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52,783</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152,007</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111,285</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79,022</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current liabilities</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553,882</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479,263</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311,948</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0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3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4"/>
                <w:szCs w:val="24"/>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80,000</w:t>
            </w:r>
          </w:p>
        </w:tc>
      </w:t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Non-current obligations under capital leases</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12,655</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16,214</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23,510</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55,000</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40,002</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34,000</w:t>
            </w:r>
          </w:p>
        </w:tc>
      </w:t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180,346</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66,844</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47,100</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non-current liabilities</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248,001</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123,060</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184,610</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7"/>
        </w:trPr>
        <w:tc>
          <w:tcPr>
            <w:tcW w:w="20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6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Preferred stock, $1.00 par value, 471,934 shares</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60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authorized, none outstanding</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Common stock, $.16 2/3 par value, 600,000,000 shares</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60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authorized, 355,095,676 shares issued</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60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(178,049,189 in October 1999 and 176,297,695</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2040" w:type="dxa"/>
            <w:vAlign w:val="bottom"/>
          </w:tcPr>
          <w:p>
            <w:pPr>
              <w:ind w:left="580"/>
              <w:spacing w:after="0"/>
              <w:rPr>
                <w:sz w:val="20"/>
                <w:szCs w:val="20"/>
                <w:color w:val="auto"/>
              </w:rPr>
            </w:pPr>
            <w:r>
              <w:rPr>
                <w:rFonts w:ascii="Courier New" w:cs="Courier New" w:eastAsia="Courier New" w:hAnsi="Courier New"/>
                <w:sz w:val="16"/>
                <w:szCs w:val="16"/>
                <w:color w:val="auto"/>
              </w:rPr>
              <w:t>in May 1999)</w:t>
            </w: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59,183</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29,675</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29,384</w:t>
            </w:r>
          </w:p>
        </w:tc>
      </w:t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Capital in excess of par value</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457,887</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523,106</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489,907</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1,325,870</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1,110,811</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982,992</w:t>
            </w:r>
          </w:p>
        </w:tc>
      </w:t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Accumulated other comprehensive income</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25,702</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12,209</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7,822</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1,868,642</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1,675,801</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1,510,105</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Less 19,552 shares in</w:t>
            </w:r>
          </w:p>
        </w:tc>
        <w:tc>
          <w:tcPr>
            <w:tcW w:w="3960" w:type="dxa"/>
            <w:vAlign w:val="bottom"/>
          </w:tcPr>
          <w:p>
            <w:pPr>
              <w:ind w:left="60"/>
              <w:spacing w:after="0"/>
              <w:rPr>
                <w:sz w:val="20"/>
                <w:szCs w:val="20"/>
                <w:color w:val="auto"/>
              </w:rPr>
            </w:pPr>
            <w:r>
              <w:rPr>
                <w:rFonts w:ascii="Courier New" w:cs="Courier New" w:eastAsia="Courier New" w:hAnsi="Courier New"/>
                <w:sz w:val="16"/>
                <w:szCs w:val="16"/>
                <w:color w:val="auto"/>
              </w:rPr>
              <w:t>treasury, at cost (3,161,774 in</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2040" w:type="dxa"/>
            <w:vAlign w:val="bottom"/>
          </w:tcPr>
          <w:p>
            <w:pPr>
              <w:ind w:left="380"/>
              <w:spacing w:after="0"/>
              <w:rPr>
                <w:sz w:val="20"/>
                <w:szCs w:val="20"/>
                <w:color w:val="auto"/>
              </w:rPr>
            </w:pPr>
            <w:r>
              <w:rPr>
                <w:rFonts w:ascii="Courier New" w:cs="Courier New" w:eastAsia="Courier New" w:hAnsi="Courier New"/>
                <w:sz w:val="16"/>
                <w:szCs w:val="16"/>
                <w:color w:val="auto"/>
              </w:rPr>
              <w:t>October 1999 and</w:t>
            </w:r>
          </w:p>
        </w:tc>
        <w:tc>
          <w:tcPr>
            <w:tcW w:w="3960" w:type="dxa"/>
            <w:vAlign w:val="bottom"/>
          </w:tcPr>
          <w:p>
            <w:pPr>
              <w:ind w:left="60"/>
              <w:spacing w:after="0"/>
              <w:rPr>
                <w:sz w:val="20"/>
                <w:szCs w:val="20"/>
                <w:color w:val="auto"/>
              </w:rPr>
            </w:pPr>
            <w:r>
              <w:rPr>
                <w:rFonts w:ascii="Courier New" w:cs="Courier New" w:eastAsia="Courier New" w:hAnsi="Courier New"/>
                <w:sz w:val="16"/>
                <w:szCs w:val="16"/>
                <w:color w:val="auto"/>
              </w:rPr>
              <w:t>3,765,989 in May 1999)</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1,503</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59,770</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67,805</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Total stockholders' equity</w:t>
            </w:r>
          </w:p>
        </w:tc>
        <w:tc>
          <w:tcPr>
            <w:tcW w:w="8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1,867,139</w:t>
            </w:r>
          </w:p>
        </w:tc>
        <w:tc>
          <w:tcPr>
            <w:tcW w:w="52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1,616,031</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1,442,300</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6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2,669,022</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2,218,354</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1,938,858</w:t>
            </w:r>
          </w:p>
        </w:tc>
      </w:tr>
      <w:tr>
        <w:trPr>
          <w:trHeight w:val="183"/>
        </w:trPr>
        <w:tc>
          <w:tcPr>
            <w:tcW w:w="20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6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298"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6300" w:type="dxa"/>
            <w:vAlign w:val="bottom"/>
          </w:tcPr>
          <w:p>
            <w:pPr>
              <w:ind w:left="280"/>
              <w:spacing w:after="0"/>
              <w:rPr>
                <w:sz w:val="20"/>
                <w:szCs w:val="20"/>
                <w:color w:val="auto"/>
              </w:rPr>
            </w:pPr>
            <w:r>
              <w:rPr>
                <w:rFonts w:ascii="Courier New" w:cs="Courier New" w:eastAsia="Courier New" w:hAnsi="Courier New"/>
                <w:sz w:val="16"/>
                <w:szCs w:val="16"/>
                <w:color w:val="auto"/>
              </w:rPr>
              <w:t>6</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4"/>
        </w:trPr>
        <w:tc>
          <w:tcPr>
            <w:tcW w:w="6300" w:type="dxa"/>
            <w:vAlign w:val="bottom"/>
          </w:tcPr>
          <w:p>
            <w:pPr>
              <w:spacing w:after="0"/>
              <w:rPr>
                <w:sz w:val="20"/>
                <w:szCs w:val="20"/>
                <w:color w:val="auto"/>
              </w:rPr>
            </w:pPr>
            <w:r>
              <w:rPr>
                <w:rFonts w:ascii="Courier New" w:cs="Courier New" w:eastAsia="Courier New" w:hAnsi="Courier New"/>
                <w:sz w:val="16"/>
                <w:szCs w:val="16"/>
                <w:color w:val="auto"/>
              </w:rPr>
              <w:t>ANALOG DEVICES, INC.</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CASH FLOWS</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(thousands)</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4"/>
        </w:trPr>
        <w:tc>
          <w:tcPr>
            <w:tcW w:w="6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6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6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April 29, 2000</w:t>
            </w: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May 1, 1999</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630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operations:</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215,059</w:t>
            </w:r>
          </w:p>
        </w:tc>
        <w:tc>
          <w:tcPr>
            <w:tcW w:w="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69,000</w:t>
            </w: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Adjustments to reconcile net income</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to net cash provided by operations:</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Depreciation and amortization</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73,315</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70,891</w:t>
            </w:r>
          </w:p>
        </w:tc>
      </w:tr>
      <w:tr>
        <w:trPr>
          <w:trHeight w:val="183"/>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Write-off of purchased research and development</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5,140</w:t>
            </w:r>
          </w:p>
        </w:tc>
      </w:tr>
      <w:tr>
        <w:trPr>
          <w:trHeight w:val="183"/>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Equity in loss of WaferTech, net of dividends</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1,149</w:t>
            </w:r>
          </w:p>
        </w:tc>
      </w:tr>
      <w:tr>
        <w:trPr>
          <w:trHeight w:val="183"/>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Deferred income taxes</w:t>
            </w:r>
          </w:p>
        </w:tc>
        <w:tc>
          <w:tcPr>
            <w:tcW w:w="94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(9,717)</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2,236</w:t>
            </w:r>
          </w:p>
        </w:tc>
      </w:tr>
      <w:tr>
        <w:trPr>
          <w:trHeight w:val="183"/>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Other non-cash expense</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559</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2,318</w:t>
            </w:r>
          </w:p>
        </w:tc>
      </w:tr>
      <w:tr>
        <w:trPr>
          <w:trHeight w:val="183"/>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39,282</w:t>
            </w: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(8,063)</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Total adjustments</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103,439</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73,671</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Net cash provided by operations</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318,498</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142,671</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investments:</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Purchase of short-term investments</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available for sale</w:t>
            </w:r>
          </w:p>
        </w:tc>
        <w:tc>
          <w:tcPr>
            <w:tcW w:w="94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(418,662)</w:t>
            </w: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(162,038)</w:t>
            </w: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Maturities of short-term investments</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available for sale</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408,656</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85,825</w:t>
            </w: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Payments for acquisitions, net of cash acquired</w:t>
            </w:r>
          </w:p>
        </w:tc>
        <w:tc>
          <w:tcPr>
            <w:tcW w:w="94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(2,176)</w:t>
            </w: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(20,019)</w:t>
            </w: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Change in long-term investments</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348</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108,354</w:t>
            </w: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Additions to property, plant and equipment, net</w:t>
            </w:r>
          </w:p>
        </w:tc>
        <w:tc>
          <w:tcPr>
            <w:tcW w:w="94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(92,846)</w:t>
            </w: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(26,009)</w:t>
            </w: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(Increase) decrease in other assets</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6,737</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5,902</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Net cash used for investments</w:t>
            </w:r>
          </w:p>
        </w:tc>
        <w:tc>
          <w:tcPr>
            <w:tcW w:w="94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(97,943)</w:t>
            </w: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(7,985)</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30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Proceeds from employee stock plans</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20,693</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10,540</w:t>
            </w: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Payments on capital lease obligations</w:t>
            </w:r>
          </w:p>
        </w:tc>
        <w:tc>
          <w:tcPr>
            <w:tcW w:w="94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(4,818)</w:t>
            </w: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(7,033)</w:t>
            </w: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Net decrease in variable rate borrowings</w:t>
            </w:r>
          </w:p>
        </w:tc>
        <w:tc>
          <w:tcPr>
            <w:tcW w:w="94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(82,215)</w:t>
            </w: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Net cash (used for) provided by financing activities</w:t>
            </w:r>
          </w:p>
        </w:tc>
        <w:tc>
          <w:tcPr>
            <w:tcW w:w="94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(66,340)</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3,388</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4,788</w:t>
            </w: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300" w:type="dxa"/>
            <w:vAlign w:val="bottom"/>
          </w:tcPr>
          <w:p>
            <w:pPr>
              <w:spacing w:after="0"/>
              <w:rPr>
                <w:sz w:val="20"/>
                <w:szCs w:val="20"/>
                <w:color w:val="auto"/>
              </w:rPr>
            </w:pPr>
            <w:r>
              <w:rPr>
                <w:rFonts w:ascii="Courier New" w:cs="Courier New" w:eastAsia="Courier New" w:hAnsi="Courier New"/>
                <w:sz w:val="16"/>
                <w:szCs w:val="16"/>
                <w:color w:val="auto"/>
              </w:rPr>
              <w:t>Net increase in cash and cash equivalents</w:t>
            </w:r>
          </w:p>
        </w:tc>
        <w:tc>
          <w:tcPr>
            <w:tcW w:w="940" w:type="dxa"/>
            <w:vAlign w:val="bottom"/>
          </w:tcPr>
          <w:p>
            <w:pPr>
              <w:spacing w:after="0"/>
              <w:rPr>
                <w:sz w:val="24"/>
                <w:szCs w:val="24"/>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159,003</w:t>
            </w:r>
          </w:p>
        </w:tc>
        <w:tc>
          <w:tcPr>
            <w:tcW w:w="7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137,976</w:t>
            </w: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94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355,891</w:t>
            </w:r>
          </w:p>
        </w:tc>
        <w:tc>
          <w:tcPr>
            <w:tcW w:w="7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263,331</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514,894</w:t>
            </w:r>
          </w:p>
        </w:tc>
        <w:tc>
          <w:tcPr>
            <w:tcW w:w="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401,307</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300" w:type="dxa"/>
            <w:vAlign w:val="bottom"/>
          </w:tcPr>
          <w:p>
            <w:pPr>
              <w:spacing w:after="0"/>
              <w:rPr>
                <w:sz w:val="20"/>
                <w:szCs w:val="20"/>
                <w:color w:val="auto"/>
              </w:rPr>
            </w:pPr>
            <w:r>
              <w:rPr>
                <w:rFonts w:ascii="Courier New" w:cs="Courier New" w:eastAsia="Courier New" w:hAnsi="Courier New"/>
                <w:sz w:val="16"/>
                <w:szCs w:val="16"/>
                <w:color w:val="auto"/>
              </w:rPr>
              <w:t>SUPPLEMENTAL INFORMATION</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300" w:type="dxa"/>
            <w:vAlign w:val="bottom"/>
          </w:tcPr>
          <w:p>
            <w:pPr>
              <w:spacing w:after="0"/>
              <w:rPr>
                <w:sz w:val="20"/>
                <w:szCs w:val="20"/>
                <w:color w:val="auto"/>
              </w:rPr>
            </w:pPr>
            <w:r>
              <w:rPr>
                <w:rFonts w:ascii="Courier New" w:cs="Courier New" w:eastAsia="Courier New" w:hAnsi="Courier New"/>
                <w:sz w:val="16"/>
                <w:szCs w:val="16"/>
                <w:color w:val="auto"/>
              </w:rPr>
              <w:t>Non-cash disclosure:</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Conversion of 3 1/2% Subordinated Notes to common stock</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229,952</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Unrealized gains on available-for-sale securities</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26,981</w:t>
            </w:r>
          </w:p>
        </w:tc>
        <w:tc>
          <w:tcPr>
            <w:tcW w:w="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300" w:type="dxa"/>
            <w:vAlign w:val="bottom"/>
          </w:tcPr>
          <w:p>
            <w:pPr>
              <w:spacing w:after="0"/>
              <w:rPr>
                <w:sz w:val="15"/>
                <w:szCs w:val="15"/>
                <w:color w:val="auto"/>
              </w:rPr>
            </w:pPr>
          </w:p>
        </w:tc>
        <w:tc>
          <w:tcPr>
            <w:tcW w:w="23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298" w:right="1440" w:bottom="1440" w:gutter="0" w:footer="0" w:header="0"/>
        </w:sectPr>
      </w:pP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Notes to Condensed Consolidated Financial Statements For the three months and six months ended April 29,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tabular amounts in thousands except per share amounts)</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Note 1 - In the opinion of management, the information furnished in the accompanying condensed consolidated financial statements reflects all normal recurring adjustments that are necessary to fairly state the results for this interim period and should be read in conjunction with the Company's Annual Report to Stockholders on Form 10-K for the fiscal year ended October 30, 1999 (1999 Annual Report).</w:t>
      </w:r>
    </w:p>
    <w:p>
      <w:pPr>
        <w:spacing w:after="0" w:line="187"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Note 2 - Certain amounts reported in the previous year have been reclassified to conform to the 2000 presentation.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Comprehensive Income</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Total comprehensive income, i.e., net income plus available-for-sale securities valuation adjustments and currency translation adjustments to stockholders' equity, for the second quarters of fiscal 2000 and fiscal 1999 was $109 million and $40 million, respectively. For the first six months of fiscal 2000 and fiscal 1999, total comprehensive income was $229 million and $71 million, respectively.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Earnings Per Share</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convertible debt financing. In calculating diluted earnings per share, the dilutive effect of stock options is computed using the average market price for the period. 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960" w:type="dxa"/>
            <w:vAlign w:val="bottom"/>
            <w:gridSpan w:val="3"/>
          </w:tcPr>
          <w:p>
            <w:pPr>
              <w:jc w:val="right"/>
              <w:ind w:right="88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6000" w:type="dxa"/>
            <w:vAlign w:val="bottom"/>
          </w:tcPr>
          <w:p>
            <w:pPr>
              <w:spacing w:after="0"/>
              <w:rPr>
                <w:sz w:val="15"/>
                <w:szCs w:val="15"/>
                <w:color w:val="auto"/>
              </w:rPr>
            </w:pPr>
          </w:p>
        </w:tc>
        <w:tc>
          <w:tcPr>
            <w:tcW w:w="40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15"/>
                <w:szCs w:val="15"/>
                <w:color w:val="auto"/>
              </w:rPr>
            </w:pPr>
          </w:p>
        </w:tc>
        <w:tc>
          <w:tcPr>
            <w:tcW w:w="24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April 29, 2000</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May 1, 1999</w:t>
            </w:r>
          </w:p>
        </w:tc>
      </w:tr>
      <w:tr>
        <w:trPr>
          <w:trHeight w:val="183"/>
        </w:trPr>
        <w:tc>
          <w:tcPr>
            <w:tcW w:w="6000" w:type="dxa"/>
            <w:vAlign w:val="bottom"/>
          </w:tcPr>
          <w:p>
            <w:pPr>
              <w:spacing w:after="0"/>
              <w:rPr>
                <w:sz w:val="15"/>
                <w:szCs w:val="15"/>
                <w:color w:val="auto"/>
              </w:rPr>
            </w:pPr>
          </w:p>
        </w:tc>
        <w:tc>
          <w:tcPr>
            <w:tcW w:w="24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600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122,052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39,106</w:t>
            </w:r>
          </w:p>
        </w:tc>
      </w:tr>
      <w:tr>
        <w:trPr>
          <w:trHeight w:val="183"/>
        </w:trPr>
        <w:tc>
          <w:tcPr>
            <w:tcW w:w="6000" w:type="dxa"/>
            <w:vAlign w:val="bottom"/>
          </w:tcPr>
          <w:p>
            <w:pPr>
              <w:spacing w:after="0"/>
              <w:rPr>
                <w:sz w:val="15"/>
                <w:szCs w:val="15"/>
                <w:color w:val="auto"/>
              </w:rPr>
            </w:pPr>
          </w:p>
        </w:tc>
        <w:tc>
          <w:tcPr>
            <w:tcW w:w="24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Weighted shares outstanding</w:t>
            </w:r>
          </w:p>
        </w:tc>
        <w:tc>
          <w:tcPr>
            <w:tcW w:w="1060" w:type="dxa"/>
            <w:vAlign w:val="bottom"/>
          </w:tcPr>
          <w:p>
            <w:pPr>
              <w:spacing w:after="0"/>
              <w:rPr>
                <w:sz w:val="24"/>
                <w:szCs w:val="24"/>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352,706</w:t>
            </w:r>
          </w:p>
        </w:tc>
        <w:tc>
          <w:tcPr>
            <w:tcW w:w="520" w:type="dxa"/>
            <w:vAlign w:val="bottom"/>
          </w:tcPr>
          <w:p>
            <w:pPr>
              <w:spacing w:after="0"/>
              <w:rPr>
                <w:sz w:val="24"/>
                <w:szCs w:val="24"/>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334,024</w:t>
            </w:r>
          </w:p>
        </w:tc>
      </w:tr>
      <w:tr>
        <w:trPr>
          <w:trHeight w:val="183"/>
        </w:trPr>
        <w:tc>
          <w:tcPr>
            <w:tcW w:w="6000" w:type="dxa"/>
            <w:vAlign w:val="bottom"/>
          </w:tcPr>
          <w:p>
            <w:pPr>
              <w:spacing w:after="0"/>
              <w:rPr>
                <w:sz w:val="15"/>
                <w:szCs w:val="15"/>
                <w:color w:val="auto"/>
              </w:rPr>
            </w:pPr>
          </w:p>
        </w:tc>
        <w:tc>
          <w:tcPr>
            <w:tcW w:w="24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Earnings per share</w:t>
            </w:r>
          </w:p>
        </w:tc>
        <w:tc>
          <w:tcPr>
            <w:tcW w:w="1060" w:type="dxa"/>
            <w:vAlign w:val="bottom"/>
          </w:tcPr>
          <w:p>
            <w:pPr>
              <w:spacing w:after="0"/>
              <w:rPr>
                <w:sz w:val="24"/>
                <w:szCs w:val="24"/>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$0.35</w:t>
            </w:r>
          </w:p>
        </w:tc>
        <w:tc>
          <w:tcPr>
            <w:tcW w:w="520" w:type="dxa"/>
            <w:vAlign w:val="bottom"/>
          </w:tcPr>
          <w:p>
            <w:pPr>
              <w:spacing w:after="0"/>
              <w:rPr>
                <w:sz w:val="24"/>
                <w:szCs w:val="24"/>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$0.12</w:t>
            </w:r>
          </w:p>
        </w:tc>
      </w:tr>
      <w:tr>
        <w:trPr>
          <w:trHeight w:val="183"/>
        </w:trPr>
        <w:tc>
          <w:tcPr>
            <w:tcW w:w="6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122,052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39,106</w:t>
            </w:r>
          </w:p>
        </w:tc>
      </w:tr>
      <w:tr>
        <w:trPr>
          <w:trHeight w:val="183"/>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Interest related to convertible subordinated notes,</w:t>
            </w: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net of tax</w:t>
            </w:r>
          </w:p>
        </w:tc>
        <w:tc>
          <w:tcPr>
            <w:tcW w:w="106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481</w:t>
            </w:r>
          </w:p>
        </w:tc>
      </w:tr>
      <w:tr>
        <w:trPr>
          <w:trHeight w:val="183"/>
        </w:trPr>
        <w:tc>
          <w:tcPr>
            <w:tcW w:w="6000" w:type="dxa"/>
            <w:vAlign w:val="bottom"/>
          </w:tcPr>
          <w:p>
            <w:pPr>
              <w:spacing w:after="0"/>
              <w:rPr>
                <w:sz w:val="15"/>
                <w:szCs w:val="15"/>
                <w:color w:val="auto"/>
              </w:rPr>
            </w:pPr>
          </w:p>
        </w:tc>
        <w:tc>
          <w:tcPr>
            <w:tcW w:w="24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Earnings available for common stock</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122,052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39,587</w:t>
            </w:r>
          </w:p>
        </w:tc>
      </w:tr>
      <w:tr>
        <w:trPr>
          <w:trHeight w:val="183"/>
        </w:trPr>
        <w:tc>
          <w:tcPr>
            <w:tcW w:w="6000" w:type="dxa"/>
            <w:vAlign w:val="bottom"/>
          </w:tcPr>
          <w:p>
            <w:pPr>
              <w:spacing w:after="0"/>
              <w:rPr>
                <w:sz w:val="15"/>
                <w:szCs w:val="15"/>
                <w:color w:val="auto"/>
              </w:rPr>
            </w:pPr>
          </w:p>
        </w:tc>
        <w:tc>
          <w:tcPr>
            <w:tcW w:w="24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Weighted shares outstanding</w:t>
            </w:r>
          </w:p>
        </w:tc>
        <w:tc>
          <w:tcPr>
            <w:tcW w:w="1060" w:type="dxa"/>
            <w:vAlign w:val="bottom"/>
          </w:tcPr>
          <w:p>
            <w:pPr>
              <w:spacing w:after="0"/>
              <w:rPr>
                <w:sz w:val="24"/>
                <w:szCs w:val="24"/>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352,706</w:t>
            </w:r>
          </w:p>
        </w:tc>
        <w:tc>
          <w:tcPr>
            <w:tcW w:w="520" w:type="dxa"/>
            <w:vAlign w:val="bottom"/>
          </w:tcPr>
          <w:p>
            <w:pPr>
              <w:spacing w:after="0"/>
              <w:rPr>
                <w:sz w:val="24"/>
                <w:szCs w:val="24"/>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334,024</w:t>
            </w:r>
          </w:p>
        </w:tc>
      </w:tr>
      <w:tr>
        <w:trPr>
          <w:trHeight w:val="183"/>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Assumed exercise of common stock equivalents</w:t>
            </w:r>
          </w:p>
        </w:tc>
        <w:tc>
          <w:tcPr>
            <w:tcW w:w="106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29,615</w:t>
            </w:r>
          </w:p>
        </w:tc>
        <w:tc>
          <w:tcPr>
            <w:tcW w:w="5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18,928</w:t>
            </w:r>
          </w:p>
        </w:tc>
      </w:tr>
      <w:tr>
        <w:trPr>
          <w:trHeight w:val="183"/>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Assumed conversion of subordinated notes</w:t>
            </w:r>
          </w:p>
        </w:tc>
        <w:tc>
          <w:tcPr>
            <w:tcW w:w="106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8,444</w:t>
            </w:r>
          </w:p>
        </w:tc>
      </w:tr>
      <w:tr>
        <w:trPr>
          <w:trHeight w:val="183"/>
        </w:trPr>
        <w:tc>
          <w:tcPr>
            <w:tcW w:w="6000" w:type="dxa"/>
            <w:vAlign w:val="bottom"/>
          </w:tcPr>
          <w:p>
            <w:pPr>
              <w:spacing w:after="0"/>
              <w:rPr>
                <w:sz w:val="15"/>
                <w:szCs w:val="15"/>
                <w:color w:val="auto"/>
              </w:rPr>
            </w:pPr>
          </w:p>
        </w:tc>
        <w:tc>
          <w:tcPr>
            <w:tcW w:w="24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Weighted average common and common equivalent shares</w:t>
            </w:r>
          </w:p>
        </w:tc>
        <w:tc>
          <w:tcPr>
            <w:tcW w:w="106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382,321</w:t>
            </w:r>
          </w:p>
        </w:tc>
        <w:tc>
          <w:tcPr>
            <w:tcW w:w="5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361,396</w:t>
            </w:r>
          </w:p>
        </w:tc>
      </w:tr>
      <w:tr>
        <w:trPr>
          <w:trHeight w:val="183"/>
        </w:trPr>
        <w:tc>
          <w:tcPr>
            <w:tcW w:w="6000" w:type="dxa"/>
            <w:vAlign w:val="bottom"/>
          </w:tcPr>
          <w:p>
            <w:pPr>
              <w:spacing w:after="0"/>
              <w:rPr>
                <w:sz w:val="15"/>
                <w:szCs w:val="15"/>
                <w:color w:val="auto"/>
              </w:rPr>
            </w:pPr>
          </w:p>
        </w:tc>
        <w:tc>
          <w:tcPr>
            <w:tcW w:w="24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Earnings per share</w:t>
            </w:r>
          </w:p>
        </w:tc>
        <w:tc>
          <w:tcPr>
            <w:tcW w:w="1060" w:type="dxa"/>
            <w:vAlign w:val="bottom"/>
          </w:tcPr>
          <w:p>
            <w:pPr>
              <w:spacing w:after="0"/>
              <w:rPr>
                <w:sz w:val="24"/>
                <w:szCs w:val="24"/>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$0.32</w:t>
            </w:r>
          </w:p>
        </w:tc>
        <w:tc>
          <w:tcPr>
            <w:tcW w:w="520" w:type="dxa"/>
            <w:vAlign w:val="bottom"/>
          </w:tcPr>
          <w:p>
            <w:pPr>
              <w:spacing w:after="0"/>
              <w:rPr>
                <w:sz w:val="24"/>
                <w:szCs w:val="24"/>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$0.11</w:t>
            </w:r>
          </w:p>
        </w:tc>
      </w:tr>
      <w:tr>
        <w:trPr>
          <w:trHeight w:val="183"/>
        </w:trPr>
        <w:tc>
          <w:tcPr>
            <w:tcW w:w="6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550"/>
        </w:trPr>
        <w:tc>
          <w:tcPr>
            <w:tcW w:w="6000" w:type="dxa"/>
            <w:vAlign w:val="bottom"/>
          </w:tcPr>
          <w:p>
            <w:pPr>
              <w:ind w:left="3720"/>
              <w:spacing w:after="0"/>
              <w:rPr>
                <w:sz w:val="20"/>
                <w:szCs w:val="20"/>
                <w:color w:val="auto"/>
              </w:rPr>
            </w:pPr>
            <w:r>
              <w:rPr>
                <w:rFonts w:ascii="Courier New" w:cs="Courier New" w:eastAsia="Courier New" w:hAnsi="Courier New"/>
                <w:sz w:val="16"/>
                <w:szCs w:val="16"/>
                <w:color w:val="auto"/>
              </w:rPr>
              <w:t>7</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98"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Six Months Ended</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7200" w:type="dxa"/>
            <w:vAlign w:val="bottom"/>
          </w:tcPr>
          <w:p>
            <w:pPr>
              <w:spacing w:after="0"/>
              <w:rPr>
                <w:sz w:val="15"/>
                <w:szCs w:val="15"/>
                <w:color w:val="auto"/>
              </w:rPr>
            </w:pPr>
          </w:p>
        </w:tc>
        <w:tc>
          <w:tcPr>
            <w:tcW w:w="42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200" w:type="dxa"/>
            <w:vAlign w:val="bottom"/>
          </w:tcPr>
          <w:p>
            <w:pPr>
              <w:spacing w:after="0"/>
              <w:rPr>
                <w:sz w:val="15"/>
                <w:szCs w:val="15"/>
                <w:color w:val="auto"/>
              </w:rPr>
            </w:pPr>
          </w:p>
        </w:tc>
        <w:tc>
          <w:tcPr>
            <w:tcW w:w="310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April 29, 2000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May 1, 1999</w:t>
            </w:r>
          </w:p>
        </w:tc>
      </w:tr>
      <w:tr>
        <w:trPr>
          <w:trHeight w:val="183"/>
        </w:trPr>
        <w:tc>
          <w:tcPr>
            <w:tcW w:w="7200" w:type="dxa"/>
            <w:vAlign w:val="bottom"/>
          </w:tcPr>
          <w:p>
            <w:pPr>
              <w:spacing w:after="0"/>
              <w:rPr>
                <w:sz w:val="15"/>
                <w:szCs w:val="15"/>
                <w:color w:val="auto"/>
              </w:rPr>
            </w:pPr>
          </w:p>
        </w:tc>
        <w:tc>
          <w:tcPr>
            <w:tcW w:w="310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720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215,059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69,000</w:t>
            </w:r>
          </w:p>
        </w:tc>
      </w:tr>
      <w:tr>
        <w:trPr>
          <w:trHeight w:val="183"/>
        </w:trPr>
        <w:tc>
          <w:tcPr>
            <w:tcW w:w="7200" w:type="dxa"/>
            <w:vAlign w:val="bottom"/>
          </w:tcPr>
          <w:p>
            <w:pPr>
              <w:spacing w:after="0"/>
              <w:rPr>
                <w:sz w:val="15"/>
                <w:szCs w:val="15"/>
                <w:color w:val="auto"/>
              </w:rPr>
            </w:pPr>
          </w:p>
        </w:tc>
        <w:tc>
          <w:tcPr>
            <w:tcW w:w="310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Weighted shares outstanding</w:t>
            </w:r>
          </w:p>
        </w:tc>
        <w:tc>
          <w:tcPr>
            <w:tcW w:w="1280" w:type="dxa"/>
            <w:vAlign w:val="bottom"/>
          </w:tcPr>
          <w:p>
            <w:pPr>
              <w:spacing w:after="0"/>
              <w:rPr>
                <w:sz w:val="24"/>
                <w:szCs w:val="24"/>
                <w:color w:val="auto"/>
              </w:rPr>
            </w:pP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351,029</w:t>
            </w:r>
          </w:p>
        </w:tc>
        <w:tc>
          <w:tcPr>
            <w:tcW w:w="10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326,584</w:t>
            </w:r>
          </w:p>
        </w:tc>
      </w:tr>
      <w:tr>
        <w:trPr>
          <w:trHeight w:val="183"/>
        </w:trPr>
        <w:tc>
          <w:tcPr>
            <w:tcW w:w="7200" w:type="dxa"/>
            <w:vAlign w:val="bottom"/>
          </w:tcPr>
          <w:p>
            <w:pPr>
              <w:spacing w:after="0"/>
              <w:rPr>
                <w:sz w:val="15"/>
                <w:szCs w:val="15"/>
                <w:color w:val="auto"/>
              </w:rPr>
            </w:pPr>
          </w:p>
        </w:tc>
        <w:tc>
          <w:tcPr>
            <w:tcW w:w="310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Earnings per share</w:t>
            </w:r>
          </w:p>
        </w:tc>
        <w:tc>
          <w:tcPr>
            <w:tcW w:w="1280" w:type="dxa"/>
            <w:vAlign w:val="bottom"/>
          </w:tcPr>
          <w:p>
            <w:pPr>
              <w:spacing w:after="0"/>
              <w:rPr>
                <w:sz w:val="24"/>
                <w:szCs w:val="24"/>
                <w:color w:val="auto"/>
              </w:rPr>
            </w:pP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$0.61</w:t>
            </w:r>
          </w:p>
        </w:tc>
        <w:tc>
          <w:tcPr>
            <w:tcW w:w="10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$0.21</w:t>
            </w:r>
          </w:p>
        </w:tc>
      </w:tr>
      <w:tr>
        <w:trPr>
          <w:trHeight w:val="183"/>
        </w:trPr>
        <w:tc>
          <w:tcPr>
            <w:tcW w:w="7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720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215,059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69,000</w:t>
            </w:r>
          </w:p>
        </w:tc>
      </w:tr>
      <w:tr>
        <w:trPr>
          <w:trHeight w:val="183"/>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Interest related to convertible subordinated notes, net of tax</w:t>
            </w:r>
          </w:p>
        </w:tc>
        <w:tc>
          <w:tcPr>
            <w:tcW w:w="1280" w:type="dxa"/>
            <w:vAlign w:val="bottom"/>
          </w:tcPr>
          <w:p>
            <w:pPr>
              <w:spacing w:after="0"/>
              <w:rPr>
                <w:sz w:val="15"/>
                <w:szCs w:val="15"/>
                <w:color w:val="auto"/>
              </w:rPr>
            </w:pP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1,906</w:t>
            </w:r>
          </w:p>
        </w:tc>
      </w:tr>
      <w:tr>
        <w:trPr>
          <w:trHeight w:val="183"/>
        </w:trPr>
        <w:tc>
          <w:tcPr>
            <w:tcW w:w="7200" w:type="dxa"/>
            <w:vAlign w:val="bottom"/>
          </w:tcPr>
          <w:p>
            <w:pPr>
              <w:spacing w:after="0"/>
              <w:rPr>
                <w:sz w:val="15"/>
                <w:szCs w:val="15"/>
                <w:color w:val="auto"/>
              </w:rPr>
            </w:pPr>
          </w:p>
        </w:tc>
        <w:tc>
          <w:tcPr>
            <w:tcW w:w="310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Earnings available for common stock</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215,059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70,906</w:t>
            </w:r>
          </w:p>
        </w:tc>
      </w:tr>
      <w:tr>
        <w:trPr>
          <w:trHeight w:val="183"/>
        </w:trPr>
        <w:tc>
          <w:tcPr>
            <w:tcW w:w="7200" w:type="dxa"/>
            <w:vAlign w:val="bottom"/>
          </w:tcPr>
          <w:p>
            <w:pPr>
              <w:spacing w:after="0"/>
              <w:rPr>
                <w:sz w:val="15"/>
                <w:szCs w:val="15"/>
                <w:color w:val="auto"/>
              </w:rPr>
            </w:pPr>
          </w:p>
        </w:tc>
        <w:tc>
          <w:tcPr>
            <w:tcW w:w="310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Weighted shares outstanding</w:t>
            </w:r>
          </w:p>
        </w:tc>
        <w:tc>
          <w:tcPr>
            <w:tcW w:w="1280" w:type="dxa"/>
            <w:vAlign w:val="bottom"/>
          </w:tcPr>
          <w:p>
            <w:pPr>
              <w:spacing w:after="0"/>
              <w:rPr>
                <w:sz w:val="24"/>
                <w:szCs w:val="24"/>
                <w:color w:val="auto"/>
              </w:rPr>
            </w:pP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351,029</w:t>
            </w:r>
          </w:p>
        </w:tc>
        <w:tc>
          <w:tcPr>
            <w:tcW w:w="10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326,584</w:t>
            </w:r>
          </w:p>
        </w:tc>
      </w:tr>
      <w:tr>
        <w:trPr>
          <w:trHeight w:val="183"/>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Assumed exercise of common stock equivalents</w:t>
            </w:r>
          </w:p>
        </w:tc>
        <w:tc>
          <w:tcPr>
            <w:tcW w:w="1280" w:type="dxa"/>
            <w:vAlign w:val="bottom"/>
          </w:tcPr>
          <w:p>
            <w:pPr>
              <w:spacing w:after="0"/>
              <w:rPr>
                <w:sz w:val="15"/>
                <w:szCs w:val="15"/>
                <w:color w:val="auto"/>
              </w:rPr>
            </w:pP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27,360</w:t>
            </w:r>
          </w:p>
        </w:tc>
        <w:tc>
          <w:tcPr>
            <w:tcW w:w="10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22,528</w:t>
            </w:r>
          </w:p>
        </w:tc>
      </w:tr>
      <w:tr>
        <w:trPr>
          <w:trHeight w:val="183"/>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Assumed conversion of subordinated notes</w:t>
            </w:r>
          </w:p>
        </w:tc>
        <w:tc>
          <w:tcPr>
            <w:tcW w:w="1280" w:type="dxa"/>
            <w:vAlign w:val="bottom"/>
          </w:tcPr>
          <w:p>
            <w:pPr>
              <w:spacing w:after="0"/>
              <w:rPr>
                <w:sz w:val="15"/>
                <w:szCs w:val="15"/>
                <w:color w:val="auto"/>
              </w:rPr>
            </w:pP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8,444</w:t>
            </w:r>
          </w:p>
        </w:tc>
      </w:tr>
      <w:tr>
        <w:trPr>
          <w:trHeight w:val="183"/>
        </w:trPr>
        <w:tc>
          <w:tcPr>
            <w:tcW w:w="7200" w:type="dxa"/>
            <w:vAlign w:val="bottom"/>
          </w:tcPr>
          <w:p>
            <w:pPr>
              <w:spacing w:after="0"/>
              <w:rPr>
                <w:sz w:val="15"/>
                <w:szCs w:val="15"/>
                <w:color w:val="auto"/>
              </w:rPr>
            </w:pPr>
          </w:p>
        </w:tc>
        <w:tc>
          <w:tcPr>
            <w:tcW w:w="310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Weighted average common and common equivalent shares</w:t>
            </w:r>
          </w:p>
        </w:tc>
        <w:tc>
          <w:tcPr>
            <w:tcW w:w="1280" w:type="dxa"/>
            <w:vAlign w:val="bottom"/>
          </w:tcPr>
          <w:p>
            <w:pPr>
              <w:spacing w:after="0"/>
              <w:rPr>
                <w:sz w:val="15"/>
                <w:szCs w:val="15"/>
                <w:color w:val="auto"/>
              </w:rPr>
            </w:pP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378,389</w:t>
            </w:r>
          </w:p>
        </w:tc>
        <w:tc>
          <w:tcPr>
            <w:tcW w:w="10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357,556</w:t>
            </w:r>
          </w:p>
        </w:tc>
      </w:tr>
      <w:tr>
        <w:trPr>
          <w:trHeight w:val="183"/>
        </w:trPr>
        <w:tc>
          <w:tcPr>
            <w:tcW w:w="7200" w:type="dxa"/>
            <w:vAlign w:val="bottom"/>
          </w:tcPr>
          <w:p>
            <w:pPr>
              <w:spacing w:after="0"/>
              <w:rPr>
                <w:sz w:val="15"/>
                <w:szCs w:val="15"/>
                <w:color w:val="auto"/>
              </w:rPr>
            </w:pPr>
          </w:p>
        </w:tc>
        <w:tc>
          <w:tcPr>
            <w:tcW w:w="310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200" w:type="dxa"/>
            <w:vAlign w:val="bottom"/>
          </w:tcPr>
          <w:p>
            <w:pPr>
              <w:ind w:left="380"/>
              <w:spacing w:after="0"/>
              <w:rPr>
                <w:sz w:val="20"/>
                <w:szCs w:val="20"/>
                <w:color w:val="auto"/>
              </w:rPr>
            </w:pPr>
            <w:r>
              <w:rPr>
                <w:rFonts w:ascii="Courier New" w:cs="Courier New" w:eastAsia="Courier New" w:hAnsi="Courier New"/>
                <w:sz w:val="16"/>
                <w:szCs w:val="16"/>
                <w:color w:val="auto"/>
              </w:rPr>
              <w:t>Earnings per share</w:t>
            </w:r>
          </w:p>
        </w:tc>
        <w:tc>
          <w:tcPr>
            <w:tcW w:w="1280" w:type="dxa"/>
            <w:vAlign w:val="bottom"/>
          </w:tcPr>
          <w:p>
            <w:pPr>
              <w:spacing w:after="0"/>
              <w:rPr>
                <w:sz w:val="24"/>
                <w:szCs w:val="24"/>
                <w:color w:val="auto"/>
              </w:rPr>
            </w:pP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$0.57</w:t>
            </w:r>
          </w:p>
        </w:tc>
        <w:tc>
          <w:tcPr>
            <w:tcW w:w="10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$0.20</w:t>
            </w:r>
          </w:p>
        </w:tc>
      </w:tr>
      <w:tr>
        <w:trPr>
          <w:trHeight w:val="183"/>
        </w:trPr>
        <w:tc>
          <w:tcPr>
            <w:tcW w:w="7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 Investments</w:t>
      </w:r>
    </w:p>
    <w:p>
      <w:pPr>
        <w:spacing w:after="0" w:line="188" w:lineRule="exact"/>
        <w:rPr>
          <w:sz w:val="20"/>
          <w:szCs w:val="20"/>
          <w:color w:val="auto"/>
        </w:rPr>
      </w:pPr>
    </w:p>
    <w:p>
      <w:pPr>
        <w:ind w:right="3820"/>
        <w:spacing w:after="0" w:line="242" w:lineRule="auto"/>
        <w:rPr>
          <w:sz w:val="20"/>
          <w:szCs w:val="20"/>
          <w:color w:val="auto"/>
        </w:rPr>
      </w:pPr>
      <w:r>
        <w:rPr>
          <w:rFonts w:ascii="Courier New" w:cs="Courier New" w:eastAsia="Courier New" w:hAnsi="Courier New"/>
          <w:sz w:val="16"/>
          <w:szCs w:val="16"/>
          <w:color w:val="auto"/>
        </w:rPr>
        <w:t>During the first quarter of fiscal 1999 Analog Devices Inc., (the Company), completed the sale of approximately 78% of its equity ownership in WaferTech, LLC, its joint venture with Taiwan Semiconductor Manufacturing Company and other investors. As a result of this sale, the Company's equity ownership in WaferTech was reduced from 18% to 4%. The Company sold 78% of its investment to other WaferTech partners and received $105 million in cash, which was equal to the carrying value of the 14% equity ownership at October 31, 1998.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 Convertible Debt</w:t>
      </w:r>
    </w:p>
    <w:p>
      <w:pPr>
        <w:spacing w:after="0" w:line="188" w:lineRule="exact"/>
        <w:rPr>
          <w:sz w:val="20"/>
          <w:szCs w:val="20"/>
          <w:color w:val="auto"/>
        </w:rPr>
      </w:pPr>
    </w:p>
    <w:p>
      <w:pPr>
        <w:ind w:right="3900"/>
        <w:spacing w:after="0" w:line="241" w:lineRule="auto"/>
        <w:rPr>
          <w:sz w:val="20"/>
          <w:szCs w:val="20"/>
          <w:color w:val="auto"/>
        </w:rPr>
      </w:pPr>
      <w:r>
        <w:rPr>
          <w:rFonts w:ascii="Courier New" w:cs="Courier New" w:eastAsia="Courier New" w:hAnsi="Courier New"/>
          <w:sz w:val="16"/>
          <w:szCs w:val="16"/>
          <w:color w:val="auto"/>
        </w:rPr>
        <w:t>As of March 11, 1999 the Company had converted $229,967,000 of the $230 million principal amount of its 3 1/2% Convertible Subordinated Notes (Notes) due 2000 into an aggregate of 10,983,163 shares of the Company's common stock, and the remaining Notes were redeemed by a cash payment of $33,000. This conversion did not have an impact on diluted earnings per share.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 Acquisitions</w:t>
      </w:r>
    </w:p>
    <w:p>
      <w:pPr>
        <w:spacing w:after="0" w:line="188" w:lineRule="exact"/>
        <w:rPr>
          <w:sz w:val="20"/>
          <w:szCs w:val="20"/>
          <w:color w:val="auto"/>
        </w:rPr>
      </w:pPr>
    </w:p>
    <w:p>
      <w:pPr>
        <w:ind w:right="3820"/>
        <w:spacing w:after="0" w:line="259" w:lineRule="auto"/>
        <w:rPr>
          <w:sz w:val="20"/>
          <w:szCs w:val="20"/>
          <w:color w:val="auto"/>
        </w:rPr>
      </w:pPr>
      <w:r>
        <w:rPr>
          <w:rFonts w:ascii="Courier New" w:cs="Courier New" w:eastAsia="Courier New" w:hAnsi="Courier New"/>
          <w:sz w:val="15"/>
          <w:szCs w:val="15"/>
          <w:color w:val="auto"/>
        </w:rPr>
        <w:t>During the second quarter of fiscal 1999, the Company acquired two DSP tools companies, White Mountain DSP, Inc. of Nashua, New Hampshire and Edinburgh Portable Compilers Limited, of Edinburgh, Scotland. The total cost of these acquisitions was approximately $21 million in cash and $2 million in common stock of the Company, with additional contingent cash consideration up to a maximum of $10 million (to be accounted for as additional goodwill) payable if the acquired companies achieve certain revenue and operational objectives. As of April 29, 2000, approximately $4 million of contingent consideration had been paid. These acquisitions were accounted for as purchases. The excess of the purchase price over the fair value of assets acquired was allocated to existing technology, workforce in place, and tradenames, which are being amortized over periods ranging from six to ten years and goodwill which is being amortized on the straight-line basis over ten years. In connection with these acquisitions, the Company recorded a charge of $5.1 million for the write-off of in-process research and development in the second quarter of fiscal 1999.</w:t>
      </w:r>
    </w:p>
    <w:p>
      <w:pPr>
        <w:sectPr>
          <w:pgSz w:w="11900" w:h="16838" w:orient="portrait"/>
          <w:cols w:equalWidth="0" w:num="1">
            <w:col w:w="11440"/>
          </w:cols>
          <w:pgMar w:left="240" w:top="298" w:right="219" w:bottom="1440" w:gutter="0" w:footer="0" w:header="0"/>
        </w:sectPr>
      </w:pPr>
    </w:p>
    <w:p>
      <w:pPr>
        <w:spacing w:after="0" w:line="1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440"/>
          </w:cols>
          <w:pgMar w:left="240" w:top="298" w:right="219"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Segment Information</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Company operates in two segments: the design, manufacture and marketing of a broad range of integrated circuits, which comprises approximately 97% of the Company's revenue, and the design, manufacture and marketing of a range of assembled products, which accounts for the remaining 3% of the Company's revenue. Effectively, the Company operates in one reportable segment.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 New Accounting Standard</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Effective October 31, 1999, the Company adopted Statement of Position 98-1, (SOP 98-1), "Accounting for the Cost of Computer Software Developed for or Obtained for Internal Use." The adoption of SOP 98-1 did not have a material impact on the results of operations or financial position.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 Stock Split</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On February 15, 2000, the Company's Board of Directors approved a 2-for-1 split of the Company's common stock, effected as a 100% stock dividend on March 15, 2000 by the distribution of one share of common stock for every share held on the record date of February 28, 2000. All historical per share amounts in this report have been restated to reflect the split.</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372"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9"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This information should be read in conjunction with the unaudited condensed consolidated financial statements and the notes thereto included in Item 1 of this Quarterly Report and the audited consolidated financial statements and notes thereto and Management Analysis for the fiscal year ended October 30, 1999, contained in the Company's 1999 Annual Report.</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following discussion and analysis may contain forward-looking statements. Such statements are subject to certain risks and uncertainties, including those discussed below or in the Company's 1999 Annual Report, which could cause actual results to differ materially from the Company's expectations. Readers are cautioned not to place undue reliance on any forward-looking statements, as they reflect management's analysis only as of the date hereof. The Company undertakes no obligation to release the results of any revision to these forward-looking statements that may be made to reflect events or circumstances after the date hereof or to reflect the occurrence of unanticipated events.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Net sales for the second quarter of fiscal 2000 were $581 million, an increase of 71% from the $340 million reported for the second quarter of fiscal 1999. Net sales for the first two quarters of fiscal 2000 were $1,071 million, an increase of 67% from the $641 million reported for the comparable period of fiscal 1999. Analog IC product sales increased by 57% over the same quarter in fiscal 1999 and 58% over the same six month period in fiscal 1999. Sales of DSP products increased 134% from the same quarter in fiscal 1999 and 110% over the same six month period in fiscal 1999. For the quarter and the six months ended April 29, 2000, sales increased in all markets with communications showing the highest increase. For the second quarter of fiscal 2000, sales to the communications market increased to 45% of total sales from 34% of total sales in the second quarter of fiscal 1999. The sales increase and growth in the communications market was driven by continued growth in demand for high-speed access to the Internet and wireless communications.</w:t>
      </w:r>
    </w:p>
    <w:p>
      <w:pPr>
        <w:spacing w:after="0" w:line="192"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Sales increased in all geographic regions for both the second quarter and first six months of fiscal 2000 over the same periods in fiscal 1999 with the largest increases occurring in North America and Southeast Asia. International sales for the second quarter of fiscal 2000 represented 56% of sales compared with 53% of sales for the second quarter of fiscal 1999.</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gross margin was 55.7% for the second quarter of fiscal 2000, compared to 48.1% for the second quarter of fiscal 1999. The gross margin was 55% for the first two quarters of fiscal 2000 compared to 47% for the first two quarters of fiscal 1999. For the quarter and six months ended April 29, 2000, the improvement in gross margin was primarily due to the favorable effect of fixed costs allocated across a higher sales base and improved manufacturing efficiencies at the Company's wafer fabrication, assembly and test facilities.</w:t>
      </w:r>
    </w:p>
    <w:p>
      <w:pPr>
        <w:spacing w:after="0" w:line="188"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Research and development (R&amp;D) expenses were $91 million and $174 million for the three months and six months ended April 29, 2000, respectively, compared to $62 million and $114 million for the corresponding periods of fiscal 1999. As a percentage of sales, R&amp;D spending decreased during the second quarter of fiscal 2000 to 15.6%, down from 18.2% in the second quarter of fiscal 1999. However, R&amp;D spending in absolute dollar amounts increased by 47% and 52% in the first three months and six months of fiscal 2000, respectively, over the same periods in fiscal 1999 as the Company continued to invest in various opportunities in the served markets. The Company believes that a continued commitment to research and development is essential in order to further exploit existing product offerings and to provide innovative new product offerings. As a result, the Company expects to continue to make significant R&amp;D investments in the future.</w:t>
      </w:r>
    </w:p>
    <w:p>
      <w:pPr>
        <w:spacing w:after="0" w:line="17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During the second quarter of fiscal 1999, the Company incurred a charge of $5,140,000 for the write-off of in-process R&amp;D in connection with the acquisition of two DSP tools companies, White Mountain DSP, Inc. of Nashua, New Hampshire and Edinburgh Portable Compilers Limited, of Edinburgh, Scotland. The total cost of these acquisitions was approximately $21 million in cash and $2 million in common stock of the Company, with additional contingent cash consideration of up to a maximum of $10 million (to be accounted for as goodwill) payable if the acquired companies achieve certain revenue and operational objectives. Through the second quarter of fiscal 2000, $4 million of the additional consideration has been paid.</w:t>
      </w:r>
    </w:p>
    <w:p>
      <w:pPr>
        <w:sectPr>
          <w:pgSz w:w="11900" w:h="16838" w:orient="portrait"/>
          <w:cols w:equalWidth="0" w:num="1">
            <w:col w:w="10219"/>
          </w:cols>
          <w:pgMar w:left="240" w:top="298" w:right="1440" w:bottom="1440" w:gutter="0" w:footer="0" w:header="0"/>
        </w:sectPr>
      </w:pP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8"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Selling, marketing, general &amp; administrative (SMG&amp;A) expenses for the second quarter of fiscal 2000 were $71 million, an increase of $22 million from the $49 million reported for the second quarter of fiscal 1999. SMG&amp;A expenses for the six months ended April 29, 2000 were $136 million, compared to $95 million for the six months ended May 1, 1999. As a percentage of sales, SMG&amp;A decreased from 14.5% for the second quarter of fiscal 1999 to 12.2% for the second quarter of fiscal 2000 as a result of the significant growth in revenue and continuing control over SMG&amp;A spending.</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effective income tax rate increased to 30% for the second quarter of fiscal 2000 compared to 22.9% for the second quarter of fiscal 1999. For the first six-month period of fiscal 2000, the tax rate increased from 21.6% for six months ended May 1, 1999 to 28.7% for the six months ended April 29, 2000. Both the three and six month increases are due to increased profits in higher tax jurisdictions.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rPr>
              <w:t>Liquidity and Capital Resources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At April</w:t>
            </w:r>
          </w:p>
        </w:tc>
        <w:tc>
          <w:tcPr>
            <w:tcW w:w="5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29, 2000, cash, cash equivalents and short-term investments</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totaled</w:t>
            </w:r>
          </w:p>
        </w:tc>
      </w:tr>
      <w:tr>
        <w:trPr>
          <w:trHeight w:val="183"/>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w w:val="99"/>
              </w:rPr>
              <w:t>$931 million, an increase of $169 million from the fourth quarter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fiscal 1999</w:t>
            </w:r>
          </w:p>
        </w:tc>
      </w:tr>
      <w:tr>
        <w:trPr>
          <w:trHeight w:val="183"/>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w w:val="99"/>
              </w:rPr>
              <w:t>and an increase of $412 million from the second quarter of fiscal</w:t>
            </w:r>
          </w:p>
        </w:tc>
        <w:tc>
          <w:tcPr>
            <w:tcW w:w="13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1999. The</w:t>
            </w: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increase</w:t>
            </w:r>
          </w:p>
        </w:tc>
        <w:tc>
          <w:tcPr>
            <w:tcW w:w="5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in cash, cash equivalents and short-term investments in the</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first six</w:t>
            </w:r>
          </w:p>
        </w:tc>
      </w:tr>
      <w:tr>
        <w:trPr>
          <w:trHeight w:val="183"/>
        </w:trPr>
        <w:tc>
          <w:tcPr>
            <w:tcW w:w="6240" w:type="dxa"/>
            <w:vAlign w:val="bottom"/>
            <w:gridSpan w:val="2"/>
          </w:tcPr>
          <w:p>
            <w:pPr>
              <w:spacing w:after="0"/>
              <w:rPr>
                <w:sz w:val="20"/>
                <w:szCs w:val="20"/>
                <w:color w:val="auto"/>
              </w:rPr>
            </w:pPr>
            <w:r>
              <w:rPr>
                <w:rFonts w:ascii="Courier New" w:cs="Courier New" w:eastAsia="Courier New" w:hAnsi="Courier New"/>
                <w:sz w:val="16"/>
                <w:szCs w:val="16"/>
                <w:color w:val="auto"/>
                <w:w w:val="99"/>
              </w:rPr>
              <w:t>months of fiscal 2000 was primarily due to operating cash inflows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$318</w:t>
            </w: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million,</w:t>
            </w:r>
          </w:p>
        </w:tc>
        <w:tc>
          <w:tcPr>
            <w:tcW w:w="5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partially offset by increased capital expenditures and debt</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repayment.</w:t>
            </w:r>
          </w:p>
        </w:tc>
      </w:tr>
    </w:tbl>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Accounts receivable totaled $352 million at the end of the second quarter of fiscal 2000, increases of $84 million from the fourth quarter of 1999 and $126 million from the second quarter of fiscal 1999 due to higher sales levels. The Company's days sales outstanding improved from 60 days at May 1, 1999 to 53 days at April 29, 2000.</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Inventories of $280 million at April 29, 2000 were $31 million higher than the inventory levels at October 30, 1999 and $21 million higher than at the end of the second quarter of fiscal 1999. The increase in inventory levels was a result of production increases in response to increased demand for the Company's products. Days cost of sales in inventory improved by 43 days to 94 days at April 29, 2000.</w:t>
      </w:r>
    </w:p>
    <w:p>
      <w:pPr>
        <w:spacing w:after="0" w:line="18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During the first quarter of fiscal 1999, the Company completed the sale of approximately 78% of its equity ownership in WaferTech, LLC, its joint venture with Taiwan Semiconductor Manufacturing Company (TSMC) and other investors. As a result of this sale, the Company's equity ownership in WaferTech was reduced from 18% to 4%. The Company sold 78% of its investment to other WaferTech partners and received $105 million in cash, which was equal to the carrying value of the 14% equity ownership at October 31, 1998.</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Net additions to property, plant and equipment of $93 million for the first half of fiscal 2000 were funded with a combination of cash on hand and cash generated from operations. Capital spending in the first half of fiscal 2000 was up substantially from the $26 million spent in the first half of fiscal 1999. The increase in capital expenditures was attributable to the expansion of manufacturing capability to meet current sales growth. The Company currently plans to make capital expenditures of approximately $275 million during fiscal 2000.</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At April 29, 2000, the Company's principal sources of liquidity were $931 million of cash and cash equivalents and short-term investments. In addition, the Company has various lines of credit both in the U.S. and overseas, including a $60 million credit facility in the U.S., which expires in October 2000, all of which were substantially unused at April 29, 2000.</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As of March 11, 1999 the Company had converted $229,967,000 of the $230 million principal amount of its 3 1/2% Convertible Subordinated Notes (Notes) due 2000 into an aggregate of 10,983,163 shares of the Company's common stock, and the remaining Notes were redeemed by a cash payment of $33,000.</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ectPr>
          <w:pgSz w:w="11900" w:h="16838" w:orient="portrait"/>
          <w:cols w:equalWidth="0" w:num="1">
            <w:col w:w="10219"/>
          </w:cols>
          <w:pgMar w:left="240" w:top="298" w:right="1440" w:bottom="1440" w:gutter="0" w:footer="0" w:header="0"/>
        </w:sectPr>
      </w:pPr>
    </w:p>
    <w:p>
      <w:pPr>
        <w:spacing w:after="0" w:line="3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8"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Which May Affect Future Results</w:t>
      </w:r>
    </w:p>
    <w:p>
      <w:pPr>
        <w:spacing w:after="0" w:line="188"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The Company's business is subject to rapid technological changes and there can be no assurance, depending on the mix of future business, that products stocked in inventory will not be rendered obsolete before they are shipped by the Company. As a result of these and other factors, there can be no assurance that the Company will not experience material fluctuations in future operating results on a quarterly or annual basis.</w:t>
      </w:r>
    </w:p>
    <w:p>
      <w:pPr>
        <w:spacing w:after="0" w:line="17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Company's customers in these markets are less well established which could subject the Company to increased credit risk.</w:t>
      </w:r>
    </w:p>
    <w:p>
      <w:pPr>
        <w:spacing w:after="0" w:line="19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190"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The cyclical nature of the industry has resulted in sustained or short-term periods when demand for the Company's products has increased or decreased rapidly. The semiconductor industry and the Company have experienced a period of rapid increases in demand during fiscal 1999 and the first six months of fiscal 2000. The Company has increased its manufacturing capacity over the past three years through both expansion of its production facilities and increased access to third-party foundries. However, the Company cannot be sure that it will not encounter unanticipated production problems at either its own facilities or at third-party foundries, or that the increased capacity will be sufficient to satisfy demand for its products. The Company relies, and plans to continue to rely, on assembly and test subcontractors and on third-party wafer fabricators to supply most of its wafers that can be manufactured using industry-standard digital processes. Such reliance involves several risks, including reduced control over delivery schedules, manufacturing yields and costs. In addition, the Company's capacity additions resulted in a significant increase in operating expenses. If revenue levels are not sufficient to offset these additional expense levels, the Company's future operating results could be adversely affected. In addition, asset values could be impaired if the additional capacity is underutilized for an extended period of time. Also, noncompliance with "take or pay" covenants in certain of its supply agreements could adversely impact operating results. The Company believes that other semiconductor manufacturers have expanded their production capacity over the past several years, and there can be no assurance that the expansion by the Company and its competitors will not lead to overcapacity in the Company's target markets, which could lead to price erosion that would adversely affect the Company's operating results. In addition, the Company and many companies in the semiconductor industry, rely on internal manufacturing capacity located in California and Taiwan as well as wafer fabrication foundries in Taiwan and other subcontractors in geologically unstable locations around the world. Such reliance involves risks associated with the impact of earthquakes on the Company and the semiconductor industry including temporary loss of capacity, availability and cost of key raw materials and equipment, and availability of key services including transport.</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8"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the first six months of fiscal 2000, 56% of the Company's revenues were derived from customers in international markets. The Company has manufacturing facilities outside the U.S. in Ireland, the Philippines and Taiwan. The Company also has a supply agreement that includes "take or pay" covenants with a supplier located in Southeast Asia (SEA) and as part of this arrangement, the Company has $9 million on deposit as well as a $54 million investment in the common stock of the supplier. In addition to being exposed to the ongoing economic cycles in the semiconductor industry, the Company is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194"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the Company's 1999 Annual Report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184"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Over the past several years the Company made significant investments in new manufacturing, financial and operating hardware and software. These investments were made to support the growth of its operations; however, the by-product of this effort was that the Company had year 2000 compliant hardware and software running on many of its major platforms. The Company established a task force to evaluate the remaining systems and equipment and upgrade or replace systems that were not year 2000 compliant. The cost of this effort, which commenced at the beginning of fiscal 1998 and continued through fiscal 1999, was approximately $10 million.</w:t>
      </w:r>
    </w:p>
    <w:p>
      <w:pPr>
        <w:spacing w:after="0" w:line="189"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The Company's computer systems and equipment did not experience any significant disruptions as a result of the advent of the year 2000. However, there may be latent problems that surface at key dates or events in the future. The Company has not experienced, and does not anticipate, any significant problems related to the transition to the year 2000. Furthermore, the Company does not anticipate any significant expenditure in the future related to year 2000 compliance.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The information required by this item is incorporated herein by reference to the "Management Analysis" set forth on pages 1 through 7 of the 1999 Annual Report to Shareholders.</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8"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5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PART II - OTHER INFORMATION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ANALOG DEVICES, INC.</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At the Annual Meeting of Stockholders held on March 14, 2000, the stockholders of the Company elected Messers. Joel Moses, Lester C. Thurow and Charles O. Holliday, Jr. to serve as Class I Directors for a term of three years by the following votes: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60"/>
        <w:spacing w:after="0"/>
        <w:tabs>
          <w:tab w:leader="none" w:pos="3800" w:val="left"/>
          <w:tab w:leader="none" w:pos="5420" w:val="left"/>
          <w:tab w:leader="none" w:pos="7600" w:val="left"/>
        </w:tabs>
        <w:rPr>
          <w:sz w:val="20"/>
          <w:szCs w:val="20"/>
          <w:color w:val="auto"/>
        </w:rPr>
      </w:pPr>
      <w:r>
        <w:rPr>
          <w:rFonts w:ascii="Courier New" w:cs="Courier New" w:eastAsia="Courier New" w:hAnsi="Courier New"/>
          <w:sz w:val="16"/>
          <w:szCs w:val="16"/>
          <w:color w:val="auto"/>
        </w:rPr>
        <w:t>Nominee</w:t>
      </w:r>
      <w:r>
        <w:rPr>
          <w:sz w:val="20"/>
          <w:szCs w:val="20"/>
          <w:color w:val="auto"/>
        </w:rPr>
        <w:tab/>
      </w:r>
      <w:r>
        <w:rPr>
          <w:rFonts w:ascii="Courier New" w:cs="Courier New" w:eastAsia="Courier New" w:hAnsi="Courier New"/>
          <w:sz w:val="16"/>
          <w:szCs w:val="16"/>
          <w:color w:val="auto"/>
        </w:rPr>
        <w:t>Votes For</w:t>
      </w:r>
      <w:r>
        <w:rPr>
          <w:sz w:val="20"/>
          <w:szCs w:val="20"/>
          <w:color w:val="auto"/>
        </w:rPr>
        <w:tab/>
      </w:r>
      <w:r>
        <w:rPr>
          <w:rFonts w:ascii="Courier New" w:cs="Courier New" w:eastAsia="Courier New" w:hAnsi="Courier New"/>
          <w:sz w:val="16"/>
          <w:szCs w:val="16"/>
          <w:color w:val="auto"/>
        </w:rPr>
        <w:t>Votes Withheld</w:t>
      </w:r>
      <w:r>
        <w:rPr>
          <w:sz w:val="20"/>
          <w:szCs w:val="20"/>
          <w:color w:val="auto"/>
        </w:rPr>
        <w:tab/>
      </w:r>
      <w:r>
        <w:rPr>
          <w:rFonts w:ascii="Courier New" w:cs="Courier New" w:eastAsia="Courier New" w:hAnsi="Courier New"/>
          <w:sz w:val="16"/>
          <w:szCs w:val="16"/>
          <w:color w:val="auto"/>
        </w:rPr>
        <w:t>Broker Non Votes</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rPr>
              <w:t>Joel Moses</w:t>
            </w:r>
          </w:p>
        </w:tc>
        <w:tc>
          <w:tcPr>
            <w:tcW w:w="1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157,501,250</w:t>
            </w:r>
          </w:p>
        </w:tc>
        <w:tc>
          <w:tcPr>
            <w:tcW w:w="22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2,144,575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Lester C. Thurow</w:t>
            </w:r>
          </w:p>
        </w:tc>
        <w:tc>
          <w:tcPr>
            <w:tcW w:w="1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157,457,357</w:t>
            </w:r>
          </w:p>
        </w:tc>
        <w:tc>
          <w:tcPr>
            <w:tcW w:w="22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2,188,467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Charles O. Holliday, Jr.</w:t>
            </w:r>
          </w:p>
        </w:tc>
        <w:tc>
          <w:tcPr>
            <w:tcW w:w="1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158,342,294</w:t>
            </w:r>
          </w:p>
        </w:tc>
        <w:tc>
          <w:tcPr>
            <w:tcW w:w="22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1,303,531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372"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Each of the following directors who were not up for reelection at the Annual Meeting of Stockholders will continue to serve as directors: Messrs. John L. Doyle, Jerald G. Fishman, F. Grant Saviers and Ray Stata.</w:t>
      </w:r>
    </w:p>
    <w:p>
      <w:pPr>
        <w:spacing w:after="0" w:line="190"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stockholders also approved an amendment to the Company's 1998 Stock Option Plan to increase the number of shares reserved for issuance thereunder from 15,000,000 to 32,000,000 (64,000,000 after giving effect for the 2-for-1 stock split distributed on March 15, 2000), by a vote of 74,765,345 in favor, 64,562,946 opposed, 2,623,800 abstaining and 17,693,734 non-vote.</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Stockholders also ratified the selection by the Board of Directors of Ernst &amp; Young LLP as the Company's independent auditors for the fiscal year ending October 28, 2000, by a vote of 159,078,016 in favor, 96,565 opposed and 471,243 abstaining.</w:t>
      </w:r>
    </w:p>
    <w:p>
      <w:pPr>
        <w:spacing w:after="0" w:line="3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760" w:hanging="381"/>
        <w:spacing w:after="0"/>
        <w:tabs>
          <w:tab w:leader="none" w:pos="7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w:t>
      </w:r>
    </w:p>
    <w:p>
      <w:pPr>
        <w:spacing w:after="0" w:line="2" w:lineRule="exact"/>
        <w:rPr>
          <w:rFonts w:ascii="Courier New" w:cs="Courier New" w:eastAsia="Courier New" w:hAnsi="Courier New"/>
          <w:sz w:val="16"/>
          <w:szCs w:val="16"/>
          <w:color w:val="auto"/>
        </w:rPr>
      </w:pPr>
    </w:p>
    <w:p>
      <w:pPr>
        <w:ind w:left="760" w:hanging="381"/>
        <w:spacing w:after="0"/>
        <w:tabs>
          <w:tab w:leader="none" w:pos="7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8-K</w:t>
      </w:r>
    </w:p>
    <w:p>
      <w:pPr>
        <w:spacing w:after="0" w:line="5" w:lineRule="exact"/>
        <w:rPr>
          <w:rFonts w:ascii="Courier New" w:cs="Courier New" w:eastAsia="Courier New" w:hAnsi="Courier New"/>
          <w:sz w:val="16"/>
          <w:szCs w:val="16"/>
          <w:color w:val="auto"/>
        </w:rPr>
      </w:pPr>
    </w:p>
    <w:p>
      <w:pPr>
        <w:ind w:left="760" w:right="2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There were no reports on Form 8-K filed for the three months ended April 29, 2000.</w:t>
      </w:r>
    </w:p>
    <w:p>
      <w:pPr>
        <w:spacing w:after="0" w:line="186"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Items 1, 2, 3 and 5 of PART II are not applicable and have been omitted.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36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372" w:lineRule="exact"/>
        <w:rPr>
          <w:sz w:val="20"/>
          <w:szCs w:val="20"/>
          <w:color w:val="auto"/>
        </w:rPr>
      </w:pPr>
    </w:p>
    <w:p>
      <w:pPr>
        <w:jc w:val="both"/>
        <w:ind w:right="3359"/>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580" w:type="dxa"/>
            <w:vAlign w:val="bottom"/>
            <w:gridSpan w:val="2"/>
          </w:tcPr>
          <w:p>
            <w:pPr>
              <w:ind w:left="1100"/>
              <w:spacing w:after="0"/>
              <w:rPr>
                <w:sz w:val="20"/>
                <w:szCs w:val="20"/>
                <w:color w:val="auto"/>
              </w:rPr>
            </w:pPr>
            <w:r>
              <w:rPr>
                <w:rFonts w:ascii="Courier New" w:cs="Courier New" w:eastAsia="Courier New" w:hAnsi="Courier New"/>
                <w:sz w:val="16"/>
                <w:szCs w:val="16"/>
                <w:color w:val="auto"/>
              </w:rPr>
              <w:t>Analog Devices,</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Inc.</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440" w:type="dxa"/>
            <w:vAlign w:val="bottom"/>
            <w:gridSpan w:val="3"/>
          </w:tcPr>
          <w:p>
            <w:pPr>
              <w:ind w:left="1100"/>
              <w:spacing w:after="0"/>
              <w:rPr>
                <w:sz w:val="20"/>
                <w:szCs w:val="20"/>
                <w:color w:val="auto"/>
              </w:rPr>
            </w:pPr>
            <w:r>
              <w:rPr>
                <w:rFonts w:ascii="Courier New" w:cs="Courier New" w:eastAsia="Courier New" w:hAnsi="Courier New"/>
                <w:sz w:val="16"/>
                <w:szCs w:val="16"/>
                <w:color w:val="auto"/>
              </w:rPr>
              <w:t>--------------------</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(Registrant)</w:t>
            </w:r>
          </w:p>
        </w:tc>
        <w:tc>
          <w:tcPr>
            <w:tcW w:w="1860" w:type="dxa"/>
            <w:vAlign w:val="bottom"/>
          </w:tcPr>
          <w:p>
            <w:pPr>
              <w:spacing w:after="0"/>
              <w:rPr>
                <w:sz w:val="15"/>
                <w:szCs w:val="15"/>
                <w:color w:val="auto"/>
              </w:rPr>
            </w:pPr>
          </w:p>
        </w:tc>
      </w:tr>
      <w:tr>
        <w:trPr>
          <w:trHeight w:val="734"/>
        </w:trPr>
        <w:tc>
          <w:tcPr>
            <w:tcW w:w="62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2480" w:type="dxa"/>
            <w:vAlign w:val="bottom"/>
          </w:tcPr>
          <w:p>
            <w:pPr>
              <w:ind w:left="140"/>
              <w:spacing w:after="0"/>
              <w:rPr>
                <w:sz w:val="20"/>
                <w:szCs w:val="20"/>
                <w:color w:val="auto"/>
              </w:rPr>
            </w:pPr>
            <w:r>
              <w:rPr>
                <w:rFonts w:ascii="Courier New" w:cs="Courier New" w:eastAsia="Courier New" w:hAnsi="Courier New"/>
                <w:sz w:val="16"/>
                <w:szCs w:val="16"/>
                <w:color w:val="auto"/>
              </w:rPr>
              <w:t>June 12, 2000</w:t>
            </w:r>
          </w:p>
        </w:tc>
        <w:tc>
          <w:tcPr>
            <w:tcW w:w="1380" w:type="dxa"/>
            <w:vAlign w:val="bottom"/>
          </w:tcPr>
          <w:p>
            <w:pPr>
              <w:ind w:left="1100"/>
              <w:spacing w:after="0"/>
              <w:rPr>
                <w:sz w:val="20"/>
                <w:szCs w:val="20"/>
                <w:color w:val="auto"/>
              </w:rPr>
            </w:pPr>
            <w:r>
              <w:rPr>
                <w:rFonts w:ascii="Courier New" w:cs="Courier New" w:eastAsia="Courier New" w:hAnsi="Courier New"/>
                <w:sz w:val="16"/>
                <w:szCs w:val="16"/>
                <w:color w:val="auto"/>
                <w:w w:val="90"/>
              </w:rPr>
              <w:t>By:</w:t>
            </w: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 Jerald G. Fishman</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Jerald G. Fishman</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President and</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Chief Executive Officer</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(Principal Executive Officer)</w:t>
            </w:r>
          </w:p>
        </w:tc>
      </w:tr>
      <w:tr>
        <w:trPr>
          <w:trHeight w:val="550"/>
        </w:trPr>
        <w:tc>
          <w:tcPr>
            <w:tcW w:w="62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2480" w:type="dxa"/>
            <w:vAlign w:val="bottom"/>
          </w:tcPr>
          <w:p>
            <w:pPr>
              <w:ind w:left="140"/>
              <w:spacing w:after="0"/>
              <w:rPr>
                <w:sz w:val="20"/>
                <w:szCs w:val="20"/>
                <w:color w:val="auto"/>
              </w:rPr>
            </w:pPr>
            <w:r>
              <w:rPr>
                <w:rFonts w:ascii="Courier New" w:cs="Courier New" w:eastAsia="Courier New" w:hAnsi="Courier New"/>
                <w:sz w:val="16"/>
                <w:szCs w:val="16"/>
                <w:color w:val="auto"/>
              </w:rPr>
              <w:t>June 12, 2000</w:t>
            </w:r>
          </w:p>
        </w:tc>
        <w:tc>
          <w:tcPr>
            <w:tcW w:w="1380" w:type="dxa"/>
            <w:vAlign w:val="bottom"/>
          </w:tcPr>
          <w:p>
            <w:pPr>
              <w:ind w:left="1100"/>
              <w:spacing w:after="0"/>
              <w:rPr>
                <w:sz w:val="20"/>
                <w:szCs w:val="20"/>
                <w:color w:val="auto"/>
              </w:rPr>
            </w:pPr>
            <w:r>
              <w:rPr>
                <w:rFonts w:ascii="Courier New" w:cs="Courier New" w:eastAsia="Courier New" w:hAnsi="Courier New"/>
                <w:sz w:val="16"/>
                <w:szCs w:val="16"/>
                <w:color w:val="auto"/>
                <w:w w:val="90"/>
              </w:rPr>
              <w:t>By:</w:t>
            </w: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 Joseph E. McDonough</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Joseph E. McDonough</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Vice President-Finance</w:t>
            </w:r>
          </w:p>
        </w:tc>
      </w:tr>
      <w:tr>
        <w:trPr>
          <w:trHeight w:val="183"/>
        </w:trPr>
        <w:tc>
          <w:tcPr>
            <w:tcW w:w="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and Chief Financial Officer</w:t>
            </w:r>
          </w:p>
        </w:tc>
      </w:tr>
    </w:tbl>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(Principal Financial and</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8"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EXHIBIT INDEX</w:t>
      </w:r>
    </w:p>
    <w:p>
      <w:pPr>
        <w:spacing w:after="0" w:line="2" w:lineRule="exact"/>
        <w:rPr>
          <w:sz w:val="20"/>
          <w:szCs w:val="20"/>
          <w:color w:val="auto"/>
        </w:rPr>
      </w:pPr>
    </w:p>
    <w:p>
      <w:pPr>
        <w:jc w:val="right"/>
        <w:ind w:right="5459"/>
        <w:spacing w:after="0"/>
        <w:rPr>
          <w:sz w:val="20"/>
          <w:szCs w:val="20"/>
          <w:color w:val="auto"/>
        </w:rPr>
      </w:pPr>
      <w:r>
        <w:rPr>
          <w:rFonts w:ascii="Courier New" w:cs="Courier New" w:eastAsia="Courier New" w:hAnsi="Courier New"/>
          <w:sz w:val="16"/>
          <w:szCs w:val="16"/>
          <w:color w:val="auto"/>
        </w:rPr>
        <w:t>ANALOG DEVICES, INC.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8" w:right="1440" w:bottom="144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U.S. DOLLARS</w:t>
      </w:r>
    </w:p>
    <w:p>
      <w:pPr>
        <w:spacing w:after="0" w:line="36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6-MOS</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OCT-28-2000</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OCT-31-2000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APR-29-2000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514,894</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416,559</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351,538</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280,398</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1,672,625</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1,525,352</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860,591</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2,669,022</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553,882</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59,183</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1,807,956</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2,669,022</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1,071,272</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1,071,272</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482,271</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482,271</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309,311</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1,221</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301,425</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86,366</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215,059</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215,059</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.61</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represents net amount</w:t>
      </w:r>
    </w:p>
    <w:p>
      <w:pPr>
        <w:spacing w:after="0" w:line="5" w:lineRule="exact"/>
        <w:rPr>
          <w:sz w:val="20"/>
          <w:szCs w:val="20"/>
          <w:color w:val="auto"/>
        </w:rPr>
      </w:pPr>
    </w:p>
    <w:p>
      <w:pPr>
        <w:ind w:right="3059"/>
        <w:spacing w:after="0" w:line="265" w:lineRule="auto"/>
        <w:rPr>
          <w:sz w:val="20"/>
          <w:szCs w:val="20"/>
          <w:color w:val="auto"/>
        </w:rPr>
      </w:pPr>
      <w:r>
        <w:rPr>
          <w:rFonts w:ascii="Courier New" w:cs="Courier New" w:eastAsia="Courier New" w:hAnsi="Courier New"/>
          <w:sz w:val="15"/>
          <w:szCs w:val="15"/>
          <w:color w:val="auto"/>
        </w:rPr>
        <w:t>On March 15, 2000, the company effected a two-for-one stock split in the form of a stock dividend. In accordance with regulation S-K Item 602 prior period financial data schedules have not been restated for the stock split.</w:t>
      </w:r>
    </w:p>
    <w:sectPr>
      <w:pgSz w:w="11900" w:h="16838" w:orient="portrait"/>
      <w:cols w:equalWidth="0" w:num="1">
        <w:col w:w="10219"/>
      </w:cols>
      <w:pgMar w:left="24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2019-12-20T05:21:21Z</dcterms:created>
  <dcterms:modified xsi:type="dcterms:W3CDTF">2019-12-20T05:21:21Z</dcterms:modified>
</cp:coreProperties>
</file>