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7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Act of 1934</w:t>
      </w:r>
    </w:p>
    <w:p>
      <w:pPr>
        <w:spacing w:after="0" w:line="132"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280" w:firstLine="8"/>
        <w:spacing w:after="0" w:line="216" w:lineRule="exact"/>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393" w:lineRule="exact"/>
        <w:rPr>
          <w:sz w:val="24"/>
          <w:szCs w:val="24"/>
          <w:color w:val="auto"/>
        </w:rPr>
      </w:pPr>
    </w:p>
    <w:p>
      <w:pPr>
        <w:ind w:left="372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9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-3289935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-2938145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-2458085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-2106295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-1755140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-906145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-554355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139700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2080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94335"/>
                    </a:xfrm>
                    <a:prstGeom prst="rect">
                      <a:avLst/>
                    </a:prstGeom>
                    <a:noFill/>
                  </pic:spPr>
                </pic:pic>
              </a:graphicData>
            </a:graphic>
          </wp:anchor>
        </w:drawing>
        <w:t>January 25,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are cordially invited to attend the Annual Meeting of Shareholders to be held at 9:00 a.m. local time on Wednesday, March 8, 2017, at our headquarters located at One Technology Way, Norwood, Massachusetts 02062.</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the Annual Meeting you are being asked to elect nine members of our Board of Directors, each to serve for a term expiring at the next annual meeting of shareholders; to vote on a non-binding advisory proposal on the compensation of our named executive officers; to vote on a non-binding advisory proposal on the frequency of future advisory votes on the compensation of our named executive officers; and to ratify the selection of Ernst &amp; Young LLP as our independent registered public accounting firm for the 2017 fiscal year.</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Your Board of Directors recommends that you vote FOR the election of each of the directors named in the proxy statement, FOR the approval, on an advisory basis, of the compensation of our named executive officers, FOR an advisory vote EVERY YEAR on the compensation of our named executive officers, and FOR the ratification of the selection of Ernst &amp; Young LLP as our independent registered public accounting firm for the 2017 fiscal year.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55194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7200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139700</wp:posOffset>
            </wp:positionV>
            <wp:extent cx="188658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50609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Vincent Roche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340" w:space="720"/>
            <w:col w:w="5360"/>
          </w:cols>
          <w:pgMar w:left="240" w:top="901"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 TECHNOLOGY WAY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NORWOOD, MASSACHUSETTS 02062-9106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2017 ANNUAL MEETING OF SHAREHOLDERS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To Be Held On March 8, 2017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2017 Annual Meeting of Shareholders of Analog Devices, Inc. will be held at our headquarters at One Technology Way, Norwood, Massachusetts 02062, on Wednesday, March 8, 2017 at 9:00 a.m. local time. At the meeting, shareholders will consider and vote on the following matters:</w:t>
      </w:r>
    </w:p>
    <w:p>
      <w:pPr>
        <w:spacing w:after="0" w:line="4" w:lineRule="exact"/>
        <w:rPr>
          <w:sz w:val="20"/>
          <w:szCs w:val="20"/>
          <w:color w:val="auto"/>
        </w:rPr>
      </w:pPr>
    </w:p>
    <w:p>
      <w:pPr>
        <w:ind w:left="900" w:right="4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to our Board of Directors, each to serve for a term expiring at the next annual meeting of shareholders;</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by non-binding “say on pay” vote, the compensation of our named executive officers, as described in the Compensation Discussion and Analysis, executive compensation tables and accompanying narrative disclosures in this proxy statement;</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 non-binding “say on frequency” vote regarding the frequency of future advisory votes on the compensation of our named executive officers (every year, every two years, or every three years);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October 28, 2017.</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7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Instead of mailing a paper copy of our proxy materials to all of our shareholders, this year we are providing access to our proxy materials over the Internet under the U.S. Securities and Exchange Commission’s “notice and access” rules. As a result, we are mailing to our shareholders a Notice of Internet Availability of Proxy Materials (the “Notice”) instead of a paper copy of this proxy statement and our Annual Report for the fiscal year ended October 29, 2016 (the “2016 Annual Report”). We are mailing the Notice on or about January 25, 2017, and it contains instructions on how to access those documents over the Internet. The Notice also contains instructions on how each of our shareholders can receive a paper copy of our proxy materials, including this proxy statement, our 2016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 We have chosen to employ this distribution process to conserve natural resources and reduce the costs of printing and distributing our proxy materials.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Shareholders of record at the close of business on January 9, 2017 are entitled to vote at the meeting. Your vote is important no matter how many shares you own. Whether you expect to attend the meeting or not, please vote your shares by using the Internet as described in the instructions included on your Notice, by calling the toll-free telephone number, or, if you received a paper copy of the proxy materials, by completing, signing, dating and returning your proxy card or voting instruction form.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MARGARET K. SEIF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25, 2017</w:t>
      </w:r>
    </w:p>
    <w:p>
      <w:pPr>
        <w:sectPr>
          <w:pgSz w:w="11900" w:h="16838" w:orient="portrait"/>
          <w:cols w:equalWidth="0" w:num="1">
            <w:col w:w="11420"/>
          </w:cols>
          <w:pgMar w:left="240" w:top="26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60" w:type="dxa"/>
            <w:vAlign w:val="bottom"/>
            <w:gridSpan w:val="14"/>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80"/>
        </w:trPr>
        <w:tc>
          <w:tcPr>
            <w:tcW w:w="10960" w:type="dxa"/>
            <w:vAlign w:val="bottom"/>
            <w:gridSpan w:val="4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STATEMENT HIGHLIGHTS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35"/>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INFORMATION ABOUT THE ANNUAL MEETING AND VOTING</w:t>
              </w:r>
            </w:hyperlink>
          </w:p>
        </w:tc>
        <w:tc>
          <w:tcPr>
            <w:tcW w:w="594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What is the purpose of the annual meeting?</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Who can vote?</w:t>
              </w:r>
            </w:hyperlink>
          </w:p>
        </w:tc>
        <w:tc>
          <w:tcPr>
            <w:tcW w:w="1980" w:type="dxa"/>
            <w:vAlign w:val="bottom"/>
            <w:tcBorders>
              <w:top w:val="single" w:sz="8" w:color="0000EE"/>
            </w:tcBorders>
            <w:gridSpan w:val="16"/>
          </w:tcPr>
          <w:p>
            <w:pPr>
              <w:spacing w:after="0"/>
              <w:rPr>
                <w:sz w:val="17"/>
                <w:szCs w:val="17"/>
                <w:color w:val="auto"/>
              </w:rPr>
            </w:pPr>
          </w:p>
        </w:tc>
        <w:tc>
          <w:tcPr>
            <w:tcW w:w="7480" w:type="dxa"/>
            <w:vAlign w:val="bottom"/>
            <w:gridSpan w:val="2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How many votes do I have?</w:t>
              </w:r>
            </w:hyperlink>
          </w:p>
        </w:tc>
        <w:tc>
          <w:tcPr>
            <w:tcW w:w="8540" w:type="dxa"/>
            <w:vAlign w:val="bottom"/>
            <w:gridSpan w:val="3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Is my vote important?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How do I vote?</w:t>
              </w:r>
            </w:hyperlink>
          </w:p>
        </w:tc>
        <w:tc>
          <w:tcPr>
            <w:tcW w:w="8980" w:type="dxa"/>
            <w:vAlign w:val="bottom"/>
            <w:gridSpan w:val="3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Can I vote if my shares are held in “street name”?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Can I change my vote after I have mailed my proxy card or after I have voted my shares over the Internet or by telephone?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39"/>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How do I vote my shares held in trust in the Analog Ireland Success Sharing Share Plan?</w:t>
              </w:r>
            </w:hyperlink>
          </w:p>
        </w:tc>
        <w:tc>
          <w:tcPr>
            <w:tcW w:w="2340" w:type="dxa"/>
            <w:vAlign w:val="bottom"/>
            <w:tcBorders>
              <w:top w:val="single" w:sz="8" w:color="0000EE"/>
            </w:tcBorders>
            <w:gridSpan w:val="3"/>
          </w:tcPr>
          <w:p>
            <w:pPr>
              <w:spacing w:after="0"/>
              <w:rPr>
                <w:sz w:val="17"/>
                <w:szCs w:val="17"/>
                <w:color w:val="auto"/>
              </w:rPr>
            </w:pPr>
          </w:p>
        </w:tc>
        <w:tc>
          <w:tcPr>
            <w:tcW w:w="19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What constitutes a quorum?</w:t>
              </w:r>
            </w:hyperlink>
          </w:p>
        </w:tc>
        <w:tc>
          <w:tcPr>
            <w:tcW w:w="8540" w:type="dxa"/>
            <w:vAlign w:val="bottom"/>
            <w:gridSpan w:val="3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What vote is required for each proposal?</w:t>
              </w:r>
            </w:hyperlink>
          </w:p>
        </w:tc>
        <w:tc>
          <w:tcPr>
            <w:tcW w:w="7660" w:type="dxa"/>
            <w:vAlign w:val="bottom"/>
            <w:gridSpan w:val="2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How will votes be counted?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196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Who will count the votes?</w:t>
              </w:r>
            </w:hyperlink>
          </w:p>
        </w:tc>
        <w:tc>
          <w:tcPr>
            <w:tcW w:w="8560" w:type="dxa"/>
            <w:vAlign w:val="bottom"/>
            <w:gridSpan w:val="3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4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Will my vote be kept confidential?</w:t>
              </w:r>
            </w:hyperlink>
          </w:p>
        </w:tc>
        <w:tc>
          <w:tcPr>
            <w:tcW w:w="8080" w:type="dxa"/>
            <w:vAlign w:val="bottom"/>
            <w:gridSpan w:val="3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How does the Board of Directors recommend that I vote on the proposals?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522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Will any other matters be voted on at this meeting?</w:t>
              </w:r>
            </w:hyperlink>
          </w:p>
        </w:tc>
        <w:tc>
          <w:tcPr>
            <w:tcW w:w="53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Where can I find the voting results?</w:t>
              </w:r>
            </w:hyperlink>
          </w:p>
        </w:tc>
        <w:tc>
          <w:tcPr>
            <w:tcW w:w="1060" w:type="dxa"/>
            <w:vAlign w:val="bottom"/>
            <w:tcBorders>
              <w:top w:val="single" w:sz="8" w:color="0000EE"/>
            </w:tcBorders>
            <w:gridSpan w:val="12"/>
          </w:tcPr>
          <w:p>
            <w:pPr>
              <w:spacing w:after="0"/>
              <w:rPr>
                <w:sz w:val="17"/>
                <w:szCs w:val="17"/>
                <w:color w:val="auto"/>
              </w:rPr>
            </w:pPr>
          </w:p>
        </w:tc>
        <w:tc>
          <w:tcPr>
            <w:tcW w:w="694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How and when may I submit a shareholder proposal, including a shareholder nomination for director, for the 2018 annual meeting of shareholders?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10340" w:type="dxa"/>
            <w:vAlign w:val="bottom"/>
            <w:tcBorders>
              <w:top w:val="single" w:sz="8" w:color="0000EE"/>
            </w:tcBorders>
            <w:gridSpan w:val="4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What are the costs of soliciting these proxies and who will pay?</w:t>
              </w:r>
            </w:hyperlink>
          </w:p>
        </w:tc>
        <w:tc>
          <w:tcPr>
            <w:tcW w:w="1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Why did I receive a “Notice of Internet Availability of Proxy Materials” but no proxy materials?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How can I obtain an Annual Report on Form 10-K?</w:t>
              </w:r>
            </w:hyperlink>
          </w:p>
        </w:tc>
        <w:tc>
          <w:tcPr>
            <w:tcW w:w="3120" w:type="dxa"/>
            <w:vAlign w:val="bottom"/>
            <w:tcBorders>
              <w:top w:val="single" w:sz="8" w:color="0000EE"/>
            </w:tcBorders>
            <w:gridSpan w:val="12"/>
          </w:tcPr>
          <w:p>
            <w:pPr>
              <w:spacing w:after="0"/>
              <w:rPr>
                <w:sz w:val="17"/>
                <w:szCs w:val="17"/>
                <w:color w:val="auto"/>
              </w:rPr>
            </w:pPr>
          </w:p>
        </w:tc>
        <w:tc>
          <w:tcPr>
            <w:tcW w:w="376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33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Whom should I contact if I have any questions?</w:t>
              </w:r>
            </w:hyperlink>
          </w:p>
        </w:tc>
        <w:tc>
          <w:tcPr>
            <w:tcW w:w="714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320" w:type="dxa"/>
            <w:vAlign w:val="bottom"/>
            <w:tcBorders>
              <w:bottom w:val="single" w:sz="8" w:color="0000EE"/>
            </w:tcBorders>
            <w:gridSpan w:val="31"/>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HOUSEHOLDING OF ANNUAL MEETING MATERIALS</w:t>
              </w:r>
            </w:hyperlink>
          </w:p>
        </w:tc>
        <w:tc>
          <w:tcPr>
            <w:tcW w:w="664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6580" w:type="dxa"/>
            <w:vAlign w:val="bottom"/>
            <w:tcBorders>
              <w:bottom w:val="single" w:sz="8" w:color="0000EE"/>
            </w:tcBorders>
            <w:gridSpan w:val="39"/>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SECURITY OWNERSHIP OF CERTAIN BENEFICIAL OWNERS AND MANAGEMENT</w:t>
              </w:r>
            </w:hyperlink>
          </w:p>
        </w:tc>
        <w:tc>
          <w:tcPr>
            <w:tcW w:w="438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560" w:type="dxa"/>
            <w:vAlign w:val="bottom"/>
            <w:tcBorders>
              <w:bottom w:val="single" w:sz="8" w:color="0000EE"/>
            </w:tcBorders>
            <w:gridSpan w:val="37"/>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SECTION 16(A) BENEFICIAL OWNERSHIP REPORTING COMPLIANCE</w:t>
              </w:r>
            </w:hyperlink>
          </w:p>
        </w:tc>
        <w:tc>
          <w:tcPr>
            <w:tcW w:w="540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0960" w:type="dxa"/>
            <w:vAlign w:val="bottom"/>
            <w:gridSpan w:val="4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PROPOSAL 1 — ELECTION OF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w:t>
              </w:r>
            </w:hyperlink>
          </w:p>
        </w:tc>
        <w:tc>
          <w:tcPr>
            <w:tcW w:w="752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General</w:t>
              </w:r>
            </w:hyperlink>
          </w:p>
        </w:tc>
        <w:tc>
          <w:tcPr>
            <w:tcW w:w="1280" w:type="dxa"/>
            <w:vAlign w:val="bottom"/>
            <w:tcBorders>
              <w:top w:val="single" w:sz="8" w:color="0000EE"/>
            </w:tcBorders>
            <w:gridSpan w:val="6"/>
          </w:tcPr>
          <w:p>
            <w:pPr>
              <w:spacing w:after="0"/>
              <w:rPr>
                <w:sz w:val="17"/>
                <w:szCs w:val="17"/>
                <w:color w:val="auto"/>
              </w:rPr>
            </w:pPr>
          </w:p>
        </w:tc>
        <w:tc>
          <w:tcPr>
            <w:tcW w:w="8680" w:type="dxa"/>
            <w:vAlign w:val="bottom"/>
            <w:gridSpan w:val="3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Determination of Independence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2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Director Candidates</w:t>
              </w:r>
            </w:hyperlink>
          </w:p>
        </w:tc>
        <w:tc>
          <w:tcPr>
            <w:tcW w:w="8300" w:type="dxa"/>
            <w:vAlign w:val="bottom"/>
            <w:gridSpan w:val="3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Communications from Shareholders and Other Interested Parties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40" w:type="dxa"/>
            <w:vAlign w:val="bottom"/>
          </w:tcPr>
          <w:p>
            <w:pPr>
              <w:spacing w:after="0"/>
              <w:rPr>
                <w:sz w:val="17"/>
                <w:szCs w:val="17"/>
                <w:color w:val="auto"/>
              </w:rPr>
            </w:pPr>
          </w:p>
        </w:tc>
        <w:tc>
          <w:tcPr>
            <w:tcW w:w="45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Board of Directors Leadership Structure</w:t>
              </w:r>
            </w:hyperlink>
          </w:p>
        </w:tc>
        <w:tc>
          <w:tcPr>
            <w:tcW w:w="598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Board of Directors Meetings and Committees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The Board of Directors’ Role in Risk Oversight</w:t>
              </w:r>
            </w:hyperlink>
          </w:p>
        </w:tc>
        <w:tc>
          <w:tcPr>
            <w:tcW w:w="716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Report of the Audit Committee</w:t>
              </w:r>
            </w:hyperlink>
          </w:p>
        </w:tc>
        <w:tc>
          <w:tcPr>
            <w:tcW w:w="8320" w:type="dxa"/>
            <w:vAlign w:val="bottom"/>
            <w:gridSpan w:val="3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510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Independent Registered Public Accounting Firm Fees and Other Matters</w:t>
              </w:r>
            </w:hyperlink>
          </w:p>
        </w:tc>
        <w:tc>
          <w:tcPr>
            <w:tcW w:w="542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Director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Certain Relationships and Related Transactions</w:t>
              </w:r>
            </w:hyperlink>
          </w:p>
        </w:tc>
        <w:tc>
          <w:tcPr>
            <w:tcW w:w="718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960" w:type="dxa"/>
            <w:vAlign w:val="bottom"/>
            <w:gridSpan w:val="4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PROPOSAL 2 — ADVISORY VOTE ON THE COMPENSATION OF OUR NAMED EXECUTIVE OFFICERS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40" w:type="dxa"/>
            <w:vAlign w:val="bottom"/>
            <w:gridSpan w:val="15"/>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540" w:type="dxa"/>
            <w:vAlign w:val="bottom"/>
            <w:gridSpan w:val="10"/>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46"/>
          </w:tcPr>
          <w:p>
            <w:pPr>
              <w:spacing w:after="0" w:line="196"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PROPOSAL 3 — FREQUENCY OF FUTURE ADVISORY VOTES ON THE COMPENSATION OF OUR NAMED EXECUTIVE OFFICERS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30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INFORMATION ABOUT EXECUTIVE COMPENSATION</w:t>
              </w:r>
            </w:hyperlink>
          </w:p>
        </w:tc>
        <w:tc>
          <w:tcPr>
            <w:tcW w:w="5980" w:type="dxa"/>
            <w:vAlign w:val="bottom"/>
            <w:tcBorders>
              <w:top w:val="single" w:sz="8" w:color="0000EE"/>
            </w:tcBorders>
            <w:gridSpan w:val="14"/>
          </w:tcPr>
          <w:p>
            <w:pPr>
              <w:spacing w:after="0"/>
              <w:rPr>
                <w:sz w:val="17"/>
                <w:szCs w:val="17"/>
                <w:color w:val="auto"/>
              </w:rPr>
            </w:pPr>
          </w:p>
        </w:tc>
        <w:tc>
          <w:tcPr>
            <w:tcW w:w="6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440" w:type="dxa"/>
            <w:vAlign w:val="bottom"/>
          </w:tcPr>
          <w:p>
            <w:pPr>
              <w:spacing w:after="0"/>
              <w:rPr>
                <w:sz w:val="17"/>
                <w:szCs w:val="17"/>
                <w:color w:val="auto"/>
              </w:rPr>
            </w:pPr>
          </w:p>
        </w:tc>
        <w:tc>
          <w:tcPr>
            <w:tcW w:w="10520" w:type="dxa"/>
            <w:vAlign w:val="bottom"/>
            <w:gridSpan w:val="4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Discussion and Analysis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40" w:type="dxa"/>
            <w:vAlign w:val="bottom"/>
            <w:gridSpan w:val="15"/>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646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80" w:type="dxa"/>
            <w:vAlign w:val="bottom"/>
            <w:gridSpan w:val="4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Processes and Philosophy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tcBorders>
              <w:right w:val="single" w:sz="8" w:color="0000EE"/>
            </w:tcBorders>
            <w:gridSpan w:val="1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646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Components of Executive Compensation</w:t>
              </w:r>
            </w:hyperlink>
          </w:p>
        </w:tc>
        <w:tc>
          <w:tcPr>
            <w:tcW w:w="720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Chief Executive Officer Compensation</w:t>
              </w:r>
            </w:hyperlink>
          </w:p>
        </w:tc>
        <w:tc>
          <w:tcPr>
            <w:tcW w:w="732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Compensation for Other Named Executive Officers</w:t>
              </w:r>
            </w:hyperlink>
          </w:p>
        </w:tc>
        <w:tc>
          <w:tcPr>
            <w:tcW w:w="646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37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Severance, Retention and Change in Control Benefits</w:t>
              </w:r>
            </w:hyperlink>
          </w:p>
        </w:tc>
        <w:tc>
          <w:tcPr>
            <w:tcW w:w="4600" w:type="dxa"/>
            <w:vAlign w:val="bottom"/>
            <w:gridSpan w:val="5"/>
          </w:tcPr>
          <w:p>
            <w:pPr>
              <w:spacing w:after="0"/>
              <w:rPr>
                <w:sz w:val="17"/>
                <w:szCs w:val="17"/>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836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Equity Award Grant Date Policy</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5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Tax and Accounting Considerations</w:t>
              </w:r>
            </w:hyperlink>
          </w:p>
        </w:tc>
        <w:tc>
          <w:tcPr>
            <w:tcW w:w="5840" w:type="dxa"/>
            <w:vAlign w:val="bottom"/>
            <w:gridSpan w:val="1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836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Risk Considerations in Our Compensation Program</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3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Summary Compensation</w:t>
              </w:r>
            </w:hyperlink>
          </w:p>
        </w:tc>
        <w:tc>
          <w:tcPr>
            <w:tcW w:w="4740" w:type="dxa"/>
            <w:vAlign w:val="bottom"/>
            <w:gridSpan w:val="7"/>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Grants of Plan-Based Awards in Fiscal 2016</w:t>
              </w:r>
            </w:hyperlink>
          </w:p>
        </w:tc>
        <w:tc>
          <w:tcPr>
            <w:tcW w:w="5240" w:type="dxa"/>
            <w:vAlign w:val="bottom"/>
            <w:gridSpan w:val="8"/>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Outstanding Equity Awards at Fiscal Year-End 2016</w:t>
              </w:r>
            </w:hyperlink>
          </w:p>
        </w:tc>
        <w:tc>
          <w:tcPr>
            <w:tcW w:w="4680" w:type="dxa"/>
            <w:vAlign w:val="bottom"/>
            <w:gridSpan w:val="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38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Option Exercises and Stock Vested During Fiscal 2016</w:t>
              </w:r>
            </w:hyperlink>
          </w:p>
        </w:tc>
        <w:tc>
          <w:tcPr>
            <w:tcW w:w="4500" w:type="dxa"/>
            <w:vAlign w:val="bottom"/>
            <w:gridSpan w:val="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836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Non-Qualified Deferred Compensation Plan</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31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Change in Control Benefits</w:t>
              </w:r>
            </w:hyperlink>
          </w:p>
        </w:tc>
        <w:tc>
          <w:tcPr>
            <w:tcW w:w="5260" w:type="dxa"/>
            <w:vAlign w:val="bottom"/>
            <w:gridSpan w:val="9"/>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4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Severance Benefits</w:t>
              </w:r>
            </w:hyperlink>
          </w:p>
        </w:tc>
        <w:tc>
          <w:tcPr>
            <w:tcW w:w="560" w:type="dxa"/>
            <w:vAlign w:val="bottom"/>
            <w:tcBorders>
              <w:top w:val="single" w:sz="8" w:color="0000EE"/>
            </w:tcBorders>
            <w:gridSpan w:val="3"/>
          </w:tcPr>
          <w:p>
            <w:pPr>
              <w:spacing w:after="0"/>
              <w:rPr>
                <w:sz w:val="17"/>
                <w:szCs w:val="17"/>
                <w:color w:val="auto"/>
              </w:rPr>
            </w:pPr>
          </w:p>
        </w:tc>
        <w:tc>
          <w:tcPr>
            <w:tcW w:w="6440" w:type="dxa"/>
            <w:vAlign w:val="bottom"/>
            <w:gridSpan w:val="1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440" w:type="dxa"/>
            <w:vAlign w:val="bottom"/>
          </w:tcPr>
          <w:p>
            <w:pPr>
              <w:spacing w:after="0"/>
              <w:rPr>
                <w:sz w:val="17"/>
                <w:szCs w:val="17"/>
                <w:color w:val="auto"/>
              </w:rPr>
            </w:pPr>
          </w:p>
        </w:tc>
        <w:tc>
          <w:tcPr>
            <w:tcW w:w="42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Potential Payments Upon Termination or Change in Control</w:t>
              </w:r>
            </w:hyperlink>
          </w:p>
        </w:tc>
        <w:tc>
          <w:tcPr>
            <w:tcW w:w="4140" w:type="dxa"/>
            <w:vAlign w:val="bottom"/>
            <w:gridSpan w:val="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440" w:type="dxa"/>
            <w:vAlign w:val="bottom"/>
          </w:tcPr>
          <w:p>
            <w:pPr>
              <w:spacing w:after="0"/>
              <w:rPr>
                <w:sz w:val="17"/>
                <w:szCs w:val="17"/>
                <w:color w:val="auto"/>
              </w:rPr>
            </w:pPr>
          </w:p>
        </w:tc>
        <w:tc>
          <w:tcPr>
            <w:tcW w:w="8360" w:type="dxa"/>
            <w:vAlign w:val="bottom"/>
            <w:gridSpan w:val="2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Equity Award Program Description</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36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Securities Authorized for Issuance Under Equity Compensation Plans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44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Compensation Committee Interlocks and Insider Participation</w:t>
              </w:r>
            </w:hyperlink>
          </w:p>
        </w:tc>
        <w:tc>
          <w:tcPr>
            <w:tcW w:w="540" w:type="dxa"/>
            <w:vAlign w:val="bottom"/>
            <w:tcBorders>
              <w:top w:val="single" w:sz="8" w:color="0000EE"/>
            </w:tcBorders>
          </w:tcPr>
          <w:p>
            <w:pPr>
              <w:spacing w:after="0"/>
              <w:rPr>
                <w:sz w:val="17"/>
                <w:szCs w:val="17"/>
                <w:color w:val="auto"/>
              </w:rPr>
            </w:pPr>
          </w:p>
        </w:tc>
        <w:tc>
          <w:tcPr>
            <w:tcW w:w="346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40" w:type="dxa"/>
            <w:vAlign w:val="bottom"/>
          </w:tcPr>
          <w:p>
            <w:pPr>
              <w:spacing w:after="0"/>
              <w:rPr>
                <w:sz w:val="17"/>
                <w:szCs w:val="17"/>
                <w:color w:val="auto"/>
              </w:rPr>
            </w:pPr>
          </w:p>
        </w:tc>
        <w:tc>
          <w:tcPr>
            <w:tcW w:w="8360" w:type="dxa"/>
            <w:vAlign w:val="bottom"/>
            <w:gridSpan w:val="2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Compensation Committee Report</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000" w:type="dxa"/>
            <w:vAlign w:val="bottom"/>
            <w:gridSpan w:val="1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8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PROPOSAL 4 — RATIFICATION OF SELECTION OF INDEPENDENT REGISTERED PUBLIC ACCOUNTING FIRM</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OTHER MATTERS</w:t>
              </w:r>
            </w:hyperlink>
          </w:p>
        </w:tc>
        <w:tc>
          <w:tcPr>
            <w:tcW w:w="7360" w:type="dxa"/>
            <w:vAlign w:val="bottom"/>
            <w:gridSpan w:val="18"/>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ELECTRONIC VOTING</w:t>
              </w:r>
            </w:hyperlink>
          </w:p>
        </w:tc>
        <w:tc>
          <w:tcPr>
            <w:tcW w:w="6980" w:type="dxa"/>
            <w:vAlign w:val="bottom"/>
            <w:gridSpan w:val="1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880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APPENDIX A</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firstLine="456"/>
        <w:spacing w:after="0" w:line="286" w:lineRule="auto"/>
        <w:rPr>
          <w:sz w:val="20"/>
          <w:szCs w:val="20"/>
          <w:color w:val="auto"/>
        </w:rPr>
      </w:pPr>
      <w:r>
        <w:rPr>
          <w:rFonts w:ascii="Arial" w:cs="Arial" w:eastAsia="Arial" w:hAnsi="Arial"/>
          <w:sz w:val="16"/>
          <w:szCs w:val="16"/>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the proposed acquisition of Linear Technology Corporation; our future market position and expected competitive changes in the marketplace for our products;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57"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TECHNOLOGY WAY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NORWOOD, MASSACHUSETTS 02062-9106</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FOR ANNUAL MEETING OF SHAREHOLDERS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March 8, 2017</w:t>
      </w:r>
    </w:p>
    <w:p>
      <w:pPr>
        <w:spacing w:after="0" w:line="16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proxy statement contains information about the 2017 Annual Meeting of Shareholders, or Annual Meeting, of Analog Devices, Inc. The Annual Meeting will be held on Wednesday, March 8, 2017, at 9:00 a.m. local time, at our headquarters at One Technology Way, Norwood, Massachusetts 02062. You may obtain directions to the location of the Annual Meeting by visiting our website at www.analog.com or by contacting our Director of Investor Relations at Analog Devices, Inc., One Technology Way, Norwood, Massachusetts 02062; telephone: 781-461-3282.</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furnishing this proxy statement to you in connection with the solicitation of proxies by the Board of Directors of Analog Devices, Inc. (which we also refer to as Analog Devices, ADI, or the Company) for use at the Annual Meeting and at any adjournment, postponement, continuation or rescheduling of the meeting. All proxies will be voted in accordance with the instructions they contain. If you do not specify your voting instructions on the proxy that you submit for the Annual Meeting, it will be voted in accordance with the recommendation of the Board of Directors. You may revoke your proxy at any time before it is exercised at the Annual Meeting by giving our Secretary written notice to that effect.</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Instead of mailing a paper copy of our proxy materials to all of our shareholders, this year we are providing access to our proxy materials over the Internet under the U.S. Securities and Exchange Commission’s “notice and access” rules. As a result, we are mailing to our shareholders a Notice of Internet Availability of Proxy Materials, or Notice, instead of a paper copy of this proxy statement and our Annual Report for the fiscal year ended October 29, 2016, or 2016 Annual Report. We are mailing the Notice on or about January 25, 2017, and it contains instructions on how to access those documents over the Internet. The Notice also contains instructions on how each of our shareholders can receive a paper copy of our proxy materials, including this proxy statement, our 2016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Meeting of Shareholders to be Held on March 8, 2017:</w:t>
      </w:r>
    </w:p>
    <w:p>
      <w:pPr>
        <w:spacing w:after="0" w:line="159" w:lineRule="exact"/>
        <w:rPr>
          <w:sz w:val="20"/>
          <w:szCs w:val="20"/>
          <w:color w:val="auto"/>
        </w:rPr>
      </w:pPr>
    </w:p>
    <w:p>
      <w:pPr>
        <w:ind w:right="1840" w:firstLine="456"/>
        <w:spacing w:after="0" w:line="275" w:lineRule="auto"/>
        <w:rPr>
          <w:sz w:val="20"/>
          <w:szCs w:val="20"/>
          <w:color w:val="auto"/>
        </w:rPr>
      </w:pPr>
      <w:r>
        <w:rPr>
          <w:rFonts w:ascii="Arial" w:cs="Arial" w:eastAsia="Arial" w:hAnsi="Arial"/>
          <w:sz w:val="18"/>
          <w:szCs w:val="18"/>
          <w:b w:val="1"/>
          <w:bCs w:val="1"/>
          <w:color w:val="auto"/>
        </w:rPr>
        <w:t>This proxy statement and the 2016 Annual Report to Shareholders are available for viewing, printing and downloading at www.analog.com/AnnualMeeting.</w:t>
      </w:r>
    </w:p>
    <w:p>
      <w:pPr>
        <w:sectPr>
          <w:pgSz w:w="11900" w:h="16838" w:orient="portrait"/>
          <w:cols w:equalWidth="0" w:num="1">
            <w:col w:w="11400"/>
          </w:cols>
          <w:pgMar w:left="240" w:top="26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 HIGHLIGHTS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the information that you should consider and you should read the entire proxy statement before voting. For more information on the 2016 financial and operating performance of the Company, please review the Company’s Annual Report on Form 10-K for the year ended October 29, 2016 that was filed with the U.S. Securities and Exchange Commission on November 22, 2016.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Annual Meeting of Shareholders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9:00 a.m. local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Headquarters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Norwood, Massachusetts 02062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January 9, 2017</w:t>
      </w:r>
    </w:p>
    <w:p>
      <w:pPr>
        <w:spacing w:after="0" w:line="138" w:lineRule="exact"/>
        <w:rPr>
          <w:sz w:val="20"/>
          <w:szCs w:val="20"/>
          <w:color w:val="auto"/>
        </w:rPr>
      </w:pPr>
    </w:p>
    <w:p>
      <w:pPr>
        <w:sectPr>
          <w:pgSz w:w="11900" w:h="16838" w:orient="portrait"/>
          <w:cols w:equalWidth="0" w:num="2">
            <w:col w:w="1000" w:space="720"/>
            <w:col w:w="970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Agenda Item</w:t>
            </w:r>
          </w:p>
        </w:tc>
        <w:tc>
          <w:tcPr>
            <w:tcW w:w="24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40" w:type="dxa"/>
            <w:vAlign w:val="bottom"/>
          </w:tcPr>
          <w:p>
            <w:pPr>
              <w:jc w:val="center"/>
              <w:ind w:left="598"/>
              <w:spacing w:after="0"/>
              <w:rPr>
                <w:sz w:val="20"/>
                <w:szCs w:val="20"/>
                <w:color w:val="auto"/>
              </w:rPr>
            </w:pPr>
            <w:r>
              <w:rPr>
                <w:rFonts w:ascii="Arial" w:cs="Arial" w:eastAsia="Arial" w:hAnsi="Arial"/>
                <w:sz w:val="14"/>
                <w:szCs w:val="14"/>
                <w:b w:val="1"/>
                <w:bCs w:val="1"/>
                <w:color w:val="auto"/>
                <w:w w:val="88"/>
              </w:rPr>
              <w:t>Board Vote</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Page Reference For</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gridSpan w:val="2"/>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00" w:type="dxa"/>
            <w:vAlign w:val="bottom"/>
            <w:gridSpan w:val="5"/>
          </w:tcPr>
          <w:p>
            <w:pPr>
              <w:jc w:val="center"/>
              <w:ind w:right="680"/>
              <w:spacing w:after="0" w:line="148" w:lineRule="exact"/>
              <w:rPr>
                <w:sz w:val="20"/>
                <w:szCs w:val="20"/>
                <w:color w:val="auto"/>
              </w:rPr>
            </w:pPr>
            <w:r>
              <w:rPr>
                <w:rFonts w:ascii="Arial" w:cs="Arial" w:eastAsia="Arial" w:hAnsi="Arial"/>
                <w:sz w:val="14"/>
                <w:szCs w:val="14"/>
                <w:b w:val="1"/>
                <w:bCs w:val="1"/>
                <w:color w:val="auto"/>
                <w:w w:val="86"/>
              </w:rPr>
              <w:t>Recommendation</w:t>
            </w:r>
          </w:p>
        </w:tc>
        <w:tc>
          <w:tcPr>
            <w:tcW w:w="280" w:type="dxa"/>
            <w:vAlign w:val="bottom"/>
          </w:tcPr>
          <w:p>
            <w:pPr>
              <w:spacing w:after="0"/>
              <w:rPr>
                <w:sz w:val="14"/>
                <w:szCs w:val="14"/>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More Information</w:t>
            </w:r>
          </w:p>
        </w:tc>
        <w:tc>
          <w:tcPr>
            <w:tcW w:w="0" w:type="dxa"/>
            <w:vAlign w:val="bottom"/>
          </w:tcPr>
          <w:p>
            <w:pPr>
              <w:spacing w:after="0"/>
              <w:rPr>
                <w:sz w:val="1"/>
                <w:szCs w:val="1"/>
                <w:color w:val="auto"/>
              </w:rPr>
            </w:pPr>
          </w:p>
        </w:tc>
      </w:tr>
      <w:tr>
        <w:trPr>
          <w:trHeight w:val="189"/>
        </w:trPr>
        <w:tc>
          <w:tcPr>
            <w:tcW w:w="374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w w:val="92"/>
              </w:rPr>
              <w:t>Proposal 1: Election of Nine Director Nominees</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20" w:type="dxa"/>
            <w:vAlign w:val="bottom"/>
            <w:tcBorders>
              <w:top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88"/>
              </w:rPr>
              <w:t>FOR each director nominee</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7300" w:type="dxa"/>
            <w:vAlign w:val="bottom"/>
            <w:gridSpan w:val="8"/>
          </w:tcPr>
          <w:p>
            <w:pPr>
              <w:spacing w:after="0"/>
              <w:rPr>
                <w:sz w:val="20"/>
                <w:szCs w:val="20"/>
                <w:color w:val="auto"/>
              </w:rPr>
            </w:pPr>
            <w:r>
              <w:rPr>
                <w:rFonts w:ascii="Arial" w:cs="Arial" w:eastAsia="Arial" w:hAnsi="Arial"/>
                <w:sz w:val="18"/>
                <w:szCs w:val="18"/>
                <w:b w:val="1"/>
                <w:bCs w:val="1"/>
                <w:color w:val="auto"/>
              </w:rPr>
              <w:t>Proposal 2: Advisory Approval of the Compensation of the Company’s Named</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20"/>
              <w:spacing w:after="0"/>
              <w:rPr>
                <w:sz w:val="20"/>
                <w:szCs w:val="20"/>
                <w:color w:val="auto"/>
              </w:rPr>
            </w:pPr>
            <w:r>
              <w:rPr>
                <w:rFonts w:ascii="Arial" w:cs="Arial" w:eastAsia="Arial" w:hAnsi="Arial"/>
                <w:sz w:val="18"/>
                <w:szCs w:val="18"/>
                <w:b w:val="1"/>
                <w:bCs w:val="1"/>
                <w:color w:val="auto"/>
              </w:rPr>
              <w:t>Executive Officers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40" w:type="dxa"/>
            <w:vAlign w:val="bottom"/>
          </w:tcPr>
          <w:p>
            <w:pPr>
              <w:jc w:val="center"/>
              <w:ind w:left="638"/>
              <w:spacing w:after="0"/>
              <w:rPr>
                <w:sz w:val="20"/>
                <w:szCs w:val="20"/>
                <w:color w:val="auto"/>
              </w:rPr>
            </w:pPr>
            <w:r>
              <w:rPr>
                <w:rFonts w:ascii="Arial" w:cs="Arial" w:eastAsia="Arial" w:hAnsi="Arial"/>
                <w:sz w:val="18"/>
                <w:szCs w:val="18"/>
                <w:color w:val="auto"/>
                <w:w w:val="89"/>
              </w:rPr>
              <w:t>FOR</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7300" w:type="dxa"/>
            <w:vAlign w:val="bottom"/>
            <w:gridSpan w:val="8"/>
          </w:tcPr>
          <w:p>
            <w:pPr>
              <w:spacing w:after="0"/>
              <w:rPr>
                <w:sz w:val="20"/>
                <w:szCs w:val="20"/>
                <w:color w:val="auto"/>
              </w:rPr>
            </w:pPr>
            <w:r>
              <w:rPr>
                <w:rFonts w:ascii="Arial" w:cs="Arial" w:eastAsia="Arial" w:hAnsi="Arial"/>
                <w:sz w:val="18"/>
                <w:szCs w:val="18"/>
                <w:b w:val="1"/>
                <w:bCs w:val="1"/>
                <w:color w:val="auto"/>
              </w:rPr>
              <w:t>Proposal 3: Frequency of Future Advisory Votes on the Compensation of the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20"/>
              <w:spacing w:after="0"/>
              <w:rPr>
                <w:sz w:val="20"/>
                <w:szCs w:val="20"/>
                <w:color w:val="auto"/>
              </w:rPr>
            </w:pPr>
            <w:r>
              <w:rPr>
                <w:rFonts w:ascii="Arial" w:cs="Arial" w:eastAsia="Arial" w:hAnsi="Arial"/>
                <w:sz w:val="18"/>
                <w:szCs w:val="18"/>
                <w:b w:val="1"/>
                <w:bCs w:val="1"/>
                <w:color w:val="auto"/>
                <w:w w:val="91"/>
              </w:rPr>
              <w:t>Company’s Named Executive Officers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700" w:type="dxa"/>
            <w:vAlign w:val="bottom"/>
            <w:gridSpan w:val="5"/>
          </w:tcPr>
          <w:p>
            <w:pPr>
              <w:jc w:val="center"/>
              <w:ind w:right="640"/>
              <w:spacing w:after="0"/>
              <w:rPr>
                <w:sz w:val="20"/>
                <w:szCs w:val="20"/>
                <w:color w:val="auto"/>
              </w:rPr>
            </w:pPr>
            <w:r>
              <w:rPr>
                <w:rFonts w:ascii="Arial" w:cs="Arial" w:eastAsia="Arial" w:hAnsi="Arial"/>
                <w:sz w:val="18"/>
                <w:szCs w:val="18"/>
                <w:color w:val="auto"/>
                <w:w w:val="93"/>
              </w:rPr>
              <w:t>EVERY 1 YEAR</w:t>
            </w:r>
          </w:p>
        </w:tc>
        <w:tc>
          <w:tcPr>
            <w:tcW w:w="14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7300" w:type="dxa"/>
            <w:vAlign w:val="bottom"/>
            <w:gridSpan w:val="8"/>
          </w:tcPr>
          <w:p>
            <w:pPr>
              <w:spacing w:after="0"/>
              <w:rPr>
                <w:sz w:val="20"/>
                <w:szCs w:val="20"/>
                <w:color w:val="auto"/>
              </w:rPr>
            </w:pPr>
            <w:r>
              <w:rPr>
                <w:rFonts w:ascii="Arial" w:cs="Arial" w:eastAsia="Arial" w:hAnsi="Arial"/>
                <w:sz w:val="18"/>
                <w:szCs w:val="18"/>
                <w:b w:val="1"/>
                <w:bCs w:val="1"/>
                <w:color w:val="auto"/>
              </w:rPr>
              <w:t>Proposal 4: Ratification of the Selection of Ernst &amp; Young LLP as Independent</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8"/>
          </w:tcPr>
          <w:p>
            <w:pPr>
              <w:ind w:left="220"/>
              <w:spacing w:after="0"/>
              <w:rPr>
                <w:sz w:val="20"/>
                <w:szCs w:val="20"/>
                <w:color w:val="auto"/>
              </w:rPr>
            </w:pPr>
            <w:r>
              <w:rPr>
                <w:rFonts w:ascii="Arial" w:cs="Arial" w:eastAsia="Arial" w:hAnsi="Arial"/>
                <w:sz w:val="18"/>
                <w:szCs w:val="18"/>
                <w:b w:val="1"/>
                <w:bCs w:val="1"/>
                <w:color w:val="auto"/>
              </w:rPr>
              <w:t>Registered Public Accounting Firm for the Company’s Fiscal Year Ending</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0" w:type="dxa"/>
            <w:vAlign w:val="bottom"/>
            <w:gridSpan w:val="3"/>
          </w:tcPr>
          <w:p>
            <w:pPr>
              <w:ind w:left="220"/>
              <w:spacing w:after="0"/>
              <w:rPr>
                <w:sz w:val="20"/>
                <w:szCs w:val="20"/>
                <w:color w:val="auto"/>
              </w:rPr>
            </w:pPr>
            <w:r>
              <w:rPr>
                <w:rFonts w:ascii="Arial" w:cs="Arial" w:eastAsia="Arial" w:hAnsi="Arial"/>
                <w:sz w:val="18"/>
                <w:szCs w:val="18"/>
                <w:b w:val="1"/>
                <w:bCs w:val="1"/>
                <w:color w:val="auto"/>
              </w:rPr>
              <w:t>October 28, 2017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340" w:type="dxa"/>
            <w:vAlign w:val="bottom"/>
          </w:tcPr>
          <w:p>
            <w:pPr>
              <w:jc w:val="center"/>
              <w:ind w:left="638"/>
              <w:spacing w:after="0"/>
              <w:rPr>
                <w:sz w:val="20"/>
                <w:szCs w:val="20"/>
                <w:color w:val="auto"/>
              </w:rPr>
            </w:pPr>
            <w:r>
              <w:rPr>
                <w:rFonts w:ascii="Arial" w:cs="Arial" w:eastAsia="Arial" w:hAnsi="Arial"/>
                <w:sz w:val="18"/>
                <w:szCs w:val="18"/>
                <w:color w:val="auto"/>
                <w:w w:val="89"/>
              </w:rPr>
              <w:t>FOR</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51"/>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Board Nominees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Director</w:t>
            </w:r>
          </w:p>
        </w:tc>
        <w:tc>
          <w:tcPr>
            <w:tcW w:w="2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Independent</w:t>
            </w:r>
          </w:p>
        </w:tc>
        <w:tc>
          <w:tcPr>
            <w:tcW w:w="280" w:type="dxa"/>
            <w:vAlign w:val="bottom"/>
          </w:tcPr>
          <w:p>
            <w:pPr>
              <w:spacing w:after="0"/>
              <w:rPr>
                <w:sz w:val="24"/>
                <w:szCs w:val="24"/>
                <w:color w:val="auto"/>
              </w:rPr>
            </w:pPr>
          </w:p>
        </w:tc>
        <w:tc>
          <w:tcPr>
            <w:tcW w:w="1140" w:type="dxa"/>
            <w:vAlign w:val="bottom"/>
          </w:tcPr>
          <w:p>
            <w:pPr>
              <w:jc w:val="center"/>
              <w:ind w:right="198"/>
              <w:spacing w:after="0"/>
              <w:rPr>
                <w:sz w:val="20"/>
                <w:szCs w:val="20"/>
                <w:color w:val="auto"/>
              </w:rPr>
            </w:pPr>
            <w:r>
              <w:rPr>
                <w:rFonts w:ascii="Arial" w:cs="Arial" w:eastAsia="Arial" w:hAnsi="Arial"/>
                <w:sz w:val="14"/>
                <w:szCs w:val="14"/>
                <w:b w:val="1"/>
                <w:bCs w:val="1"/>
                <w:color w:val="auto"/>
                <w:w w:val="85"/>
              </w:rPr>
              <w:t>Committee</w:t>
            </w:r>
          </w:p>
        </w:tc>
        <w:tc>
          <w:tcPr>
            <w:tcW w:w="0" w:type="dxa"/>
            <w:vAlign w:val="bottom"/>
          </w:tcPr>
          <w:p>
            <w:pPr>
              <w:spacing w:after="0"/>
              <w:rPr>
                <w:sz w:val="1"/>
                <w:szCs w:val="1"/>
                <w:color w:val="auto"/>
              </w:rPr>
            </w:pPr>
          </w:p>
        </w:tc>
      </w:tr>
      <w:tr>
        <w:trPr>
          <w:trHeight w:val="18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Since</w:t>
            </w:r>
          </w:p>
        </w:tc>
        <w:tc>
          <w:tcPr>
            <w:tcW w:w="2760" w:type="dxa"/>
            <w:vAlign w:val="bottom"/>
          </w:tcPr>
          <w:p>
            <w:pPr>
              <w:jc w:val="center"/>
              <w:ind w:left="1233"/>
              <w:spacing w:after="0"/>
              <w:rPr>
                <w:sz w:val="20"/>
                <w:szCs w:val="20"/>
                <w:color w:val="auto"/>
              </w:rPr>
            </w:pPr>
            <w:r>
              <w:rPr>
                <w:rFonts w:ascii="Arial" w:cs="Arial" w:eastAsia="Arial" w:hAnsi="Arial"/>
                <w:sz w:val="14"/>
                <w:szCs w:val="14"/>
                <w:b w:val="1"/>
                <w:bCs w:val="1"/>
                <w:color w:val="auto"/>
                <w:w w:val="88"/>
              </w:rPr>
              <w:t>Principal Occupation</w:t>
            </w: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Director</w:t>
            </w:r>
          </w:p>
        </w:tc>
        <w:tc>
          <w:tcPr>
            <w:tcW w:w="280" w:type="dxa"/>
            <w:vAlign w:val="bottom"/>
          </w:tcPr>
          <w:p>
            <w:pPr>
              <w:spacing w:after="0"/>
              <w:rPr>
                <w:sz w:val="15"/>
                <w:szCs w:val="15"/>
                <w:color w:val="auto"/>
              </w:rPr>
            </w:pPr>
          </w:p>
        </w:tc>
        <w:tc>
          <w:tcPr>
            <w:tcW w:w="114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Ray</w:t>
            </w:r>
          </w:p>
        </w:tc>
        <w:tc>
          <w:tcPr>
            <w:tcW w:w="2820" w:type="dxa"/>
            <w:vAlign w:val="bottom"/>
            <w:gridSpan w:val="2"/>
          </w:tcPr>
          <w:p>
            <w:pPr>
              <w:spacing w:after="0" w:line="188" w:lineRule="exact"/>
              <w:rPr>
                <w:sz w:val="20"/>
                <w:szCs w:val="20"/>
                <w:color w:val="auto"/>
              </w:rPr>
            </w:pPr>
            <w:r>
              <w:rPr>
                <w:rFonts w:ascii="Arial" w:cs="Arial" w:eastAsia="Arial" w:hAnsi="Arial"/>
                <w:sz w:val="18"/>
                <w:szCs w:val="18"/>
                <w:color w:val="auto"/>
              </w:rPr>
              <w:t>Stata</w:t>
            </w:r>
          </w:p>
        </w:tc>
        <w:tc>
          <w:tcPr>
            <w:tcW w:w="2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89"/>
              </w:rPr>
              <w:t>82</w:t>
            </w:r>
          </w:p>
        </w:tc>
        <w:tc>
          <w:tcPr>
            <w:tcW w:w="320" w:type="dxa"/>
            <w:vAlign w:val="bottom"/>
          </w:tcPr>
          <w:p>
            <w:pPr>
              <w:spacing w:after="0"/>
              <w:rPr>
                <w:sz w:val="16"/>
                <w:szCs w:val="16"/>
                <w:color w:val="auto"/>
              </w:rPr>
            </w:pPr>
          </w:p>
        </w:tc>
        <w:tc>
          <w:tcPr>
            <w:tcW w:w="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1965</w:t>
            </w:r>
          </w:p>
        </w:tc>
        <w:tc>
          <w:tcPr>
            <w:tcW w:w="320" w:type="dxa"/>
            <w:vAlign w:val="bottom"/>
          </w:tcPr>
          <w:p>
            <w:pPr>
              <w:spacing w:after="0"/>
              <w:rPr>
                <w:sz w:val="16"/>
                <w:szCs w:val="16"/>
                <w:color w:val="auto"/>
              </w:rPr>
            </w:pPr>
          </w:p>
        </w:tc>
        <w:tc>
          <w:tcPr>
            <w:tcW w:w="41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Chairman of the Board of Analog Devices, Inc.</w:t>
            </w:r>
          </w:p>
        </w:tc>
        <w:tc>
          <w:tcPr>
            <w:tcW w:w="3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98"/>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Vincent Roche</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56</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32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89"/>
              </w:rPr>
              <w:t>President and Chief Executive Officer of Analog Devices,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19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jc w:val="center"/>
              <w:ind w:left="1253"/>
              <w:spacing w:after="0"/>
              <w:rPr>
                <w:sz w:val="20"/>
                <w:szCs w:val="20"/>
                <w:color w:val="auto"/>
              </w:rPr>
            </w:pPr>
            <w:r>
              <w:rPr>
                <w:rFonts w:ascii="Arial" w:cs="Arial" w:eastAsia="Arial" w:hAnsi="Arial"/>
                <w:sz w:val="18"/>
                <w:szCs w:val="18"/>
                <w:color w:val="auto"/>
                <w:w w:val="89"/>
              </w:rPr>
              <w:t>Inc.</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vMerge w:val="restart"/>
          </w:tcPr>
          <w:p>
            <w:pPr>
              <w:jc w:val="center"/>
              <w:ind w:right="320"/>
              <w:spacing w:after="0" w:line="181" w:lineRule="exact"/>
              <w:rPr>
                <w:sz w:val="20"/>
                <w:szCs w:val="20"/>
                <w:color w:val="auto"/>
              </w:rPr>
            </w:pPr>
            <w:r>
              <w:rPr>
                <w:rFonts w:ascii="MS PGothic" w:cs="MS PGothic" w:eastAsia="MS PGothic" w:hAnsi="MS PGothic"/>
                <w:sz w:val="18"/>
                <w:szCs w:val="18"/>
                <w:color w:val="auto"/>
                <w:w w:val="77"/>
              </w:rPr>
              <w: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James A. Champy</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74</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87"/>
              </w:rPr>
              <w:t>Retired Vice President of the Dell/Perot Systems business</w:t>
            </w:r>
          </w:p>
        </w:tc>
        <w:tc>
          <w:tcPr>
            <w:tcW w:w="30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2"/>
              </w:rPr>
              <w:t>NCGC (Chair)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jc w:val="center"/>
              <w:ind w:left="1233"/>
              <w:spacing w:after="0"/>
              <w:rPr>
                <w:sz w:val="20"/>
                <w:szCs w:val="20"/>
                <w:color w:val="auto"/>
              </w:rPr>
            </w:pPr>
            <w:r>
              <w:rPr>
                <w:rFonts w:ascii="Arial" w:cs="Arial" w:eastAsia="Arial" w:hAnsi="Arial"/>
                <w:sz w:val="18"/>
                <w:szCs w:val="18"/>
                <w:color w:val="auto"/>
                <w:w w:val="93"/>
              </w:rPr>
              <w:t>unit of Dell, Inc.</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vMerge w:val="restart"/>
          </w:tcPr>
          <w:p>
            <w:pPr>
              <w:jc w:val="center"/>
              <w:ind w:right="320"/>
              <w:spacing w:after="0" w:line="181" w:lineRule="exact"/>
              <w:rPr>
                <w:sz w:val="20"/>
                <w:szCs w:val="20"/>
                <w:color w:val="auto"/>
              </w:rPr>
            </w:pPr>
            <w:r>
              <w:rPr>
                <w:rFonts w:ascii="MS PGothic" w:cs="MS PGothic" w:eastAsia="MS PGothic" w:hAnsi="MS PGothic"/>
                <w:sz w:val="18"/>
                <w:szCs w:val="18"/>
                <w:color w:val="auto"/>
                <w:w w:val="77"/>
              </w:rPr>
              <w: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00" w:type="dxa"/>
            <w:vAlign w:val="bottom"/>
            <w:gridSpan w:val="3"/>
          </w:tcPr>
          <w:p>
            <w:pPr>
              <w:spacing w:after="0" w:line="183" w:lineRule="exact"/>
              <w:rPr>
                <w:sz w:val="20"/>
                <w:szCs w:val="20"/>
                <w:color w:val="auto"/>
              </w:rPr>
            </w:pPr>
            <w:r>
              <w:rPr>
                <w:rFonts w:ascii="Arial" w:cs="Arial" w:eastAsia="Arial" w:hAnsi="Arial"/>
                <w:sz w:val="18"/>
                <w:szCs w:val="18"/>
                <w:color w:val="auto"/>
              </w:rPr>
              <w:t>Bruce R. Evans</w:t>
            </w:r>
          </w:p>
        </w:tc>
        <w:tc>
          <w:tcPr>
            <w:tcW w:w="220" w:type="dxa"/>
            <w:vAlign w:val="bottom"/>
          </w:tcPr>
          <w:p>
            <w:pPr>
              <w:ind w:left="20"/>
              <w:spacing w:after="0" w:line="183" w:lineRule="exact"/>
              <w:rPr>
                <w:sz w:val="20"/>
                <w:szCs w:val="20"/>
                <w:color w:val="auto"/>
              </w:rPr>
            </w:pPr>
            <w:r>
              <w:rPr>
                <w:rFonts w:ascii="Arial" w:cs="Arial" w:eastAsia="Arial" w:hAnsi="Arial"/>
                <w:sz w:val="18"/>
                <w:szCs w:val="18"/>
                <w:color w:val="auto"/>
                <w:w w:val="89"/>
              </w:rPr>
              <w:t>57</w:t>
            </w:r>
          </w:p>
        </w:tc>
        <w:tc>
          <w:tcPr>
            <w:tcW w:w="320" w:type="dxa"/>
            <w:vAlign w:val="bottom"/>
          </w:tcPr>
          <w:p>
            <w:pPr>
              <w:spacing w:after="0"/>
              <w:rPr>
                <w:sz w:val="15"/>
                <w:szCs w:val="15"/>
                <w:color w:val="auto"/>
              </w:rPr>
            </w:pPr>
          </w:p>
        </w:tc>
        <w:tc>
          <w:tcPr>
            <w:tcW w:w="480" w:type="dxa"/>
            <w:vAlign w:val="bottom"/>
          </w:tcPr>
          <w:p>
            <w:pPr>
              <w:jc w:val="center"/>
              <w:spacing w:after="0" w:line="183" w:lineRule="exact"/>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15"/>
                <w:szCs w:val="15"/>
                <w:color w:val="auto"/>
              </w:rPr>
            </w:pPr>
          </w:p>
        </w:tc>
        <w:tc>
          <w:tcPr>
            <w:tcW w:w="4100" w:type="dxa"/>
            <w:vAlign w:val="bottom"/>
            <w:gridSpan w:val="2"/>
          </w:tcPr>
          <w:p>
            <w:pPr>
              <w:jc w:val="center"/>
              <w:spacing w:after="0" w:line="183" w:lineRule="exact"/>
              <w:rPr>
                <w:sz w:val="20"/>
                <w:szCs w:val="20"/>
                <w:color w:val="auto"/>
              </w:rPr>
            </w:pPr>
            <w:r>
              <w:rPr>
                <w:rFonts w:ascii="Arial" w:cs="Arial" w:eastAsia="Arial" w:hAnsi="Arial"/>
                <w:sz w:val="18"/>
                <w:szCs w:val="18"/>
                <w:color w:val="auto"/>
                <w:w w:val="89"/>
              </w:rPr>
              <w:t>Managing Director and Chairman of Summit Partners</w:t>
            </w:r>
          </w:p>
        </w:tc>
        <w:tc>
          <w:tcPr>
            <w:tcW w:w="3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98"/>
              <w:spacing w:after="0" w:line="183" w:lineRule="exact"/>
              <w:rPr>
                <w:sz w:val="20"/>
                <w:szCs w:val="20"/>
                <w:color w:val="auto"/>
              </w:rPr>
            </w:pPr>
            <w:r>
              <w:rPr>
                <w:rFonts w:ascii="Arial" w:cs="Arial" w:eastAsia="Arial" w:hAnsi="Arial"/>
                <w:sz w:val="18"/>
                <w:szCs w:val="18"/>
                <w:color w:val="auto"/>
              </w:rPr>
              <w:t>AC</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Edward H. Frank</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60</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2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89"/>
              </w:rPr>
              <w:t>Co-Founder and CEO of Cloud Parity</w:t>
            </w:r>
          </w:p>
        </w:tc>
        <w:tc>
          <w:tcPr>
            <w:tcW w:w="300" w:type="dxa"/>
            <w:vAlign w:val="bottom"/>
          </w:tcPr>
          <w:p>
            <w:pPr>
              <w:spacing w:after="0"/>
              <w:rPr>
                <w:sz w:val="18"/>
                <w:szCs w:val="18"/>
                <w:color w:val="auto"/>
              </w:rPr>
            </w:pPr>
          </w:p>
        </w:tc>
        <w:tc>
          <w:tcPr>
            <w:tcW w:w="1060" w:type="dxa"/>
            <w:vAlign w:val="bottom"/>
            <w:gridSpan w:val="3"/>
          </w:tcPr>
          <w:p>
            <w:pPr>
              <w:jc w:val="center"/>
              <w:ind w:right="320"/>
              <w:spacing w:after="0" w:line="181" w:lineRule="exact"/>
              <w:rPr>
                <w:sz w:val="20"/>
                <w:szCs w:val="20"/>
                <w:color w:val="auto"/>
              </w:rPr>
            </w:pPr>
            <w:r>
              <w:rPr>
                <w:rFonts w:ascii="MS PGothic" w:cs="MS PGothic" w:eastAsia="MS PGothic" w:hAnsi="MS PGothic"/>
                <w:sz w:val="18"/>
                <w:szCs w:val="18"/>
                <w:color w:val="auto"/>
                <w:w w:val="77"/>
              </w:rPr>
              <w:t>✓</w:t>
            </w:r>
          </w:p>
        </w:tc>
        <w:tc>
          <w:tcPr>
            <w:tcW w:w="280" w:type="dxa"/>
            <w:vAlign w:val="bottom"/>
          </w:tcPr>
          <w:p>
            <w:pPr>
              <w:spacing w:after="0"/>
              <w:rPr>
                <w:sz w:val="18"/>
                <w:szCs w:val="18"/>
                <w:color w:val="auto"/>
              </w:rPr>
            </w:pPr>
          </w:p>
        </w:tc>
        <w:tc>
          <w:tcPr>
            <w:tcW w:w="1140" w:type="dxa"/>
            <w:vAlign w:val="bottom"/>
          </w:tcPr>
          <w:p>
            <w:pPr>
              <w:jc w:val="center"/>
              <w:ind w:right="198"/>
              <w:spacing w:after="0"/>
              <w:rPr>
                <w:sz w:val="20"/>
                <w:szCs w:val="20"/>
                <w:color w:val="auto"/>
              </w:rPr>
            </w:pPr>
            <w:r>
              <w:rPr>
                <w:rFonts w:ascii="Arial" w:cs="Arial" w:eastAsia="Arial" w:hAnsi="Arial"/>
                <w:sz w:val="18"/>
                <w:szCs w:val="18"/>
                <w:color w:val="auto"/>
                <w:w w:val="94"/>
              </w:rPr>
              <w:t>NCGC</w:t>
            </w:r>
          </w:p>
        </w:tc>
        <w:tc>
          <w:tcPr>
            <w:tcW w:w="0" w:type="dxa"/>
            <w:vAlign w:val="bottom"/>
          </w:tcPr>
          <w:p>
            <w:pPr>
              <w:spacing w:after="0"/>
              <w:rPr>
                <w:sz w:val="1"/>
                <w:szCs w:val="1"/>
                <w:color w:val="auto"/>
              </w:rPr>
            </w:pPr>
          </w:p>
        </w:tc>
      </w:tr>
      <w:tr>
        <w:trPr>
          <w:trHeight w:val="249"/>
        </w:trPr>
        <w:tc>
          <w:tcPr>
            <w:tcW w:w="3200" w:type="dxa"/>
            <w:vAlign w:val="bottom"/>
            <w:gridSpan w:val="3"/>
          </w:tcPr>
          <w:p>
            <w:pPr>
              <w:spacing w:after="0"/>
              <w:rPr>
                <w:sz w:val="20"/>
                <w:szCs w:val="20"/>
                <w:color w:val="auto"/>
              </w:rPr>
            </w:pPr>
            <w:r>
              <w:rPr>
                <w:rFonts w:ascii="Arial" w:cs="Arial" w:eastAsia="Arial" w:hAnsi="Arial"/>
                <w:sz w:val="18"/>
                <w:szCs w:val="18"/>
                <w:color w:val="auto"/>
              </w:rPr>
              <w:t>Mark M. Little</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64</w:t>
            </w:r>
          </w:p>
        </w:tc>
        <w:tc>
          <w:tcPr>
            <w:tcW w:w="32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320" w:type="dxa"/>
            <w:vAlign w:val="bottom"/>
          </w:tcPr>
          <w:p>
            <w:pPr>
              <w:spacing w:after="0"/>
              <w:rPr>
                <w:sz w:val="21"/>
                <w:szCs w:val="21"/>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88"/>
              </w:rPr>
              <w:t>Former SVP, GE Global Research &amp; Chief Technology</w:t>
            </w:r>
          </w:p>
        </w:tc>
        <w:tc>
          <w:tcPr>
            <w:tcW w:w="300" w:type="dxa"/>
            <w:vAlign w:val="bottom"/>
          </w:tcPr>
          <w:p>
            <w:pPr>
              <w:spacing w:after="0"/>
              <w:rPr>
                <w:sz w:val="21"/>
                <w:szCs w:val="21"/>
                <w:color w:val="auto"/>
              </w:rPr>
            </w:pPr>
          </w:p>
        </w:tc>
        <w:tc>
          <w:tcPr>
            <w:tcW w:w="1060" w:type="dxa"/>
            <w:vAlign w:val="bottom"/>
            <w:gridSpan w:val="3"/>
          </w:tcPr>
          <w:p>
            <w:pPr>
              <w:jc w:val="center"/>
              <w:ind w:right="320"/>
              <w:spacing w:after="0" w:line="181" w:lineRule="exact"/>
              <w:rPr>
                <w:sz w:val="20"/>
                <w:szCs w:val="20"/>
                <w:color w:val="auto"/>
              </w:rPr>
            </w:pPr>
            <w:r>
              <w:rPr>
                <w:rFonts w:ascii="MS PGothic" w:cs="MS PGothic" w:eastAsia="MS PGothic" w:hAnsi="MS PGothic"/>
                <w:sz w:val="18"/>
                <w:szCs w:val="18"/>
                <w:color w:val="auto"/>
                <w:w w:val="77"/>
              </w:rPr>
              <w:t>✓</w:t>
            </w:r>
          </w:p>
        </w:tc>
        <w:tc>
          <w:tcPr>
            <w:tcW w:w="280" w:type="dxa"/>
            <w:vAlign w:val="bottom"/>
          </w:tcPr>
          <w:p>
            <w:pPr>
              <w:spacing w:after="0"/>
              <w:rPr>
                <w:sz w:val="21"/>
                <w:szCs w:val="21"/>
                <w:color w:val="auto"/>
              </w:rPr>
            </w:pPr>
          </w:p>
        </w:tc>
        <w:tc>
          <w:tcPr>
            <w:tcW w:w="1140" w:type="dxa"/>
            <w:vAlign w:val="bottom"/>
          </w:tcPr>
          <w:p>
            <w:pPr>
              <w:jc w:val="center"/>
              <w:ind w:right="198"/>
              <w:spacing w:after="0"/>
              <w:rPr>
                <w:sz w:val="20"/>
                <w:szCs w:val="20"/>
                <w:color w:val="auto"/>
              </w:rPr>
            </w:pPr>
            <w:r>
              <w:rPr>
                <w:rFonts w:ascii="Arial" w:cs="Arial" w:eastAsia="Arial" w:hAnsi="Arial"/>
                <w:sz w:val="18"/>
                <w:szCs w:val="18"/>
                <w:color w:val="auto"/>
              </w:rPr>
              <w:t>AC</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90"/>
              </w:rPr>
              <w:t>Officer of General Electric Company</w:t>
            </w:r>
          </w:p>
        </w:tc>
        <w:tc>
          <w:tcPr>
            <w:tcW w:w="300" w:type="dxa"/>
            <w:vAlign w:val="bottom"/>
          </w:tcPr>
          <w:p>
            <w:pPr>
              <w:spacing w:after="0"/>
              <w:rPr>
                <w:sz w:val="18"/>
                <w:szCs w:val="18"/>
                <w:color w:val="auto"/>
              </w:rPr>
            </w:pPr>
          </w:p>
        </w:tc>
        <w:tc>
          <w:tcPr>
            <w:tcW w:w="1060" w:type="dxa"/>
            <w:vAlign w:val="bottom"/>
            <w:gridSpan w:val="3"/>
            <w:vMerge w:val="restart"/>
          </w:tcPr>
          <w:p>
            <w:pPr>
              <w:jc w:val="center"/>
              <w:ind w:right="320"/>
              <w:spacing w:after="0" w:line="181" w:lineRule="exact"/>
              <w:rPr>
                <w:sz w:val="20"/>
                <w:szCs w:val="20"/>
                <w:color w:val="auto"/>
              </w:rPr>
            </w:pPr>
            <w:r>
              <w:rPr>
                <w:rFonts w:ascii="MS PGothic" w:cs="MS PGothic" w:eastAsia="MS PGothic" w:hAnsi="MS PGothic"/>
                <w:sz w:val="18"/>
                <w:szCs w:val="18"/>
                <w:color w:val="auto"/>
                <w:w w:val="77"/>
              </w:rPr>
              <w: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Neil Novich</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62</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89"/>
              </w:rPr>
              <w:t>Former Chairman, President and Chief Executive Officer</w:t>
            </w:r>
          </w:p>
        </w:tc>
        <w:tc>
          <w:tcPr>
            <w:tcW w:w="30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198"/>
              <w:spacing w:after="0"/>
              <w:rPr>
                <w:sz w:val="20"/>
                <w:szCs w:val="20"/>
                <w:color w:val="auto"/>
              </w:rPr>
            </w:pPr>
            <w:r>
              <w:rPr>
                <w:rFonts w:ascii="Arial" w:cs="Arial" w:eastAsia="Arial" w:hAnsi="Arial"/>
                <w:sz w:val="18"/>
                <w:szCs w:val="18"/>
                <w:color w:val="auto"/>
                <w:w w:val="90"/>
              </w:rPr>
              <w:t>CC (Chair)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Pr>
          <w:p>
            <w:pPr>
              <w:jc w:val="center"/>
              <w:ind w:left="1233"/>
              <w:spacing w:after="0"/>
              <w:rPr>
                <w:sz w:val="20"/>
                <w:szCs w:val="20"/>
                <w:color w:val="auto"/>
              </w:rPr>
            </w:pPr>
            <w:r>
              <w:rPr>
                <w:rFonts w:ascii="Arial" w:cs="Arial" w:eastAsia="Arial" w:hAnsi="Arial"/>
                <w:sz w:val="18"/>
                <w:szCs w:val="18"/>
                <w:color w:val="auto"/>
                <w:w w:val="89"/>
              </w:rPr>
              <w:t>of Ryerson Inc.</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vMerge w:val="restart"/>
          </w:tcPr>
          <w:p>
            <w:pPr>
              <w:jc w:val="center"/>
              <w:ind w:right="320"/>
              <w:spacing w:after="0" w:line="181" w:lineRule="exact"/>
              <w:rPr>
                <w:sz w:val="20"/>
                <w:szCs w:val="20"/>
                <w:color w:val="auto"/>
              </w:rPr>
            </w:pPr>
            <w:r>
              <w:rPr>
                <w:rFonts w:ascii="MS PGothic" w:cs="MS PGothic" w:eastAsia="MS PGothic" w:hAnsi="MS PGothic"/>
                <w:sz w:val="18"/>
                <w:szCs w:val="18"/>
                <w:color w:val="auto"/>
                <w:w w:val="77"/>
              </w:rPr>
              <w: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Kenton J. Sicchitano</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72</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89"/>
              </w:rPr>
              <w:t>Retired Global Managing Partner of</w:t>
            </w:r>
          </w:p>
        </w:tc>
        <w:tc>
          <w:tcPr>
            <w:tcW w:w="30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198"/>
              <w:spacing w:after="0"/>
              <w:rPr>
                <w:sz w:val="20"/>
                <w:szCs w:val="20"/>
                <w:color w:val="auto"/>
              </w:rPr>
            </w:pPr>
            <w:r>
              <w:rPr>
                <w:rFonts w:ascii="Arial" w:cs="Arial" w:eastAsia="Arial" w:hAnsi="Arial"/>
                <w:sz w:val="18"/>
                <w:szCs w:val="18"/>
                <w:color w:val="auto"/>
                <w:w w:val="91"/>
              </w:rPr>
              <w:t>AC (Chair)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87"/>
              </w:rPr>
              <w:t>PricewaterhouseCoopers LLP</w:t>
            </w:r>
          </w:p>
        </w:tc>
        <w:tc>
          <w:tcPr>
            <w:tcW w:w="300" w:type="dxa"/>
            <w:vAlign w:val="bottom"/>
          </w:tcPr>
          <w:p>
            <w:pPr>
              <w:spacing w:after="0"/>
              <w:rPr>
                <w:sz w:val="18"/>
                <w:szCs w:val="18"/>
                <w:color w:val="auto"/>
              </w:rPr>
            </w:pPr>
          </w:p>
        </w:tc>
        <w:tc>
          <w:tcPr>
            <w:tcW w:w="1060" w:type="dxa"/>
            <w:vAlign w:val="bottom"/>
            <w:gridSpan w:val="3"/>
            <w:vMerge w:val="restart"/>
          </w:tcPr>
          <w:p>
            <w:pPr>
              <w:jc w:val="center"/>
              <w:ind w:right="320"/>
              <w:spacing w:after="0" w:line="181" w:lineRule="exact"/>
              <w:rPr>
                <w:sz w:val="20"/>
                <w:szCs w:val="20"/>
                <w:color w:val="auto"/>
              </w:rPr>
            </w:pPr>
            <w:r>
              <w:rPr>
                <w:rFonts w:ascii="MS PGothic" w:cs="MS PGothic" w:eastAsia="MS PGothic" w:hAnsi="MS PGothic"/>
                <w:sz w:val="18"/>
                <w:szCs w:val="18"/>
                <w:color w:val="auto"/>
                <w:w w:val="77"/>
              </w:rPr>
              <w: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Lisa T. Su</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47</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2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90"/>
              </w:rPr>
              <w:t>President and Chief Executive Officer of Advanced Micro</w:t>
            </w:r>
          </w:p>
        </w:tc>
        <w:tc>
          <w:tcPr>
            <w:tcW w:w="30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198"/>
              <w:spacing w:after="0"/>
              <w:rPr>
                <w:sz w:val="20"/>
                <w:szCs w:val="20"/>
                <w:color w:val="auto"/>
              </w:rPr>
            </w:pPr>
            <w:r>
              <w:rPr>
                <w:rFonts w:ascii="Arial" w:cs="Arial" w:eastAsia="Arial" w:hAnsi="Arial"/>
                <w:sz w:val="18"/>
                <w:szCs w:val="18"/>
                <w:color w:val="auto"/>
                <w:w w:val="84"/>
              </w:rPr>
              <w:t>CC</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tcPr>
          <w:p>
            <w:pPr>
              <w:jc w:val="center"/>
              <w:ind w:left="1233"/>
              <w:spacing w:after="0"/>
              <w:rPr>
                <w:sz w:val="20"/>
                <w:szCs w:val="20"/>
                <w:color w:val="auto"/>
              </w:rPr>
            </w:pPr>
            <w:r>
              <w:rPr>
                <w:rFonts w:ascii="Arial" w:cs="Arial" w:eastAsia="Arial" w:hAnsi="Arial"/>
                <w:sz w:val="18"/>
                <w:szCs w:val="18"/>
                <w:color w:val="auto"/>
                <w:w w:val="89"/>
              </w:rPr>
              <w:t>Devices, Inc.</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3200" w:type="dxa"/>
            <w:vAlign w:val="bottom"/>
            <w:gridSpan w:val="3"/>
          </w:tcPr>
          <w:p>
            <w:pPr>
              <w:spacing w:after="0"/>
              <w:rPr>
                <w:sz w:val="20"/>
                <w:szCs w:val="20"/>
                <w:color w:val="auto"/>
              </w:rPr>
            </w:pPr>
            <w:r>
              <w:rPr>
                <w:rFonts w:ascii="Arial" w:cs="Arial" w:eastAsia="Arial" w:hAnsi="Arial"/>
                <w:sz w:val="18"/>
                <w:szCs w:val="18"/>
                <w:color w:val="auto"/>
              </w:rPr>
              <w:t>AC = Audit Committee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60" w:type="dxa"/>
            <w:vAlign w:val="bottom"/>
            <w:gridSpan w:val="3"/>
          </w:tcPr>
          <w:p>
            <w:pPr>
              <w:jc w:val="right"/>
              <w:ind w:right="1053"/>
              <w:spacing w:after="0"/>
              <w:rPr>
                <w:sz w:val="20"/>
                <w:szCs w:val="20"/>
                <w:color w:val="auto"/>
              </w:rPr>
            </w:pPr>
            <w:r>
              <w:rPr>
                <w:rFonts w:ascii="Arial" w:cs="Arial" w:eastAsia="Arial" w:hAnsi="Arial"/>
                <w:sz w:val="18"/>
                <w:szCs w:val="18"/>
                <w:color w:val="auto"/>
                <w:w w:val="94"/>
              </w:rPr>
              <w:t>CC = Compensation Committee</w:t>
            </w:r>
          </w:p>
        </w:tc>
        <w:tc>
          <w:tcPr>
            <w:tcW w:w="1340" w:type="dxa"/>
            <w:vAlign w:val="bottom"/>
          </w:tcPr>
          <w:p>
            <w:pPr>
              <w:ind w:left="380"/>
              <w:spacing w:after="0"/>
              <w:rPr>
                <w:sz w:val="20"/>
                <w:szCs w:val="20"/>
                <w:color w:val="auto"/>
              </w:rPr>
            </w:pPr>
            <w:r>
              <w:rPr>
                <w:rFonts w:ascii="Arial" w:cs="Arial" w:eastAsia="Arial" w:hAnsi="Arial"/>
                <w:sz w:val="18"/>
                <w:szCs w:val="18"/>
                <w:color w:val="auto"/>
              </w:rPr>
              <w:t>NCGC =</w:t>
            </w:r>
          </w:p>
        </w:tc>
        <w:tc>
          <w:tcPr>
            <w:tcW w:w="2780" w:type="dxa"/>
            <w:vAlign w:val="bottom"/>
            <w:gridSpan w:val="6"/>
          </w:tcPr>
          <w:p>
            <w:pPr>
              <w:ind w:left="60"/>
              <w:spacing w:after="0"/>
              <w:rPr>
                <w:sz w:val="20"/>
                <w:szCs w:val="20"/>
                <w:color w:val="auto"/>
              </w:rPr>
            </w:pPr>
            <w:r>
              <w:rPr>
                <w:rFonts w:ascii="Arial" w:cs="Arial" w:eastAsia="Arial" w:hAnsi="Arial"/>
                <w:sz w:val="18"/>
                <w:szCs w:val="18"/>
                <w:color w:val="auto"/>
              </w:rPr>
              <w:t>Nominating and Corporate</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780" w:type="dxa"/>
            <w:vAlign w:val="bottom"/>
            <w:gridSpan w:val="6"/>
          </w:tcPr>
          <w:p>
            <w:pPr>
              <w:ind w:left="60"/>
              <w:spacing w:after="0"/>
              <w:rPr>
                <w:sz w:val="20"/>
                <w:szCs w:val="20"/>
                <w:color w:val="auto"/>
              </w:rPr>
            </w:pPr>
            <w:r>
              <w:rPr>
                <w:rFonts w:ascii="Arial" w:cs="Arial" w:eastAsia="Arial" w:hAnsi="Arial"/>
                <w:sz w:val="18"/>
                <w:szCs w:val="18"/>
                <w:color w:val="auto"/>
              </w:rPr>
              <w:t>Governance Committee</w:t>
            </w: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tcPr>
          <w:p>
            <w:pPr>
              <w:jc w:val="right"/>
              <w:ind w:right="1453"/>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2016-2017 Board Refreshment</w:t>
      </w:r>
    </w:p>
    <w:p>
      <w:pPr>
        <w:spacing w:after="0" w:line="9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 M. Little joined the Board in January 2017.</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John Hodgson and Richard Beyer will leave the Board when their current terms expire at the Annual Meeting. Messrs. Hodgson and Beyer have served on our Board since 2005 and 2013, respectively, and we wish to express our sincere appreciation for their exemplary service and contributions to the Company.</w:t>
      </w:r>
    </w:p>
    <w:p>
      <w:pPr>
        <w:spacing w:after="0" w:line="59"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intends to appoint Robert Swanson, Executive Chairman of Linear Technology Corporation, to the Board at the later of the completion of the Company’s proposed acquisition of Linear Technology Corporation or the Board of Directors meeting following the Company’s 2017 Annual Meeting of Shareholders.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tenure of independent directors standing for re-election is 5.9 years.</w:t>
      </w:r>
    </w:p>
    <w:p>
      <w:pPr>
        <w:sectPr>
          <w:pgSz w:w="11900" w:h="16838" w:orient="portrait"/>
          <w:cols w:equalWidth="0" w:num="1">
            <w:col w:w="11400"/>
          </w:cols>
          <w:pgMar w:left="240" w:top="274" w:right="25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governance practices include:</w:t>
      </w:r>
    </w:p>
    <w:p>
      <w:pPr>
        <w:spacing w:after="0" w:line="144" w:lineRule="exact"/>
        <w:rPr>
          <w:sz w:val="20"/>
          <w:szCs w:val="20"/>
          <w:color w:val="auto"/>
        </w:rPr>
      </w:pPr>
    </w:p>
    <w:p>
      <w:pPr>
        <w:ind w:left="760" w:hanging="29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Majority of directors are independent</w:t>
      </w:r>
    </w:p>
    <w:p>
      <w:pPr>
        <w:spacing w:after="0" w:line="90" w:lineRule="exact"/>
        <w:rPr>
          <w:rFonts w:ascii="Arial" w:cs="Arial" w:eastAsia="Arial" w:hAnsi="Arial"/>
          <w:sz w:val="18"/>
          <w:szCs w:val="18"/>
          <w:color w:val="auto"/>
        </w:rPr>
      </w:pPr>
    </w:p>
    <w:p>
      <w:pPr>
        <w:ind w:left="760" w:hanging="29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election of directors</w:t>
      </w:r>
    </w:p>
    <w:p>
      <w:pPr>
        <w:spacing w:after="0" w:line="90" w:lineRule="exact"/>
        <w:rPr>
          <w:rFonts w:ascii="Arial" w:cs="Arial" w:eastAsia="Arial" w:hAnsi="Arial"/>
          <w:sz w:val="18"/>
          <w:szCs w:val="18"/>
          <w:color w:val="auto"/>
        </w:rPr>
      </w:pPr>
    </w:p>
    <w:p>
      <w:pPr>
        <w:ind w:left="760" w:hanging="293"/>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Majority voting for directors in uncontested director elections</w:t>
      </w:r>
    </w:p>
    <w:p>
      <w:pPr>
        <w:spacing w:after="0" w:line="113" w:lineRule="exact"/>
        <w:rPr>
          <w:rFonts w:ascii="Arial" w:cs="Arial" w:eastAsia="Arial" w:hAnsi="Arial"/>
          <w:sz w:val="16"/>
          <w:szCs w:val="16"/>
          <w:color w:val="auto"/>
        </w:rPr>
      </w:pPr>
    </w:p>
    <w:p>
      <w:pPr>
        <w:ind w:left="760" w:right="147" w:hanging="293"/>
        <w:spacing w:after="0" w:line="26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tenure of independent directors standing for re-election is 5.9 years</w:t>
      </w:r>
    </w:p>
    <w:p>
      <w:pPr>
        <w:spacing w:after="0" w:line="50" w:lineRule="exact"/>
        <w:rPr>
          <w:rFonts w:ascii="Arial" w:cs="Arial" w:eastAsia="Arial" w:hAnsi="Arial"/>
          <w:sz w:val="18"/>
          <w:szCs w:val="18"/>
          <w:color w:val="auto"/>
        </w:rPr>
      </w:pPr>
    </w:p>
    <w:p>
      <w:pPr>
        <w:ind w:left="760" w:hanging="29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93" w:right="1040" w:hanging="293"/>
        <w:spacing w:after="0" w:line="268" w:lineRule="auto"/>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ownership guidelines for executive officers and non-employee directors</w:t>
      </w:r>
    </w:p>
    <w:p>
      <w:pPr>
        <w:spacing w:after="0" w:line="50" w:lineRule="exact"/>
        <w:rPr>
          <w:rFonts w:ascii="Arial" w:cs="Arial" w:eastAsia="Arial" w:hAnsi="Arial"/>
          <w:sz w:val="18"/>
          <w:szCs w:val="18"/>
          <w:color w:val="auto"/>
        </w:rPr>
      </w:pPr>
    </w:p>
    <w:p>
      <w:pPr>
        <w:ind w:left="293" w:right="600" w:hanging="293"/>
        <w:spacing w:after="0" w:line="268" w:lineRule="auto"/>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 Board engagement in managing talent and long-term succession planning for executives</w:t>
      </w:r>
    </w:p>
    <w:p>
      <w:pPr>
        <w:spacing w:after="0" w:line="50" w:lineRule="exact"/>
        <w:rPr>
          <w:rFonts w:ascii="Arial" w:cs="Arial" w:eastAsia="Arial" w:hAnsi="Arial"/>
          <w:sz w:val="18"/>
          <w:szCs w:val="18"/>
          <w:color w:val="auto"/>
        </w:rPr>
      </w:pPr>
    </w:p>
    <w:p>
      <w:pPr>
        <w:ind w:left="293" w:hanging="293"/>
        <w:spacing w:after="0"/>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Prohibitions on hedging and pledging</w:t>
      </w:r>
    </w:p>
    <w:p>
      <w:pPr>
        <w:spacing w:after="0" w:line="90" w:lineRule="exact"/>
        <w:rPr>
          <w:rFonts w:ascii="Arial" w:cs="Arial" w:eastAsia="Arial" w:hAnsi="Arial"/>
          <w:sz w:val="18"/>
          <w:szCs w:val="18"/>
          <w:color w:val="auto"/>
        </w:rPr>
      </w:pPr>
    </w:p>
    <w:p>
      <w:pPr>
        <w:ind w:left="293" w:hanging="293"/>
        <w:spacing w:after="0"/>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supermajority voting provisions</w:t>
      </w:r>
    </w:p>
    <w:p>
      <w:pPr>
        <w:spacing w:after="0" w:line="90" w:lineRule="exact"/>
        <w:rPr>
          <w:rFonts w:ascii="Arial" w:cs="Arial" w:eastAsia="Arial" w:hAnsi="Arial"/>
          <w:sz w:val="18"/>
          <w:szCs w:val="18"/>
          <w:color w:val="auto"/>
        </w:rPr>
      </w:pPr>
    </w:p>
    <w:p>
      <w:pPr>
        <w:ind w:left="293" w:hanging="293"/>
        <w:spacing w:after="0"/>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Board and Committee self-evaluations</w:t>
      </w:r>
    </w:p>
    <w:p>
      <w:pPr>
        <w:spacing w:after="0" w:line="200" w:lineRule="exact"/>
        <w:rPr>
          <w:sz w:val="20"/>
          <w:szCs w:val="20"/>
          <w:color w:val="auto"/>
        </w:rPr>
      </w:pPr>
    </w:p>
    <w:p>
      <w:pPr>
        <w:sectPr>
          <w:pgSz w:w="11900" w:h="16838" w:orient="portrait"/>
          <w:cols w:equalWidth="0" w:num="2">
            <w:col w:w="5567" w:space="720"/>
            <w:col w:w="5113"/>
          </w:cols>
          <w:pgMar w:left="240" w:top="274" w:right="25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Business Results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fiscal year ended October 29, 2016, or fiscal 2016, was a year of strong execution for Analog Devices. Our business model generated gross margins of 65.1%, operating margins of 30.0%, operating cash flow of approximately $1.3 billion, or 37.4% of revenue and free cash flow of approximately $1.2 billion, or</w:t>
      </w:r>
    </w:p>
    <w:p>
      <w:pPr>
        <w:ind w:right="220"/>
        <w:spacing w:after="0" w:line="254" w:lineRule="auto"/>
        <w:rPr>
          <w:sz w:val="20"/>
          <w:szCs w:val="20"/>
          <w:color w:val="auto"/>
        </w:rPr>
      </w:pPr>
      <w:r>
        <w:rPr>
          <w:rFonts w:ascii="Arial" w:cs="Arial" w:eastAsia="Arial" w:hAnsi="Arial"/>
          <w:sz w:val="18"/>
          <w:szCs w:val="18"/>
          <w:color w:val="auto"/>
        </w:rPr>
        <w:t>33.7% of revenue.</w:t>
      </w:r>
      <w:r>
        <w:rPr>
          <w:rFonts w:ascii="Arial" w:cs="Arial" w:eastAsia="Arial" w:hAnsi="Arial"/>
          <w:sz w:val="11"/>
          <w:szCs w:val="11"/>
          <w:color w:val="auto"/>
        </w:rPr>
        <w:t>1</w:t>
      </w:r>
      <w:r>
        <w:rPr>
          <w:rFonts w:ascii="Arial" w:cs="Arial" w:eastAsia="Arial" w:hAnsi="Arial"/>
          <w:sz w:val="18"/>
          <w:szCs w:val="18"/>
          <w:color w:val="auto"/>
        </w:rPr>
        <w:t xml:space="preserve"> We also returned approximately $883 million to shareholders in the form of dividends and share repurchases. In addition to strong business results, in fiscal 2016, we announced the proposed acquisition of Linear Technology Corporation, which once complete, will create a high-performance analog leader, with the combined company having a top two market share position across all the key building blocks of the analog market, namely: data converters, power management, amplifiers, interface, and high-performance RF and microwave.</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120" w:right="60" w:hanging="112"/>
        <w:spacing w:after="0" w:line="182" w:lineRule="auto"/>
        <w:tabs>
          <w:tab w:leader="none" w:pos="120" w:val="left"/>
        </w:tabs>
        <w:numPr>
          <w:ilvl w:val="0"/>
          <w:numId w:val="8"/>
        </w:numPr>
        <w:rPr>
          <w:rFonts w:ascii="Arial" w:cs="Arial" w:eastAsia="Arial" w:hAnsi="Arial"/>
          <w:sz w:val="20"/>
          <w:szCs w:val="20"/>
          <w:color w:val="auto"/>
          <w:vertAlign w:val="superscript"/>
        </w:rPr>
      </w:pPr>
      <w:r>
        <w:rPr>
          <w:rFonts w:ascii="Arial" w:cs="Arial" w:eastAsia="Arial" w:hAnsi="Arial"/>
          <w:sz w:val="13"/>
          <w:szCs w:val="13"/>
          <w:color w:val="auto"/>
        </w:rPr>
        <w:t>Free cash flow and free cash flow margin are non-GAAP financial measures. Free cash flow is defined as cash provided by (used in) operating activities less capital expenditures. Free cash flow margin is free cash flow as a percentage of revenue. See Appendix A for a calculation of free cash flow and a reconciliation of free cash flow to the most comparable GAAP financial measure.</w:t>
      </w:r>
    </w:p>
    <w:p>
      <w:pPr>
        <w:ind w:left="120" w:hanging="112"/>
        <w:spacing w:after="0" w:line="199" w:lineRule="auto"/>
        <w:tabs>
          <w:tab w:leader="none" w:pos="120"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Data based on Gartner reports and Company estimates based on Fiscal 2015 data. RF/Microwave is based on Company estimates and excludes consumer and cellular infrastructure power amplifiers.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 Highlights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Executive Compensation Program is designed to attract, motivate and retain top executive talent and align the interests of our executives and our shareholders. We accomplish this through the following steps:</w:t>
      </w:r>
    </w:p>
    <w:p>
      <w:pPr>
        <w:spacing w:after="0" w:line="51" w:lineRule="exact"/>
        <w:rPr>
          <w:sz w:val="20"/>
          <w:szCs w:val="20"/>
          <w:color w:val="auto"/>
        </w:rPr>
      </w:pPr>
    </w:p>
    <w:p>
      <w:pPr>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we ensure our executive compensation is competitive and attracts and retains top executive talent by understanding how the total target compensation (consisting of salary, bonus and equity awards) of our named executive officers, or NEOs, is benchmarked against the median total target compensation of those in similar positions within our peer group.</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then consider a variety of factors, including the scope of the role and the performance and experience of the individual when deciding how each NEO’s total target compensation compares to the median total target compensation of those in similar positions within our peer group.</w:t>
      </w:r>
    </w:p>
    <w:p>
      <w:pPr>
        <w:spacing w:after="0" w:line="4" w:lineRule="exact"/>
        <w:rPr>
          <w:rFonts w:ascii="Arial" w:cs="Arial" w:eastAsia="Arial" w:hAnsi="Arial"/>
          <w:sz w:val="16"/>
          <w:szCs w:val="16"/>
          <w:color w:val="auto"/>
        </w:rPr>
      </w:pPr>
    </w:p>
    <w:p>
      <w:pPr>
        <w:ind w:left="900" w:right="220" w:hanging="446"/>
        <w:spacing w:after="0" w:line="335"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structure our compensation package to align executives’ interests with those of our shareholders by tying a significant portion of their total compensation directly to ADI’s short- and long-term performance, measured by operating profit before taxes as a percentage of revenue, or OPBT margin and year-over-year revenue growth, which both drive shareholder value, stock price appreciation and relative total shareholder return.</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significant portion of our NEOs’ total compensation is variable and directly linked to Company performance in the form of variable cash incentive bonus payments and equity awards. This approach provides our executives with an opportunity to earn above peer average compensation if ADI delivers strong results. Similarly, our NEOs’ total compensation is suppressed if our business results are below target.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compensate our executives using the following elements: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1660" w:type="dxa"/>
            <w:vAlign w:val="bottom"/>
            <w:tcBorders>
              <w:top w:val="single" w:sz="8" w:color="auto"/>
              <w:lef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Element</w:t>
            </w:r>
          </w:p>
        </w:tc>
        <w:tc>
          <w:tcPr>
            <w:tcW w:w="1560" w:type="dxa"/>
            <w:vAlign w:val="bottom"/>
            <w:tcBorders>
              <w:top w:val="single" w:sz="8" w:color="auto"/>
              <w:right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5"/>
              </w:rPr>
              <w:t>Objective</w:t>
            </w:r>
          </w:p>
        </w:tc>
        <w:tc>
          <w:tcPr>
            <w:tcW w:w="22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Fixed/Variable</w:t>
            </w:r>
          </w:p>
        </w:tc>
        <w:tc>
          <w:tcPr>
            <w:tcW w:w="240" w:type="dxa"/>
            <w:vAlign w:val="bottom"/>
            <w:tcBorders>
              <w:top w:val="single" w:sz="8" w:color="auto"/>
              <w:right w:val="single" w:sz="8" w:color="auto"/>
            </w:tcBorders>
          </w:tcPr>
          <w:p>
            <w:pPr>
              <w:spacing w:after="0"/>
              <w:rPr>
                <w:sz w:val="14"/>
                <w:szCs w:val="14"/>
                <w:color w:val="auto"/>
              </w:rPr>
            </w:pPr>
          </w:p>
        </w:tc>
      </w:tr>
      <w:tr>
        <w:trPr>
          <w:trHeight w:val="20"/>
        </w:trPr>
        <w:tc>
          <w:tcPr>
            <w:tcW w:w="372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5320" w:type="dxa"/>
            <w:vAlign w:val="bottom"/>
            <w:tcBorders>
              <w:bottom w:val="single" w:sz="8" w:color="auto"/>
              <w:right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Base Salary</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Attract and retain talent and provide stable source of income.</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Cash Incentive Bonus Award</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Link pay and annual Company performance. Align executive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9"/>
              </w:rPr>
              <w:t>compensation with the financial performance of the Company and our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achievement of Company goals relating to OPBT margin and year-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over-year revenue growth, which are measured quarterly.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Long-Term Equity Compensation</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Link pay and long-term Company performance. Reward stock price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appreciation, promote long-term retention and permit executives to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accumulate equity ownership in the Company.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304"/>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Retirement and Other Employee Benefits</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Retain talent by providing financial protection and security.</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357"/>
        </w:trPr>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20" w:type="dxa"/>
            <w:vAlign w:val="bottom"/>
          </w:tcPr>
          <w:p>
            <w:pPr>
              <w:ind w:left="15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 Compensation Actions for 2016</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Each year, ADI’s Compensation Committee reviews our executive compensation program’s components, targets and payouts to ensure that our pay practices remain competitive and aligned with our performance goals. Our performance is evaluated against short- and long-term goals that support our business strategy and the creation of sustainable long-term shareholder value. These items are described in more detail beginning on page 33 of this proxy statement. With respect to our 2016 executive compensation program, we maintained challenging financial performance objectives for our variable cash incentive bonus plan based on our achievement of operating profit before taxes as a percentage of revenue, or OPBT margin and year-over-year revenue growth, which are measured quarterly and paid to executives and employees semi-annually. These financial performance objectives for our variable cash incentive bonus plan are established at the beginning of our fiscal year and align with our annual operating, financial and strategic objectives. Our equity program is comprised of performance-based restricted stock units, time-based restricted stock units and stock options, which together are designed to align the executives’ interests with our and our shareholders’ goals.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pay and governance practices are designed to align our executives’ interests with our shareholders. For example:</w:t>
      </w:r>
    </w:p>
    <w:p>
      <w:pPr>
        <w:sectPr>
          <w:pgSz w:w="11900" w:h="16838" w:orient="portrait"/>
          <w:cols w:equalWidth="0" w:num="1">
            <w:col w:w="11420"/>
          </w:cols>
          <w:pgMar w:left="240" w:top="280" w:right="239" w:bottom="1440" w:gutter="0" w:footer="0" w:header="0"/>
        </w:sectPr>
      </w:pPr>
    </w:p>
    <w:p>
      <w:pPr>
        <w:spacing w:after="0" w:line="266" w:lineRule="exact"/>
        <w:rPr>
          <w:sz w:val="20"/>
          <w:szCs w:val="20"/>
          <w:color w:val="auto"/>
        </w:rPr>
      </w:pPr>
    </w:p>
    <w:p>
      <w:pPr>
        <w:ind w:left="760" w:right="267" w:hanging="293"/>
        <w:spacing w:after="0" w:line="357"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do not guarantee salary increases or non-performance-based bonuses</w:t>
      </w:r>
    </w:p>
    <w:p>
      <w:pPr>
        <w:ind w:left="760" w:right="287" w:hanging="293"/>
        <w:spacing w:after="0" w:line="259"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cash incentive bonus awards are based solely on our financial performance</w:t>
      </w:r>
    </w:p>
    <w:p>
      <w:pPr>
        <w:spacing w:after="0" w:line="59" w:lineRule="exact"/>
        <w:rPr>
          <w:rFonts w:ascii="Arial" w:cs="Arial" w:eastAsia="Arial" w:hAnsi="Arial"/>
          <w:sz w:val="18"/>
          <w:szCs w:val="18"/>
          <w:color w:val="auto"/>
        </w:rPr>
      </w:pPr>
    </w:p>
    <w:p>
      <w:pPr>
        <w:ind w:left="760" w:right="387" w:hanging="293"/>
        <w:spacing w:after="0" w:line="306"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do not modify our performance targets during the year, even in challenging years</w:t>
      </w:r>
    </w:p>
    <w:p>
      <w:pPr>
        <w:spacing w:after="0" w:line="25" w:lineRule="exact"/>
        <w:rPr>
          <w:rFonts w:ascii="Arial" w:cs="Arial" w:eastAsia="Arial" w:hAnsi="Arial"/>
          <w:sz w:val="16"/>
          <w:szCs w:val="16"/>
          <w:color w:val="auto"/>
        </w:rPr>
      </w:pPr>
    </w:p>
    <w:p>
      <w:pPr>
        <w:ind w:left="760" w:right="347" w:hanging="293"/>
        <w:spacing w:after="0" w:line="268"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provide tax gross-ups for new executive officers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93" w:right="226" w:hanging="293"/>
        <w:spacing w:after="0" w:line="268" w:lineRule="auto"/>
        <w:tabs>
          <w:tab w:leader="none" w:pos="2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pay dividends on unvested equity awards</w:t>
      </w:r>
    </w:p>
    <w:p>
      <w:pPr>
        <w:spacing w:after="0" w:line="50" w:lineRule="exact"/>
        <w:rPr>
          <w:rFonts w:ascii="Arial" w:cs="Arial" w:eastAsia="Arial" w:hAnsi="Arial"/>
          <w:sz w:val="18"/>
          <w:szCs w:val="18"/>
          <w:color w:val="auto"/>
        </w:rPr>
      </w:pPr>
    </w:p>
    <w:p>
      <w:pPr>
        <w:jc w:val="both"/>
        <w:ind w:left="293" w:right="866" w:hanging="293"/>
        <w:spacing w:after="0" w:line="357" w:lineRule="auto"/>
        <w:tabs>
          <w:tab w:leader="none" w:pos="293"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do not provide extensive perquisites to our executives</w:t>
      </w:r>
    </w:p>
    <w:p>
      <w:pPr>
        <w:jc w:val="both"/>
        <w:ind w:left="293" w:right="186" w:hanging="293"/>
        <w:spacing w:after="0" w:line="259" w:lineRule="auto"/>
        <w:tabs>
          <w:tab w:leader="none" w:pos="2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equity grant date policy does not give executives or directors discretion to choose grant dates</w:t>
      </w:r>
    </w:p>
    <w:p>
      <w:pPr>
        <w:spacing w:after="0" w:line="59" w:lineRule="exact"/>
        <w:rPr>
          <w:rFonts w:ascii="Arial" w:cs="Arial" w:eastAsia="Arial" w:hAnsi="Arial"/>
          <w:sz w:val="18"/>
          <w:szCs w:val="18"/>
          <w:color w:val="auto"/>
        </w:rPr>
      </w:pPr>
    </w:p>
    <w:p>
      <w:pPr>
        <w:ind w:left="293" w:right="306" w:hanging="293"/>
        <w:spacing w:after="0" w:line="370" w:lineRule="auto"/>
        <w:tabs>
          <w:tab w:leader="none" w:pos="293"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have stock ownership guidelines for all officers and directors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ind w:left="294" w:right="220" w:hanging="294"/>
        <w:spacing w:after="0" w:line="332" w:lineRule="auto"/>
        <w:tabs>
          <w:tab w:leader="none" w:pos="29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prohibit hedging transactions and “short sales” involving ADI securities</w:t>
      </w:r>
    </w:p>
    <w:p>
      <w:pPr>
        <w:spacing w:after="0" w:line="4" w:lineRule="exact"/>
        <w:rPr>
          <w:rFonts w:ascii="Arial" w:cs="Arial" w:eastAsia="Arial" w:hAnsi="Arial"/>
          <w:sz w:val="16"/>
          <w:szCs w:val="16"/>
          <w:color w:val="auto"/>
        </w:rPr>
      </w:pPr>
    </w:p>
    <w:p>
      <w:pPr>
        <w:ind w:left="294" w:right="240" w:hanging="294"/>
        <w:spacing w:after="0" w:line="268" w:lineRule="auto"/>
        <w:tabs>
          <w:tab w:leader="none" w:pos="2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prohibit holding ADI securities in margin accounts</w:t>
      </w:r>
    </w:p>
    <w:p>
      <w:pPr>
        <w:spacing w:after="0" w:line="50" w:lineRule="exact"/>
        <w:rPr>
          <w:rFonts w:ascii="Arial" w:cs="Arial" w:eastAsia="Arial" w:hAnsi="Arial"/>
          <w:sz w:val="18"/>
          <w:szCs w:val="18"/>
          <w:color w:val="auto"/>
        </w:rPr>
      </w:pPr>
    </w:p>
    <w:p>
      <w:pPr>
        <w:ind w:left="294" w:right="160" w:hanging="294"/>
        <w:spacing w:after="0" w:line="268" w:lineRule="auto"/>
        <w:tabs>
          <w:tab w:leader="none" w:pos="2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prohibit pledging ADI securities as collateral for a loan</w:t>
      </w:r>
    </w:p>
    <w:p>
      <w:pPr>
        <w:spacing w:after="0" w:line="1145" w:lineRule="exact"/>
        <w:rPr>
          <w:sz w:val="20"/>
          <w:szCs w:val="20"/>
          <w:color w:val="auto"/>
        </w:rPr>
      </w:pPr>
    </w:p>
    <w:p>
      <w:pPr>
        <w:sectPr>
          <w:pgSz w:w="11900" w:h="16838" w:orient="portrait"/>
          <w:cols w:equalWidth="0" w:num="3">
            <w:col w:w="3627" w:space="720"/>
            <w:col w:w="3160" w:space="720"/>
            <w:col w:w="3194"/>
          </w:cols>
          <w:pgMar w:left="240" w:top="280" w:right="239" w:bottom="1440" w:gutter="0" w:footer="0" w:header="0"/>
          <w:type w:val="continuous"/>
        </w:sectPr>
      </w:pP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Say on Pay and Shareholder Engagement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2016, Analog Devices again received strong support for our executive compensation program with approximately 98.4% of votes cast approving our advisory “say on pay” resolution. We pay careful attention to feedback that we receive from our shareholders about our executive compensation program, including the “say on pay” vote. During the course of the year, we held in-person and telephonic meetings with a number of shareholders to discuss a variety of matters, including our executive compensation program and how they evaluate it. Our Compensation Committee carefully considers this feedback when making decisions regarding executive compensation.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Please see the Compensation Discussion and Analysis section beginning on page 33 of this proxy statement for a more detailed description of our executive compensation program, philosophy and design.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type w:val="continuous"/>
        </w:sectPr>
      </w:pPr>
    </w:p>
    <w:bookmarkStart w:id="10" w:name="page11"/>
    <w:bookmarkEnd w:id="10"/>
    <w:p>
      <w:pPr>
        <w:ind w:left="3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ANNUAL MEETING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90" w:lineRule="exact"/>
        <w:rPr>
          <w:sz w:val="20"/>
          <w:szCs w:val="20"/>
          <w:color w:val="auto"/>
        </w:rPr>
      </w:pPr>
    </w:p>
    <w:p>
      <w:pPr>
        <w:ind w:right="540" w:firstLine="464"/>
        <w:spacing w:after="0" w:line="268"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election of the nine nominees named in this proxy statement to our Board of Directors, each for a term expiring at the next annual meeting of shareholders.</w:t>
      </w:r>
    </w:p>
    <w:p>
      <w:pPr>
        <w:spacing w:after="0" w:line="50" w:lineRule="exact"/>
        <w:rPr>
          <w:rFonts w:ascii="Arial" w:cs="Arial" w:eastAsia="Arial" w:hAnsi="Arial"/>
          <w:sz w:val="18"/>
          <w:szCs w:val="18"/>
          <w:color w:val="auto"/>
        </w:rPr>
      </w:pPr>
    </w:p>
    <w:p>
      <w:pPr>
        <w:ind w:right="20" w:firstLine="464"/>
        <w:spacing w:after="0" w:line="268"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50" w:lineRule="exact"/>
        <w:rPr>
          <w:rFonts w:ascii="Arial" w:cs="Arial" w:eastAsia="Arial" w:hAnsi="Arial"/>
          <w:sz w:val="18"/>
          <w:szCs w:val="18"/>
          <w:color w:val="auto"/>
        </w:rPr>
      </w:pPr>
    </w:p>
    <w:p>
      <w:pPr>
        <w:ind w:right="200" w:firstLine="464"/>
        <w:spacing w:after="0" w:line="268"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hold a non-binding “say on frequency” vote, regarding the frequency of future advisory votes on the compensation of our named executive officers (every year, every two years or every three years).</w:t>
      </w:r>
    </w:p>
    <w:p>
      <w:pPr>
        <w:spacing w:after="0" w:line="50" w:lineRule="exact"/>
        <w:rPr>
          <w:rFonts w:ascii="Arial" w:cs="Arial" w:eastAsia="Arial" w:hAnsi="Arial"/>
          <w:sz w:val="18"/>
          <w:szCs w:val="18"/>
          <w:color w:val="auto"/>
        </w:rPr>
      </w:pPr>
    </w:p>
    <w:p>
      <w:pPr>
        <w:ind w:right="60" w:firstLine="464"/>
        <w:spacing w:after="0" w:line="268"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October 28, 2017, or 2017 fiscal year.</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shareholders will also act on any other business that may properly come before the meeting or any postponement, adjournment, rescheduling or continuation of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To be able to vote, you must have been an Analog Devices shareholder of record at the close of business on January 9, 2017. This date is the record date for the Annual Meeting. The number of outstanding shares entitled to vote on each proposal at the Annual Meeting is 309,077,439 shares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share of our common stock that you own on the record date entitles you to one vote on each matter that is voted 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broker or other nominee, you may vote in one of four ways.</w:t>
      </w:r>
    </w:p>
    <w:p>
      <w:pPr>
        <w:spacing w:after="0" w:line="51" w:lineRule="exact"/>
        <w:rPr>
          <w:sz w:val="20"/>
          <w:szCs w:val="20"/>
          <w:color w:val="auto"/>
        </w:rPr>
      </w:pPr>
    </w:p>
    <w:p>
      <w:pPr>
        <w:ind w:right="220" w:firstLine="464"/>
        <w:spacing w:after="0" w:line="268" w:lineRule="auto"/>
        <w:tabs>
          <w:tab w:leader="none" w:pos="70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 the Internet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on the Notice or the proxy card.</w:t>
      </w:r>
    </w:p>
    <w:p>
      <w:pPr>
        <w:spacing w:after="0" w:line="50" w:lineRule="exact"/>
        <w:rPr>
          <w:rFonts w:ascii="Arial" w:cs="Arial" w:eastAsia="Arial" w:hAnsi="Arial"/>
          <w:sz w:val="18"/>
          <w:szCs w:val="18"/>
          <w:i w:val="1"/>
          <w:iCs w:val="1"/>
          <w:color w:val="auto"/>
        </w:rPr>
      </w:pPr>
    </w:p>
    <w:p>
      <w:pPr>
        <w:ind w:left="720" w:hanging="256"/>
        <w:spacing w:after="0"/>
        <w:tabs>
          <w:tab w:leader="none" w:pos="7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 following the telephone voting instructions on the Notice or the proxy card.</w:t>
      </w:r>
    </w:p>
    <w:p>
      <w:pPr>
        <w:spacing w:after="0" w:line="90" w:lineRule="exact"/>
        <w:rPr>
          <w:rFonts w:ascii="Arial" w:cs="Arial" w:eastAsia="Arial" w:hAnsi="Arial"/>
          <w:sz w:val="18"/>
          <w:szCs w:val="18"/>
          <w:i w:val="1"/>
          <w:iCs w:val="1"/>
          <w:color w:val="auto"/>
        </w:rPr>
      </w:pPr>
    </w:p>
    <w:p>
      <w:pPr>
        <w:ind w:right="20" w:firstLine="464"/>
        <w:spacing w:after="0" w:line="294" w:lineRule="auto"/>
        <w:tabs>
          <w:tab w:leader="none" w:pos="705"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You may vote by mail. </w:t>
      </w:r>
      <w:r>
        <w:rPr>
          <w:rFonts w:ascii="Arial" w:cs="Arial" w:eastAsia="Arial" w:hAnsi="Arial"/>
          <w:sz w:val="16"/>
          <w:szCs w:val="16"/>
          <w:color w:val="auto"/>
        </w:rPr>
        <w:t>If you received a printed proxy card, you may vote by completing and signing the proxy card and promptly mailing it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6"/>
          <w:szCs w:val="16"/>
          <w:b w:val="1"/>
          <w:bCs w:val="1"/>
          <w:color w:val="auto"/>
        </w:rPr>
        <w:t>If you return the proxy card, but do not give any instructions on a particular matter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described in this proxy statement, the shares you own will be voted in accordance with the recommendations of our Board of Directors. </w:t>
      </w:r>
      <w:r>
        <w:rPr>
          <w:rFonts w:ascii="Arial" w:cs="Arial" w:eastAsia="Arial" w:hAnsi="Arial"/>
          <w:sz w:val="16"/>
          <w:szCs w:val="16"/>
          <w:color w:val="auto"/>
        </w:rPr>
        <w:t>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recommends that you vote FOR Proposals 1, 2 and 4 and for EVERY YEAR on Proposal 3.</w:t>
      </w:r>
    </w:p>
    <w:p>
      <w:pPr>
        <w:spacing w:after="0" w:line="34" w:lineRule="exact"/>
        <w:rPr>
          <w:rFonts w:ascii="Arial" w:cs="Arial" w:eastAsia="Arial" w:hAnsi="Arial"/>
          <w:sz w:val="16"/>
          <w:szCs w:val="16"/>
          <w:i w:val="1"/>
          <w:iCs w:val="1"/>
          <w:color w:val="auto"/>
        </w:rPr>
      </w:pPr>
    </w:p>
    <w:p>
      <w:pPr>
        <w:ind w:right="120" w:firstLine="464"/>
        <w:spacing w:after="0" w:line="268" w:lineRule="auto"/>
        <w:tabs>
          <w:tab w:leader="none" w:pos="70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Annual Meeting, you may vote by delivering your completed proxy card in person or by completing a ballot.</w:t>
      </w:r>
      <w:r>
        <w:rPr>
          <w:rFonts w:ascii="Arial" w:cs="Arial" w:eastAsia="Arial" w:hAnsi="Arial"/>
          <w:sz w:val="18"/>
          <w:szCs w:val="18"/>
          <w:i w:val="1"/>
          <w:iCs w:val="1"/>
          <w:color w:val="auto"/>
        </w:rPr>
        <w:t xml:space="preserve"> </w:t>
      </w:r>
      <w:r>
        <w:rPr>
          <w:rFonts w:ascii="Arial" w:cs="Arial" w:eastAsia="Arial" w:hAnsi="Arial"/>
          <w:sz w:val="18"/>
          <w:szCs w:val="18"/>
          <w:color w:val="auto"/>
        </w:rPr>
        <w:t>Ballots will be available at the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 w:name="page12"/>
    <w:bookmarkEnd w:id="11"/>
    <w:p>
      <w:pPr>
        <w:ind w:right="1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note that you cannot vote by marking up the Notice of Internet Availability of the Proxy Materials and mailing the Notice back. Any votes returned in that manner will not be counted.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If the Analog Devices shares that you own are held in “street name” by a bank, broker or 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voting over the Internet or by telephone, instructions for which would be provided by your bank, broker or other nominee on your vote instruction form.</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If you hold shares through an account with a broker, the voting of shares by such broker when you do not provide voting instructions is governed by applicable stock exchange rules. These rules allow brokers to vote shares at their discretion on “routine” matters for which their customers do not provide voting instructions. On matters that are considered “non-routine,” brokers may not vote shares without your instruction. The ratification of Ernst &amp; Young LLP as our independent registered public accounting firm (Proposal 4) is considered a “routine” matter and your broker will be able to vote on that proposal even if it does not receive instructions from you, so long as it holds your shares in its name. </w:t>
      </w:r>
      <w:r>
        <w:rPr>
          <w:rFonts w:ascii="Arial" w:cs="Arial" w:eastAsia="Arial" w:hAnsi="Arial"/>
          <w:sz w:val="16"/>
          <w:szCs w:val="16"/>
          <w:b w:val="1"/>
          <w:bCs w:val="1"/>
          <w:color w:val="auto"/>
        </w:rPr>
        <w:t>The election of directors (Proposal 1) and the “say on pay” and the “say 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frequency” advisory votes (Proposals 2 and 3) are “non-routine” matters. If you do not instruct your bank, broker or other nominee how to vote with respect to these proposals, your bank, broker or other nominee may not vote with respect to these proposals and those votes will be counted as “broker non-votes.” </w:t>
      </w:r>
      <w:r>
        <w:rPr>
          <w:rFonts w:ascii="Arial" w:cs="Arial" w:eastAsia="Arial" w:hAnsi="Arial"/>
          <w:sz w:val="16"/>
          <w:szCs w:val="16"/>
          <w:color w:val="auto"/>
        </w:rPr>
        <w:t>“Broker non-votes” are shares that are held in “street name” by a bank, broker or other nominee that indicates on its proxy that it does not have or did</w:t>
      </w:r>
      <w:r>
        <w:rPr>
          <w:rFonts w:ascii="Arial" w:cs="Arial" w:eastAsia="Arial" w:hAnsi="Arial"/>
          <w:sz w:val="16"/>
          <w:szCs w:val="16"/>
          <w:b w:val="1"/>
          <w:bCs w:val="1"/>
          <w:color w:val="auto"/>
        </w:rPr>
        <w:t xml:space="preserve"> </w:t>
      </w:r>
      <w:r>
        <w:rPr>
          <w:rFonts w:ascii="Arial" w:cs="Arial" w:eastAsia="Arial" w:hAnsi="Arial"/>
          <w:sz w:val="16"/>
          <w:szCs w:val="16"/>
          <w:color w:val="auto"/>
        </w:rPr>
        <w:t>not exercise discretionary authority to vote on a particular proposal.</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your shares are held in “street name,” you must bring an account statement or letter from your broker or other nominee, showing that you are the beneficial owner of the shares as of the record date (January 9, 2017) in order to be admitted to the Annual Meeting on March 8, 2017. To be able to vote your shares held in “street name” at the Annual Meeting, you will need to obtain a legal proxy from your bank, broker or other nominee, issued in your name giving you the right to vote your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Yes. If you are the “record holder” of your shares, you can revoke your proxy or change your vote at any time before the polls close at the Annual Meeting by doing any one of the following things:</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over the Internet or by telephone as instructed above (only your latest Internet or telephone vote is counted);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signing and returning another proxy card with a later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attending the Annual Meeting, requesting that your proxy be revoked and voting in person as instructed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your shares are held in “street name,” you may submit a new, later-dated vote instruction form or contact your bank, broker or other nominee. You may also vote in person at the Annual Meeting if you obtain a legal proxy as described in the answer to the question above entitled “Can I vote if my shares are held in ‘street name’”?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do I vote my shares held in trust in the Analog Ireland Success Sharing Share Plan?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you participate in the Analog Ireland Success Sharing Share Plan, which we refer to as the Ireland share plan, you may instruct Irish Pensions Trust Limited, which serves as the trustee of the Ireland share plan, to vote the amount of shares of common stock that they hold on your behalf as of the record date. You will receive a voting card that you may use to direct Mercer Ireland Limited, or Mercer, which administers the Irish share plan on behalf of Irish Pensions Trust Limited, how to vote your shares. You should sign the voting card and return it to Mercer in the envelope provided. Mercer will vote the shares in the manner that you direct on the voting card. If Mercer does not receive your voting card by 5:00 p.m. Greenwich Mean Time (GMT) on March 1, 2017, Mercer will not vote your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9, 2017, the record date, or at least 154,538,720 shares.</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quorum is not present, the Annual Meeting will be adjourned until a quorum is obtained.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Under our bylaws, a nominee will be elected to the Board of Directors if the votes cast “for” the nominee’s election exceed the votes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w:t>
      </w:r>
      <w:r>
        <w:rPr>
          <w:rFonts w:ascii="Arial" w:cs="Arial" w:eastAsia="Arial" w:hAnsi="Arial"/>
          <w:sz w:val="16"/>
          <w:szCs w:val="16"/>
          <w:b w:val="1"/>
          <w:bCs w:val="1"/>
          <w:color w:val="auto"/>
        </w:rPr>
        <w:t>If you do not instruct your bank, broker or other nominee how to vote with respect to this proposal, your bank, broker or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nominee may not vote your shares with respect to the election of directors. </w:t>
      </w:r>
      <w:r>
        <w:rPr>
          <w:rFonts w:ascii="Arial" w:cs="Arial" w:eastAsia="Arial" w:hAnsi="Arial"/>
          <w:sz w:val="16"/>
          <w:szCs w:val="16"/>
          <w:color w:val="auto"/>
        </w:rPr>
        <w:t>If an incumbent director nominee in an uncontested election of directors receives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of votes “against” his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“Say on Pay.” </w:t>
      </w:r>
      <w:r>
        <w:rPr>
          <w:rFonts w:ascii="Arial" w:cs="Arial" w:eastAsia="Arial" w:hAnsi="Arial"/>
          <w:sz w:val="16"/>
          <w:szCs w:val="16"/>
          <w:color w:val="auto"/>
        </w:rPr>
        <w:t>Our Board of Directors is seeking a non-binding advisory vote regarding the compensation of our named executive officers, as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Compensation Discussion and Analysis,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Committee will take into account the outcome of the vote when considering future executive compensation arrangements. </w:t>
      </w:r>
      <w:r>
        <w:rPr>
          <w:rFonts w:ascii="Arial" w:cs="Arial" w:eastAsia="Arial" w:hAnsi="Arial"/>
          <w:sz w:val="16"/>
          <w:szCs w:val="16"/>
          <w:b w:val="1"/>
          <w:bCs w:val="1"/>
          <w:color w:val="auto"/>
        </w:rPr>
        <w:t>If you do not instruct your bank, broker or other nominee how to vote with respect to this proposal, your bank, broker or other nominee</w:t>
      </w:r>
      <w:r>
        <w:rPr>
          <w:rFonts w:ascii="Arial" w:cs="Arial" w:eastAsia="Arial" w:hAnsi="Arial"/>
          <w:sz w:val="16"/>
          <w:szCs w:val="16"/>
          <w:color w:val="auto"/>
        </w:rPr>
        <w:t xml:space="preserve"> </w:t>
      </w:r>
      <w:r>
        <w:rPr>
          <w:rFonts w:ascii="Arial" w:cs="Arial" w:eastAsia="Arial" w:hAnsi="Arial"/>
          <w:sz w:val="16"/>
          <w:szCs w:val="16"/>
          <w:b w:val="1"/>
          <w:bCs w:val="1"/>
          <w:color w:val="auto"/>
        </w:rPr>
        <w:t>may not vote your shares with respect to this proposal.</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“Say on Frequency</w:t>
      </w:r>
      <w:r>
        <w:rPr>
          <w:rFonts w:ascii="Arial" w:cs="Arial" w:eastAsia="Arial" w:hAnsi="Arial"/>
          <w:sz w:val="16"/>
          <w:szCs w:val="16"/>
          <w:color w:val="auto"/>
        </w:rPr>
        <w:t>.” Our Board of Directors is seeking a non-binding advisory vote regarding whether shareholders prefer to hold an advisory vote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program of our named executive officers once every year, once every two years or once every three years. In 2011, our shareholders voted to hold this vote annually. The vote is advisory and non-binding in nature, but our Board of Directors has decided to adopt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 w:name="page14"/>
    <w:bookmarkEnd w:id="13"/>
    <w:p>
      <w:pPr>
        <w:ind w:right="4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frequency that receives the greatest level of support from our shareholders. </w:t>
      </w:r>
      <w:r>
        <w:rPr>
          <w:rFonts w:ascii="Arial" w:cs="Arial" w:eastAsia="Arial" w:hAnsi="Arial"/>
          <w:sz w:val="18"/>
          <w:szCs w:val="18"/>
          <w:b w:val="1"/>
          <w:bCs w:val="1"/>
          <w:color w:val="auto"/>
        </w:rPr>
        <w:t>If you do not instruct your bank, broker or other nominee how to vote with</w:t>
      </w:r>
      <w:r>
        <w:rPr>
          <w:rFonts w:ascii="Arial" w:cs="Arial" w:eastAsia="Arial" w:hAnsi="Arial"/>
          <w:sz w:val="18"/>
          <w:szCs w:val="18"/>
          <w:color w:val="auto"/>
        </w:rPr>
        <w:t xml:space="preserve"> </w:t>
      </w:r>
      <w:r>
        <w:rPr>
          <w:rFonts w:ascii="Arial" w:cs="Arial" w:eastAsia="Arial" w:hAnsi="Arial"/>
          <w:sz w:val="18"/>
          <w:szCs w:val="18"/>
          <w:b w:val="1"/>
          <w:bCs w:val="1"/>
          <w:color w:val="auto"/>
        </w:rPr>
        <w:t>respect to this item, your bank, broker or other nominee may not vote with respect to this proposal.</w:t>
      </w:r>
    </w:p>
    <w:p>
      <w:pPr>
        <w:spacing w:after="0" w:line="1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affirmative vote of a majority of the total number of votes cast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proposal is needed to ratify the selection of Ernst &amp; Young LLP as our independent registered public accounting firm for the 2017 fiscal year. </w:t>
      </w:r>
      <w:r>
        <w:rPr>
          <w:rFonts w:ascii="Arial" w:cs="Arial" w:eastAsia="Arial" w:hAnsi="Arial"/>
          <w:sz w:val="18"/>
          <w:szCs w:val="18"/>
          <w:b w:val="1"/>
          <w:bCs w:val="1"/>
          <w:color w:val="auto"/>
        </w:rPr>
        <w:t>Even if you do not</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 your bank, broker or other nominee how to vote with respect to this proposal, your bank, broker or other nominee may vote your shares with respect to this proposal.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share of common stock will be counted as one vote according to the instructions contained on a properly completed proxy card, whether submitted in person, by mail, over the Internet or by telephone, or on a ballot voted in person at the Annual Meeting. With respect to all proposals, shares will not be voted in favor of the matter, and will not be counted as voting on the matter, if they either (1) abstain from voting on a particular matter, or (2) are “broker non-votes.” Banks, brokers and other nominees who do not receive instructions with respect to Proposals 1, 2 or 3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tabulated and certified by Broadridge.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84"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nine nominees to serve as directors on the Board of Directors, each for a term expiring at the next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(Proposal 1);</w:t>
      </w:r>
    </w:p>
    <w:p>
      <w:pPr>
        <w:spacing w:after="0" w:line="120"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by non-binding “say on pay” vote, of the compensation of our named executive officers, as described in the Compensation Discussion</w:t>
      </w:r>
      <w:r>
        <w:rPr>
          <w:rFonts w:ascii="Arial" w:cs="Arial" w:eastAsia="Arial" w:hAnsi="Arial"/>
          <w:sz w:val="16"/>
          <w:szCs w:val="16"/>
          <w:b w:val="1"/>
          <w:bCs w:val="1"/>
          <w:color w:val="auto"/>
        </w:rPr>
        <w:t xml:space="preserve"> </w:t>
      </w:r>
      <w:r>
        <w:rPr>
          <w:rFonts w:ascii="Arial" w:cs="Arial" w:eastAsia="Arial" w:hAnsi="Arial"/>
          <w:sz w:val="16"/>
          <w:szCs w:val="16"/>
          <w:color w:val="auto"/>
        </w:rPr>
        <w:t>and Analysis, executive compensation tables and accompanying narrative disclosures contained in this proxy statement (Proposal 2);</w:t>
      </w:r>
    </w:p>
    <w:p>
      <w:pPr>
        <w:spacing w:after="0" w:line="7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an advisory vote</w:t>
      </w:r>
      <w:r>
        <w:rPr>
          <w:rFonts w:ascii="Arial" w:cs="Arial" w:eastAsia="Arial" w:hAnsi="Arial"/>
          <w:sz w:val="18"/>
          <w:szCs w:val="18"/>
          <w:b w:val="1"/>
          <w:bCs w:val="1"/>
          <w:color w:val="auto"/>
        </w:rPr>
        <w:t xml:space="preserve"> EVERY YEAR </w:t>
      </w:r>
      <w:r>
        <w:rPr>
          <w:rFonts w:ascii="Arial" w:cs="Arial" w:eastAsia="Arial" w:hAnsi="Arial"/>
          <w:sz w:val="18"/>
          <w:szCs w:val="18"/>
          <w:color w:val="auto"/>
        </w:rPr>
        <w:t>on the compensation of our named executive officers, consistent with our practice over the last six years (Proposal</w:t>
      </w:r>
      <w:r>
        <w:rPr>
          <w:rFonts w:ascii="Arial" w:cs="Arial" w:eastAsia="Arial" w:hAnsi="Arial"/>
          <w:sz w:val="18"/>
          <w:szCs w:val="18"/>
          <w:b w:val="1"/>
          <w:bCs w:val="1"/>
          <w:color w:val="auto"/>
        </w:rPr>
        <w:t xml:space="preserve"> </w:t>
      </w:r>
      <w:r>
        <w:rPr>
          <w:rFonts w:ascii="Arial" w:cs="Arial" w:eastAsia="Arial" w:hAnsi="Arial"/>
          <w:sz w:val="18"/>
          <w:szCs w:val="18"/>
          <w:color w:val="auto"/>
        </w:rPr>
        <w:t>3); and</w:t>
      </w:r>
    </w:p>
    <w:p>
      <w:pPr>
        <w:spacing w:after="0" w:line="120" w:lineRule="exact"/>
        <w:rPr>
          <w:sz w:val="20"/>
          <w:szCs w:val="20"/>
          <w:color w:val="auto"/>
        </w:rPr>
      </w:pPr>
    </w:p>
    <w:p>
      <w:pPr>
        <w:jc w:val="center"/>
        <w:ind w:left="360" w:right="340"/>
        <w:spacing w:after="0" w:line="44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 our independent registered public accounting firm for the 2017 fiscal year (Proposal 4).</w:t>
      </w:r>
      <w:r>
        <w:rPr>
          <w:rFonts w:ascii="Arial" w:cs="Arial" w:eastAsia="Arial" w:hAnsi="Arial"/>
          <w:sz w:val="18"/>
          <w:szCs w:val="18"/>
          <w:b w:val="1"/>
          <w:bCs w:val="1"/>
          <w:color w:val="auto"/>
        </w:rPr>
        <w:t xml:space="preserve"> </w:t>
      </w: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any other matters be voted on at this meeting?</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No. Under the laws of Massachusetts,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6"/>
          <w:szCs w:val="16"/>
          <w:b w:val="1"/>
          <w:bCs w:val="1"/>
          <w:i w:val="1"/>
          <w:iCs w:val="1"/>
          <w:color w:val="auto"/>
        </w:rPr>
        <w:t>“How and when may I submit a shareholder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proposal, including a shareholder nomination for director, for the 2018 annual meeting of shareholders?” </w:t>
      </w:r>
      <w:r>
        <w:rPr>
          <w:rFonts w:ascii="Arial" w:cs="Arial" w:eastAsia="Arial" w:hAnsi="Arial"/>
          <w:sz w:val="16"/>
          <w:szCs w:val="16"/>
          <w:color w:val="auto"/>
        </w:rPr>
        <w:t>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report the voting results in a Form 8-K filed with the SEC within four business days after the end of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and when may I submit a shareholder proposal, including a shareholder nomination for director, for the 2018 annual meeting of shareholders?</w:t>
      </w:r>
    </w:p>
    <w:p>
      <w:pPr>
        <w:spacing w:after="0" w:line="11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you are interested in submitting a proposal for inclusion in our proxy statement for the 2018 annual meeting, you need to follow the procedures outlined in Rule 14a-8 of the Securities Exchange Act of 1934, or the Exchange Act. To be eligible for inclusion, we must receive your shareholder proposal for our proxy statement for the 2018 annual meeting of shareholders at our principal corporate offices in Norwood, Massachusetts at the address below no later than September 27, 2017.</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w:t>
      </w:r>
    </w:p>
    <w:p>
      <w:pPr>
        <w:spacing w:after="0" w:line="1"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Assuming that the 2018 annual meeting is not advanced by more than 20 days nor delayed by more than 60 days from the anniversary date of the 2017 annual meeting, you would need to give us appropriate notice at the address noted below no earlier than November 8, 2017, and no later than December 8, 2017. If a shareholder does not provide timely notice of a nomination or other matter to be presented at the 2018 annual meeting, under Massachusetts law, it may not be brought before our shareholders at a meeting.</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bylaws is on file with the SEC and publicly available on our website.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proposals, nominations or notices should be sent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Margaret K. Seif, Secretary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781-461-3367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margaret.seif@analog.com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 and who will pay?</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bear the costs of solicitation of proxies. We have engaged Alliance Advisors LLC to assist us with the solicitation of proxies and expect to pay Alliance Advisors approximately $11,500 for their services.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5" w:name="page16"/>
    <w:bookmarkEnd w:id="1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but no proxy materials?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year we are distributing our proxy materials to stockholders via the Internet under the “Notice and Access” approach permitted by the rules of the U.S. Securities and Exchange Commission, or SEC. This approach expedites stockholders’ receipt of proxy materials while conserving natural resources and reducing our distribution costs. On or about January 25, 2017, we mailed a Notice of Internet Availability of Proxy Materials containing instructions on how to access the proxy materials on the Internet to participating stockholders, and if desired, to request to receive a paper copy of our proxy materials by mail.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Annual Report on Form 10-K for the fiscal year ended October 29, 2016, or fiscal 2016, is available on our website at www.analog.com. If you would like a copy of our Annual Report on Form 10-K for fiscal 2016 and/or any of its exhibits, we will send you such materials without charge. Please contact:</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of Investor Relations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investor.relations@analog.com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our Director of Investor Relations, at the address, telephone number or email address listed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Director of Investor Relations, Analog Devices, Inc., One Technology Way, Norwood, Massachusetts 02062,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6" w:name="page17"/>
    <w:bookmarkEnd w:id="16"/>
    <w:p>
      <w:pPr>
        <w:ind w:left="2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contains information regarding the beneficial ownership of our common stock as of January 16, 2017 (unless otherwise specified) by:</w:t>
      </w:r>
    </w:p>
    <w:p>
      <w:pPr>
        <w:spacing w:after="0" w:line="113"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Acquirable</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612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Name and Address of Beneficial Owner(1)</w:t>
            </w: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within 60</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Beneficial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61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Owned(2)</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Days(3)</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Ownership</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Owned(4)</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20" w:type="dxa"/>
            <w:vAlign w:val="bottom"/>
          </w:tcPr>
          <w:p>
            <w:pPr>
              <w:ind w:left="440"/>
              <w:spacing w:after="0"/>
              <w:rPr>
                <w:sz w:val="20"/>
                <w:szCs w:val="20"/>
                <w:color w:val="auto"/>
              </w:rPr>
            </w:pPr>
            <w:r>
              <w:rPr>
                <w:rFonts w:ascii="Arial" w:cs="Arial" w:eastAsia="Arial" w:hAnsi="Arial"/>
                <w:sz w:val="18"/>
                <w:szCs w:val="18"/>
                <w:color w:val="auto"/>
              </w:rPr>
              <w:t>Capital World Investors(5)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22,470,510</w:t>
            </w:r>
          </w:p>
        </w:tc>
        <w:tc>
          <w:tcPr>
            <w:tcW w:w="50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22,470,510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120" w:type="dxa"/>
            <w:vAlign w:val="bottom"/>
          </w:tcPr>
          <w:p>
            <w:pPr>
              <w:ind w:left="880"/>
              <w:spacing w:after="0"/>
              <w:rPr>
                <w:sz w:val="20"/>
                <w:szCs w:val="20"/>
                <w:color w:val="auto"/>
              </w:rPr>
            </w:pPr>
            <w:r>
              <w:rPr>
                <w:rFonts w:ascii="Arial" w:cs="Arial" w:eastAsia="Arial" w:hAnsi="Arial"/>
                <w:sz w:val="18"/>
                <w:szCs w:val="18"/>
                <w:color w:val="auto"/>
              </w:rPr>
              <w:t>333 South Hope Street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880"/>
              <w:spacing w:after="0"/>
              <w:rPr>
                <w:sz w:val="20"/>
                <w:szCs w:val="20"/>
                <w:color w:val="auto"/>
              </w:rPr>
            </w:pPr>
            <w:r>
              <w:rPr>
                <w:rFonts w:ascii="Arial" w:cs="Arial" w:eastAsia="Arial" w:hAnsi="Arial"/>
                <w:sz w:val="18"/>
                <w:szCs w:val="18"/>
                <w:color w:val="auto"/>
              </w:rPr>
              <w:t>Los Angles, California 90071</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Group Inc.(6)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22,207,137</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22,207,137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8"/>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PO Box 2600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Valley Forge, Pennsylvania 19482</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BlackRock, Inc.(7)</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19,214,512</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19,214,512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55 East 52nd Street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New York, New York 10055</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120" w:type="dxa"/>
            <w:vAlign w:val="bottom"/>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M. Beyer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34,360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James A. Champy(8)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84,210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67,560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151,770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Bruce R. Evans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26,790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41,530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Edward H. Frank</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2,820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25,190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28,010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Rick D. Hess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35,085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30,998</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66,083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John C. Hodgson(9)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10,285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72,560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82,845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 M. Little(10)</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Neil Novich</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18,435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86,863</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105,298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Peter Real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107,912</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115,416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Vincent Roche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32,323</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489,219</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521,542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Kenton J. Sicchitano</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93,495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Ray Stata(11)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1,518,467</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40,970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1,559,437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Lisa T. Su</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52,305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David A. Zinsner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20,897</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237,276</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258,173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88"/>
              </w:rPr>
              <w:t>All directors and executive officers as a group (19 persons, consisting of 9 officers and</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 non-employee</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directors)(12)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1,806,465</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1,568,772</w:t>
            </w:r>
          </w:p>
        </w:tc>
        <w:tc>
          <w:tcPr>
            <w:tcW w:w="5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3,375,237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our common stock.</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Unless otherwise indicated, the address of each beneficial owner listed is c/o Analog Devices, Inc., One Technology Way, Norwood, Massachusetts 02062.</w:t>
      </w:r>
    </w:p>
    <w:p>
      <w:pPr>
        <w:spacing w:after="0" w:line="43" w:lineRule="exact"/>
        <w:rPr>
          <w:rFonts w:ascii="Arial" w:cs="Arial" w:eastAsia="Arial" w:hAnsi="Arial"/>
          <w:sz w:val="15"/>
          <w:szCs w:val="15"/>
          <w:color w:val="auto"/>
        </w:rPr>
      </w:pPr>
    </w:p>
    <w:p>
      <w:pPr>
        <w:ind w:left="460" w:right="100" w:hanging="452"/>
        <w:spacing w:after="0" w:line="30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left="460" w:right="120" w:hanging="452"/>
        <w:spacing w:after="0" w:line="283"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16, 2017.</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 ownership for each shareholder on January 16, 2017 is calculated by dividing (1) the total number of shares beneficially owned by the shareholder by (2) the number of shares of our common stock outstanding on January 16, 2017 (309,084,663 shares) plus any shares acquirable (including exercisable stock options) by the shareholder in question within 60 days after January 16, 2017.</w:t>
      </w:r>
    </w:p>
    <w:p>
      <w:pPr>
        <w:spacing w:after="0" w:line="1" w:lineRule="exact"/>
        <w:rPr>
          <w:rFonts w:ascii="Arial" w:cs="Arial" w:eastAsia="Arial" w:hAnsi="Arial"/>
          <w:sz w:val="18"/>
          <w:szCs w:val="18"/>
          <w:color w:val="auto"/>
        </w:rPr>
      </w:pPr>
    </w:p>
    <w:p>
      <w:pPr>
        <w:ind w:left="460" w:right="40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solely on a Form 13F-HR filed by Capital World Investors on November 14, 2016 reporting stock ownership as of September 30, 2016. Capital World Investors also reported that, as of September 30, 2016, it had sole voting and shared investment power for 22,470,510 shares.</w:t>
      </w:r>
    </w:p>
    <w:p>
      <w:pPr>
        <w:spacing w:after="0" w:line="1" w:lineRule="exact"/>
        <w:rPr>
          <w:rFonts w:ascii="Arial" w:cs="Arial" w:eastAsia="Arial" w:hAnsi="Arial"/>
          <w:sz w:val="16"/>
          <w:szCs w:val="16"/>
          <w:color w:val="auto"/>
        </w:rPr>
      </w:pPr>
    </w:p>
    <w:p>
      <w:pPr>
        <w:ind w:left="460" w:right="24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solely on a Form 13F-HR/A filed by Vanguard Group Inc. on November 14, 2016 reporting stock ownership as of September 30, 2016. The Vanguard Group also reported that, as of September 30, 2016, it had sole voting power for 554,343 shares, sole investment power for 21,601,143 shares, shared voting power for 63,618 shares, shared investment power for 605,994 shares and no voting power with respect to 21,589,176 shares.</w:t>
      </w:r>
    </w:p>
    <w:p>
      <w:pPr>
        <w:spacing w:after="0" w:line="2"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solely on a Schedule 13G/A filed by BlackRock, Inc. on January 19, 2017 reporting stock ownership as of December 31, 2016. BlackRock, Inc. also reported that, as of December 31, 2016, it had sole voting power for 16,511,325 shares and sole dispositive power for 19,214,512 shares.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69,025 shares held in trust for the benefit of Mr. Champy’s spouse and son, as to which Mr. Champy disclaims beneficial ownership.</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900 shares held as custodian under UTMA accounts for the benefit of Mr. Hodgson’s grandchildren, as to which Mr. Hodgson disclaims beneficial ownership.</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 Little was elected as a director on January 17, 2017.</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858,709 shares held by Mr. Stata’s spouse and 1,850 shares held by a family LLC, as to which Mr. Stata disclaims beneficial ownership. All of the shares held by Mr. Stata’s spouse and 240,906 shares held directly by Mr. Stata are pledged as collateral for a line of credit from a bank. Since January 2013, we have prohibited our directors and executive officers from future pledging of their Company securities as collateral for a loan.</w:t>
      </w:r>
    </w:p>
    <w:p>
      <w:pPr>
        <w:spacing w:after="0" w:line="2" w:lineRule="exact"/>
        <w:rPr>
          <w:rFonts w:ascii="Arial" w:cs="Arial" w:eastAsia="Arial" w:hAnsi="Arial"/>
          <w:sz w:val="16"/>
          <w:szCs w:val="16"/>
          <w:color w:val="auto"/>
        </w:rPr>
      </w:pPr>
    </w:p>
    <w:p>
      <w:pPr>
        <w:ind w:left="460" w:right="300" w:hanging="452"/>
        <w:spacing w:after="0" w:line="331"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All directors and executive officers as a group disclaim beneficial ownership of a total of 930,484 shares. Richard Meaney is not included in this total because he ceased serving as an executive officer as of October 29, 2016 and was no longer an employee of the Company as of January 16, 2017. As of October 29, 2016, Mr. Meaney beneficially owned 24,484 shares and had the right to acquire 103,931 shares within 60 days of October 29, 2016.</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 or prior fiscal years, with the exception of one Form 4 reporting the grant of a stock option, the grant of performance-based restricted units and the grant of time-based restricted stock units to Mr. Roche, which was filed on March 15, 2016, 4 days after its due date of March 11, 2016, two Forms 4 reporting the purchase of an aggregate of 218 shares of common stock by Mr. Real indirectly through the Company’s Ireland Success Sharing Share Plan on June 4, 2015 and December 3, 2015, which were reported on December 7, 2016 and one Form 4 reporting the sale of 1,600 shares of common stock by Mr. Hodgson on March 18, 2015, which was reported January 13, 2017.</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 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Process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entire Board of Directors is elected annually by our shareholders and currently consists of eleven directors, of whom nine are deemed to be “independent directors.” Richard M. Beyer and John C. Hodgson are retiring from the Board of Directors and therefore are not standing for re-election at the Annual Meeting. Messrs. Beyer and Hodgson will each continue to serve as a director until his term expires at the Annual Meeting. On January 18, 2017, we announced that our Board of Directors intends to elect Mr. Robert Swanson, Executive Chairman of Linear Technology Corporation (“Linear”), to our Board of Directors at the later of the completion of the acquisition of Linear or the Board of Directors meeting following the Company’s 2017 Annual Meeting of Shareholders, for a term expiring at our 2018 Annual Meeting of Shareholders. At the Annual Meeting, shareholders will accordingly have an opportunity to vote for each of the nine nominees listed below, of whom seven are deemed to be “independent directors.” The persons named in the enclosed proxy card, upon receipt of a properly executed proxy,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Criteria, Qualifications and Experience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Board of Directors is committed to ensuring that it is composed of a highly capable group of directors who collectively provide a significant breadth of experience, knowledge and abilities, to effectively represent the interests of shareholders and reflect our corporate values of integrity, honesty and adherence to high ethical standards. Key factors that the Board of Directors and the Nominating and Corporate Governance Committee consider when selecting directors include:</w:t>
      </w:r>
    </w:p>
    <w:p>
      <w:pPr>
        <w:spacing w:after="0" w:line="56" w:lineRule="exact"/>
        <w:rPr>
          <w:sz w:val="20"/>
          <w:szCs w:val="20"/>
          <w:color w:val="auto"/>
        </w:rPr>
      </w:pPr>
    </w:p>
    <w:p>
      <w:pPr>
        <w:ind w:left="900" w:right="20" w:hanging="325"/>
        <w:spacing w:after="0" w:line="262"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Experience and Strong Business Acumen — </w:t>
      </w:r>
      <w:r>
        <w:rPr>
          <w:rFonts w:ascii="Arial" w:cs="Arial" w:eastAsia="Arial" w:hAnsi="Arial"/>
          <w:sz w:val="18"/>
          <w:szCs w:val="18"/>
          <w:color w:val="auto"/>
        </w:rPr>
        <w:t>The Board strives for its members to span a range of leadership skills and represent a broad breadth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relevant to the Company’s strategic vision and business activities, as well as the ability to exercise sound judgment in matters that relate to the current and long-term objectives of the Company.</w:t>
      </w:r>
    </w:p>
    <w:p>
      <w:pPr>
        <w:spacing w:after="0" w:line="51" w:lineRule="exact"/>
        <w:rPr>
          <w:rFonts w:ascii="Arial" w:cs="Arial" w:eastAsia="Arial" w:hAnsi="Arial"/>
          <w:sz w:val="18"/>
          <w:szCs w:val="18"/>
          <w:color w:val="auto"/>
        </w:rPr>
      </w:pPr>
    </w:p>
    <w:p>
      <w:pPr>
        <w:jc w:val="both"/>
        <w:ind w:left="900" w:right="460" w:hanging="325"/>
        <w:spacing w:after="0" w:line="310"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Tenure — </w:t>
      </w:r>
      <w:r>
        <w:rPr>
          <w:rFonts w:ascii="Arial" w:cs="Arial" w:eastAsia="Arial" w:hAnsi="Arial"/>
          <w:sz w:val="16"/>
          <w:szCs w:val="16"/>
          <w:color w:val="auto"/>
        </w:rPr>
        <w:t>The Board believes that having directors with a mix of tenure on the Board helps transition the knowledge of the more experienced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while providing a broad, fresh set of perspectives and provides the Board with a diversity of experiences and viewpoints. The average tenure of our independent directors standing for re-election is approximately 5.9 years.</w:t>
      </w:r>
    </w:p>
    <w:p>
      <w:pPr>
        <w:spacing w:after="0" w:line="16" w:lineRule="exact"/>
        <w:rPr>
          <w:rFonts w:ascii="Arial" w:cs="Arial" w:eastAsia="Arial" w:hAnsi="Arial"/>
          <w:sz w:val="16"/>
          <w:szCs w:val="16"/>
          <w:color w:val="auto"/>
        </w:rPr>
      </w:pPr>
    </w:p>
    <w:p>
      <w:pPr>
        <w:ind w:left="900" w:right="160" w:hanging="325"/>
        <w:spacing w:after="0" w:line="339"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Diversity — </w:t>
      </w:r>
      <w:r>
        <w:rPr>
          <w:rFonts w:ascii="Arial" w:cs="Arial" w:eastAsia="Arial" w:hAnsi="Arial"/>
          <w:sz w:val="16"/>
          <w:szCs w:val="16"/>
          <w:color w:val="auto"/>
        </w:rPr>
        <w:t>While the Board does not have a specific diversity policy, our Corporate Governance Guidelines provide that gender, racial and ethnic</w:t>
      </w:r>
      <w:r>
        <w:rPr>
          <w:rFonts w:ascii="Arial" w:cs="Arial" w:eastAsia="Arial" w:hAnsi="Arial"/>
          <w:sz w:val="16"/>
          <w:szCs w:val="16"/>
          <w:b w:val="1"/>
          <w:bCs w:val="1"/>
          <w:color w:val="auto"/>
        </w:rPr>
        <w:t xml:space="preserve"> </w:t>
      </w:r>
      <w:r>
        <w:rPr>
          <w:rFonts w:ascii="Arial" w:cs="Arial" w:eastAsia="Arial" w:hAnsi="Arial"/>
          <w:sz w:val="16"/>
          <w:szCs w:val="16"/>
          <w:color w:val="auto"/>
        </w:rPr>
        <w:t>diversity, consistent with the requirement for relevant and diverse experience, skills and industry familiarity, are important search criteria.</w:t>
      </w:r>
    </w:p>
    <w:p>
      <w:pPr>
        <w:spacing w:after="0" w:line="8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paragraphs provide information as of the date of this proxy statement about each nominee. The information presented includes information each director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of Directors. Finally, we value their significant experience on other public company boards of directors and board committees.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9" w:name="page20"/>
    <w:bookmarkEnd w:id="19"/>
    <w:p>
      <w:pPr>
        <w:jc w:val="both"/>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Mr. Stata, age 82, has served as our Chairman of the Board of Directors since 1973 and served as an executive officer of our Company from its inception until April 2012. Mr. Stata served as our Chief Executive Officer from 1973 to November 1996 and as our President from 1971 to November 1991. We believe Mr. Stata’s qualifications to serve on our Board of Directors include more than 50 years of experience and leadership in the semiconductor industry, including as our founder, our Chairman for 43 years and formerly as our President for 20 years. If re-elected, Mr. Stata will continue to serve as our Chairman of the Board of Directors in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VINCENT ROCHE, </w:t>
      </w:r>
      <w:r>
        <w:rPr>
          <w:rFonts w:ascii="Arial" w:cs="Arial" w:eastAsia="Arial" w:hAnsi="Arial"/>
          <w:sz w:val="18"/>
          <w:szCs w:val="18"/>
          <w:b w:val="1"/>
          <w:bCs w:val="1"/>
          <w:i w:val="1"/>
          <w:iCs w:val="1"/>
          <w:color w:val="auto"/>
        </w:rPr>
        <w:t>President and Chief Executive Officer; Director since 2013</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Mr. Roche, age 56, was appointed our Chief Executive Officer and elected as a Director in May 2013. Mr. Roche was appointed President of Analog Devices in 2012. Mr. Roche also served as our Vice President, Strategic Segments Group and Global Sales from October 2009 to November 2012, and as our Vice President, Worldwide Sales from March 2001 to October 2009. Mr. Roche began his career at ADI in 1988 as a senior marketing engineer, and he has served in key leadership positions over his 29-year tenure at ADI, including worldwide sales, strategic marketing, business development and product management.</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Mr. Roche also serves as a director of Acacia Communications, Inc. We believe that Mr. Roche’s qualifications to serve on the Board of Directors include his leadership role in the Company and his deep knowledge of the Company’s products, markets and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Mr. Champy, age 74, retired in 2010 as Vice President of the Dell/Perot Systems business unit of Dell, Inc., a computer and technology services company. He was previously a Vice President and the Chairman of Consulting at Perot Systems Corporation from 1996 to November 2009. He served as a director of Perot Systems Corporation from 1996 to 2004. Mr. Champy is the author of several business books and is a Life Member of the MIT Corporation, the governing body of the Massachusetts Institute of Technology. We believe Mr. Champy’s qualifications to serve on our Board of Directors include his expertise in corporate strategy development and his organizational acumen.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R. EVANS, </w:t>
      </w:r>
      <w:r>
        <w:rPr>
          <w:rFonts w:ascii="Arial" w:cs="Arial" w:eastAsia="Arial" w:hAnsi="Arial"/>
          <w:sz w:val="18"/>
          <w:szCs w:val="18"/>
          <w:b w:val="1"/>
          <w:bCs w:val="1"/>
          <w:i w:val="1"/>
          <w:iCs w:val="1"/>
          <w:color w:val="auto"/>
        </w:rPr>
        <w:t>Director since June 2015</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Mr. Evans, age 57, has served in various positions with Summit Partners, a growth equity, venture capital and credit investment firm, including most recently as a Managing Director, since 1986. He has also served as Chairman of Summit Partners’ board since 2011. During his time at Summit Partners, Mr. Evans has served as a member of the boards of directors of over 30 technology and other growth industry companies in the US and Europe, including 12 public companies. Mr. Evans is a member and Chairman Elect of the Vanderbilt University Board of Trust and the Chairman of Vanderbilt’s Investment Committee. He served as a director of FleetCor Technologies, Inc. from 2002 until 2014. We believe Mr. Evans’ qualifications to serve on our Board include his financial and management expertise, including his investing experience in the technology sector and his experience with acquisitions and other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EDWARD H. FRANK, </w:t>
      </w:r>
      <w:r>
        <w:rPr>
          <w:rFonts w:ascii="Arial" w:cs="Arial" w:eastAsia="Arial" w:hAnsi="Arial"/>
          <w:sz w:val="18"/>
          <w:szCs w:val="18"/>
          <w:b w:val="1"/>
          <w:bCs w:val="1"/>
          <w:i w:val="1"/>
          <w:iCs w:val="1"/>
          <w:color w:val="auto"/>
        </w:rPr>
        <w:t>Director since 2014</w:t>
      </w:r>
    </w:p>
    <w:p>
      <w:pPr>
        <w:spacing w:after="0" w:line="9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Dr. Frank, age 60, is co-founder and Chief Executive Officer of Cloud Parity, an early-stage voice of the customer startup. Before founding Cloud Parity in 2014, Dr. Frank held the position of Vice President, Macintosh Hardware Systems Engineering at Apple, Inc., a company that designs, manufactures and markets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0" w:name="page21"/>
    <w:bookmarkEnd w:id="20"/>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devices, from 2009 to 2013. Prior to his tenure at Apple, Dr. Frank served as Corporate Vice President, Research and Development, of Broadcom Corp. Dr. Frank was founding CEO of Epigram, Inc., a developer of integrated circuits and software for home networking, which Broadcom acquired in 1999, and was a Distinguished Engineer at Sun Microsystems, Inc. Dr. Frank also serves as a director of Cavium, Inc. He served as a director of Fusion-IO, Inc. from 2013 until July 2014 when it was acquired by SanDisk Corporation. We believe Dr. Frank’s qualifications to serve on our Board of Directors include his deep understanding of the communications and hardware technology markets and his extensive executive leadership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M. LITTLE, </w:t>
      </w:r>
      <w:r>
        <w:rPr>
          <w:rFonts w:ascii="Arial" w:cs="Arial" w:eastAsia="Arial" w:hAnsi="Arial"/>
          <w:sz w:val="18"/>
          <w:szCs w:val="18"/>
          <w:b w:val="1"/>
          <w:bCs w:val="1"/>
          <w:i w:val="1"/>
          <w:iCs w:val="1"/>
          <w:color w:val="auto"/>
        </w:rPr>
        <w:t>Director since January 2017</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Dr. Little, age 64, is the former Senior Vice President, GE Global Research and Chief Technology Officer of General Electric Company, or GE, a global digital industrial company. Dr. Little joined GE in 1978, and during his 37-year tenure, held management positions in engineering and business, culminating with his most recent position, which he held from 2005 until 2015. In addition to his technology leadership, Dr. Little led several multi-billion dollar business units at GE including GE Energy’s power-generation segment. We believe Dr. Little’s qualifications to serve on our Board of Directors include his extensive leadership experience in a global technology company, combined with his experience driving change and innovation through GE’s various phases of business transformation.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NOVICH, </w:t>
      </w:r>
      <w:r>
        <w:rPr>
          <w:rFonts w:ascii="Arial" w:cs="Arial" w:eastAsia="Arial" w:hAnsi="Arial"/>
          <w:sz w:val="18"/>
          <w:szCs w:val="18"/>
          <w:b w:val="1"/>
          <w:bCs w:val="1"/>
          <w:i w:val="1"/>
          <w:iCs w:val="1"/>
          <w:color w:val="auto"/>
        </w:rPr>
        <w:t>Director since 2008</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Novich, age 62, is the former Chairman, President and Chief Executive Officer of Ryerson Inc., a global metals distributor and fabricator. He joined Ryerson in 1994 as Chief Operating Officer and served in that role until 1999 when he was named Chairman, President and Chief Executive Officer, a position he held through 2007. Prior to that, he was a Director at Bain &amp; Company, an international consulting firm. Mr. Novich also serves as a director of W.W. Grainger, Inc., Hillenbrand Inc. and Beacon Roofing Supply, Inc. We believe Mr. Novich’s qualifications to serve on our Board of Directors include his experience as a chief executive officer leading a complex global organization, combined with his broad operational and corporate governance expertise.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Sicchitano, age 72, retired from PricewaterhouseCoopers LLP, or PwC, a public accounting firm, in July 2001. At the time of his retirement,</w:t>
      </w:r>
    </w:p>
    <w:p>
      <w:pPr>
        <w:spacing w:after="0" w:line="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Mr. Sicchitano was the Global Managing Partner of Independence and Regulatory Matters for PwC. Mr. Sicchitano joined Price Waterhouse LLP, a predecessor firm of PwC, in 1970 and became a partner in 1979. During his 31-year tenure with PwC, Mr. Sicchitano held various positions including the Global Managing Partner of Audit/Business Advisory Services and the Global Managing Partner responsible for Audit/Business Advisory, Tax and Financial Advisory Services. Mr. Sicchitano also serves as a director of PerkinElmer, Inc. and MetLife, Inc. and its wholly owned subsidiary, Metropolitan Life Insurance Company. We believe Mr. Sicchitano’s qualifications to sit on our Board of Directors include his extensive experience with public and financial accounting matters for complex global organizations.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LISA T. SU, </w:t>
      </w:r>
      <w:r>
        <w:rPr>
          <w:rFonts w:ascii="Arial" w:cs="Arial" w:eastAsia="Arial" w:hAnsi="Arial"/>
          <w:sz w:val="18"/>
          <w:szCs w:val="18"/>
          <w:b w:val="1"/>
          <w:bCs w:val="1"/>
          <w:i w:val="1"/>
          <w:iCs w:val="1"/>
          <w:color w:val="auto"/>
        </w:rPr>
        <w:t>Director since 2012</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Dr. Su, age 47, is President and Chief Executive Officer of Advanced Micro Devices, Inc., or AMD, a semiconductor manufacturer. Previously she served at AMD as Senior Vice President and Chief Operating Officer from July 2014 to October 2014 and Senior Vice President and General Manager, Global Business Units from January 2012 to July 2014. Prior to joining AMD in January 2012, Dr. Su served as senior vice president and general manager, Networking and Multimedia, at Freescale Semiconductor, Inc., a semiconductor manufacturer, from 2008 to 2011 and prior to that, as Chief Technology Officer from 2007 to 2008. Dr. Su also spent 13 years with International Business Machines Corporation, or IBM, in various engineering and business leadership positions; and was a member of the technical staff at Texas Instruments in the Semiconductor Process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Device Center. Dr. Su also serves as a director of AMD. We believe Dr. Su’s qualifications to serve on our Board of Directors include her experience as a CEO of a global semiconductor company and her understanding of complex technologies.</w:t>
      </w:r>
    </w:p>
    <w:p>
      <w:pPr>
        <w:spacing w:after="0" w:line="13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each of the above nominees.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240" w:top="280" w:right="5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Our Board of Directors has adopted Corporate Governance Guidelines for our Company that establishes a common set</w:t>
      </w:r>
      <w:r>
        <w:rPr>
          <w:rFonts w:ascii="Arial" w:cs="Arial" w:eastAsia="Arial" w:hAnsi="Arial"/>
          <w:sz w:val="18"/>
          <w:szCs w:val="18"/>
          <w:i w:val="1"/>
          <w:iCs w:val="1"/>
          <w:color w:val="auto"/>
        </w:rPr>
        <w:t xml:space="preserve"> </w:t>
      </w:r>
      <w:r>
        <w:rPr>
          <w:rFonts w:ascii="Arial" w:cs="Arial" w:eastAsia="Arial" w:hAnsi="Arial"/>
          <w:sz w:val="18"/>
          <w:szCs w:val="18"/>
          <w:color w:val="auto"/>
        </w:rPr>
        <w:t>of expectations to assist the Board and its committees in performing their duties. The Board reviews these Guidelines at least annually, and updates them as necessary to reflect changing regulatory requirements and evolving practices.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Declassified Board of Directors. </w:t>
      </w:r>
      <w:r>
        <w:rPr>
          <w:rFonts w:ascii="Arial" w:cs="Arial" w:eastAsia="Arial" w:hAnsi="Arial"/>
          <w:sz w:val="18"/>
          <w:szCs w:val="18"/>
          <w:color w:val="auto"/>
        </w:rPr>
        <w:t>We have a declassified Board of Directors and our bylaws provide that each director will serve for a term ending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annual meeting following the one at which such director was elected. All of our directors will stand for election for terms expiring at the next annual meeting of shareholders.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Majority Voting for Election of Directors. </w:t>
      </w:r>
      <w:r>
        <w:rPr>
          <w:rFonts w:ascii="Arial" w:cs="Arial" w:eastAsia="Arial" w:hAnsi="Arial"/>
          <w:sz w:val="18"/>
          <w:szCs w:val="18"/>
          <w:color w:val="auto"/>
        </w:rPr>
        <w:t>Our bylaws provide for a majority voting standard in uncontested director elections, so a nominee is elected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if the votes “for” that director exceed the votes “against” (with abstentions and broker non-votes not counted as for or against the election). If a nominee does not receive more “for” votes than “against” votes, the director must offer his or her resignation, which the Board of Directors must determine whether to accept and publicly disclose that determination.</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 xml:space="preserve">Executive Sessions. </w:t>
      </w:r>
      <w:r>
        <w:rPr>
          <w:rFonts w:ascii="Arial" w:cs="Arial" w:eastAsia="Arial" w:hAnsi="Arial"/>
          <w:sz w:val="16"/>
          <w:szCs w:val="16"/>
          <w:color w:val="auto"/>
        </w:rPr>
        <w:t>At each regular meeting, our Board of Directors holds executive sessions of non-employee directors, who are all independent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under The NASDAQ Stock Market, Inc. Marketplace Rules, or the NASDAQ Rules. Our lead director, James A. Champy, presides at these executive sessions. In addition, the committees of our Board of Directors also regularly hold executive sessions with their advisors without management present.</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No Hedging Policy. </w:t>
      </w:r>
      <w:r>
        <w:rPr>
          <w:rFonts w:ascii="Arial" w:cs="Arial" w:eastAsia="Arial" w:hAnsi="Arial"/>
          <w:sz w:val="18"/>
          <w:szCs w:val="18"/>
          <w:color w:val="auto"/>
        </w:rPr>
        <w:t>We prohibit all hedging transactions or short sales involving Company securities by our directors and employees,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 xml:space="preserve">No Pledging Policy. </w:t>
      </w:r>
      <w:r>
        <w:rPr>
          <w:rFonts w:ascii="Arial" w:cs="Arial" w:eastAsia="Arial" w:hAnsi="Arial"/>
          <w:sz w:val="18"/>
          <w:szCs w:val="18"/>
          <w:color w:val="auto"/>
        </w:rPr>
        <w:t>Since January 2013, we have prohibited our directors and executive officers from holding any Company securities in a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and from any future pledging of their Company securities as collateral for a loan.</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Equity Award Grant Date Policy. </w:t>
      </w:r>
      <w:r>
        <w:rPr>
          <w:rFonts w:ascii="Arial" w:cs="Arial" w:eastAsia="Arial" w:hAnsi="Arial"/>
          <w:sz w:val="18"/>
          <w:szCs w:val="18"/>
          <w:color w:val="auto"/>
        </w:rPr>
        <w:t>We do not time or select the grant dates of any stock options or stock-based awards in coordination with our release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 Director Compensation” and “INFORMATION ABOUT EXECUTIVE COMPENSATION — Compensation Discussion and Analysis — Equity Award Grant Date Policy” below for more information.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3" w:name="page24"/>
    <w:bookmarkEnd w:id="23"/>
    <w:p>
      <w:pPr>
        <w:ind w:right="4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can access the current charters for our Audit Committee, Compensation Committee and Nominating and Corporate Governance Committee, our Corporate Governance Guidelines, our Code of Business Conduct and Ethics and our Equity Award Grant Date Policy at investor.analog.com/corporate-governance.cfm or by writing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of Investor Relations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investor.relations@analog.com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96"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Under applicable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investor.analog.com/corporate-governance.cfm. For relationships not covered by the guidelines, the determination of whether such a relationship exists is made by the members of our Board of Directors who are independent (as defined above). Our Board of Directors has determined that none of Messrs. Beyer, Champy, Evans, Hodgson, Novich and Sicchitano and Drs. Frank, Little and Su has a relationship which would interfere with the exercise of independent judgment in carrying out the responsibilities of a director and that each of these directors is an “independent director” as defined under Rule 5605(a)</w:t>
      </w:r>
    </w:p>
    <w:p>
      <w:pPr>
        <w:spacing w:after="0" w:line="4" w:lineRule="exact"/>
        <w:rPr>
          <w:sz w:val="20"/>
          <w:szCs w:val="20"/>
          <w:color w:val="auto"/>
        </w:rPr>
      </w:pPr>
    </w:p>
    <w:p>
      <w:pPr>
        <w:ind w:firstLine="8"/>
        <w:spacing w:after="0" w:line="252"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the NASDAQ Rules. The Board also determined that Yves-Andre Istel, a former director, was an “independent director” prior to his resignation from the Board on March 9, 2016. The Board has determined that Mr. Roche, our President and Chief Executive Officer, and Mr. Stata, our Chairman and founder, are not “independent” under the NASDAQ Rules because Mr. Roche is a current employee and Mr. Stata is our founder. We considered the Company’s annual laboratory membership and university research projects with MIT (of which James A. Champy is a board member) and the Company’s annual membership to the Semiconductor Industry Association, or the SIA, (of which Vincent Roche and Lisa Su are board members) and determined that the relationships were established in the ordinary course of business on an arms-length basis without the involvement of Messrs. Champy or Mr. Roche or Dr. Su, and are not material to MIT, the SIA or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that the Board of Directors recommends to our shareholders for election. The qualifications of recommended candidates will be reviewed by the Nominating and Corporate Governance Committee. If the Board of Directors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Margaret K. Seif, Secretary, Analog Devices, Inc., One Technology Way, Norwood, Massachusetts 02062. The Nominating and Corporate Governance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will consider a recommendation only if appropriate biographical information and background material is provided on a timely basis.</w:t>
      </w:r>
    </w:p>
    <w:p>
      <w:pPr>
        <w:spacing w:after="0" w:line="171"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candidates includes requests to Board members and others for recommendations, input from director search firms for identification and evaluation of candidates, meetings from time to time to evaluate biographical information and background material relating to potential candidates and interviews of selected candidates by members of the Nominating and Corporate Governance Committee and the Board of Directors.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ADI’s amended and restated bylaws and described in the response to the question </w:t>
      </w:r>
      <w:r>
        <w:rPr>
          <w:rFonts w:ascii="Arial" w:cs="Arial" w:eastAsia="Arial" w:hAnsi="Arial"/>
          <w:sz w:val="18"/>
          <w:szCs w:val="18"/>
          <w:b w:val="1"/>
          <w:bCs w:val="1"/>
          <w:color w:val="auto"/>
        </w:rPr>
        <w:t>“How and when may I submit a shareholder proposal, including a shareholder nomination for director, for the 2018 annual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meeting of shareholders?” </w:t>
      </w:r>
      <w:r>
        <w:rPr>
          <w:rFonts w:ascii="Arial" w:cs="Arial" w:eastAsia="Arial" w:hAnsi="Arial"/>
          <w:sz w:val="18"/>
          <w:szCs w:val="18"/>
          <w:color w:val="auto"/>
        </w:rPr>
        <w:t>above.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of Directors to fulfill its responsibilities. While we do not have a policy regarding Board diversity, the Nominating and Corporate Governance Committee includes gender, racial and ethnic diversity as part of its search criteria, consistent with the requirement for relevant and diverse experience, skills and industry familiarity.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of Directors (including the presiding director or the independent directors as a group) should address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to James A. Champy, Presiding Director, c/o Secretary, Analog Devices, Inc., One Technology Way, Norwood, Massachusetts 02062.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Corporate Governance Guidelines provide that the roles of Chief Executive Officer and Chairman of the Board of Directors should be separate, unless otherwise determined by a majority of the Board of Directors, and we currently separate these roles. Our Chief Executive Officer is responsible for setting the strategic direction for the Company and the day-to-day leadership and performance of the Company, while our Chairman of the Board of Directors provides guidance to the Chief Executive Officer, sets the agenda for Board meetings and presides over meetings of the full Board of Directors. Because our Board of Directors has determined that Mr. Stata, our Chairman and founder, is not an independent director under the NASDAQ Rules, our Board of Directors has appointed James A. Champy as presiding director to preside at all executive sessions of independent directors. The Board of Directors meets in executive session at each regular meeting.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 Board of Directors has responsibility for reviewing our overall performance, rather than day-to-day operations. The Board of Directors’ primary responsibility is to oversee the management of the Company and, in so doing, serve the best interests of the Company and its shareholders. The Board of Directors provides for the succession of the Chief Executive Officer, nominates for election at annual shareholder meetings individuals to serve as directors of Analog Devices, and elects individuals to fill any vacancies on the Board of Directors.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10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Board of Directors met 12 times in fiscal 2016 (including by telephone conference). During fiscal 2016, each of our directors attended 75% or more of the total number of meetings of the Board of Directors and the committees on which he or she served. The Board of Directors has standing Audit, Compensation, and Nominating and Corporate Governance Committees. All members of all three committees are independent, non-employee directors. Each committee has a charter that has been approved by the Board of Directors and is reviewed annually. In addition, each Committee conducts an annual self-evaluation of its own performance. Mr. Roche is the only director who is, or has been in the past three years, an employee of Analog Devices. Messrs. Roche and Stata do not serve on any standing Board committee and do not participate in the portion of any Board or committee meeting during which their compensation is evaluated. The independent directors met in executive session without Mr. Stata or our Chief Executive Officer at each in-person Board meeting in fiscal 2016.</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our then-serving directors attended the 2016 Annual Meeting of Shareholders.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current members of our Audit Committee are Messrs. Sicchitano (Chair), Evans, Little and Hodgson. The Board of Directors has determined that each of Messrs. Sicchitano, Evans, Little and Hodgson qualifies as an “audit committee financial expert” under the rules of the SEC and is independent as defined under the NASDAQ Rules and the independence requirements under Rule 10A-3(b)(1) of the Exchange Act. In addition, our Board of Directors has determined that each member of the Audit Committee is able to read and understand financial statements, including the Company’s consolidated balance sheet and its consolidated statements of income, comprehensive income, shareholders’ equity and cash flows and related notes as required under the NASDAQ Rules. The Board of Directors has certified that it has at least one member of the audit committee who has past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6" w:name="page27"/>
    <w:bookmarkEnd w:id="26"/>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experience in finance or accounting as required by the NASDAQ Rules. None of Messrs. Sicchitano, Evans, Little or Hodgson serves on the audit committees of more than two other public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Audit Committee is primarily responsible for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of Directors, to cause the Company to pay the compensation of those advisors as established by the Audit Committee. The Audit Committee selected and appointed Ernst &amp; Young LLP, our independent registered public accounting firm, and did not retain any other advisors during fiscal 2016. The Audit Committee met 11 times during fiscal 2016 (including by telephone conference). The responsibilities of our Audit Committee and its activities during fiscal 2016 are described in the Report of the Audit Committee below.</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current members of our Compensation Committee are Messrs. Novich (Chair) and Beyer and Dr. Su. The Board of Directors has determined that each of Messrs. Novich and Beyer and Dr. Su is independent as defined under the NASDAQ Rules and the independence requirements under Rule 10C-1 of the Exchange Act.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In connection with its oversight and administration of ADI’s cash and equity incentive plans, the Compensation Committee authorizes the granting of stock options, RSUs and other stock incentives (within guidelines established by our Board of Directors and in accordance with our equity granting policy) to our officers. In accordance with the terms of our Amended and Restated 2006 Stock Incentive Plan, which we refer to as the 2006 Stock Incentive Plan, the Compensation Committee has delegated to our Chief Executive Officer the power to grant and modify options, RSUs and other stock awards to employees who are not executive officers or directors, subject to specified thresholds, parameters and applicable law. Our Compensation Committee held nine meetings (including by telephone conference) during fiscal 2016.</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Compensation Committee Consultants. </w:t>
      </w:r>
      <w:r>
        <w:rPr>
          <w:rFonts w:ascii="Arial" w:cs="Arial" w:eastAsia="Arial" w:hAnsi="Arial"/>
          <w:sz w:val="16"/>
          <w:szCs w:val="16"/>
          <w:color w:val="auto"/>
        </w:rPr>
        <w:t>The Compensation Committee has the authority, in its sole discretion, to retain or obtain the advice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legal, accounting or other advisors it deems necessary or appropriate to carry out its responsibilities. The Compensation Committee is empowered, without further action by the Board of Directors, to cause the Company to pay the compensation of these advisors as established by the Compensation Committee. The Compensation Committee retained Pearl Meyer and Partners (PM), an independent compensation consultant, during fiscal 2016. PM reports directly to the Compensation Committee and assists the Compensation Committee in evaluating and designing our executive and director compensation program and policies. In fiscal 2016, the Compensation Committee instructed PM to assist it in defining a peer group of companies, compare our executive and director compensation arrangements to those of the peer group, assist it in defining a comparator group of companies for the 2016 performance-based RSUs and provide market data and advice regarding executive and director compensation plan design. PM conducted a detailed analysis of the competitiveness and appropriateness of the Company’s total executive compensation opportunity in comparison to our peer group. PM also conducted a risk assessment of our executive compensation program. In connection with its work for the Compensation Committee, PM is invited to attend many of the Compensation Committee’s meetings and, upon request of the Compensation Committee, attends executive sessions of the Compensation Committee. PM is retained only by the Compensation Committee and does not provide any other consulting services to Analog Devices. The Compensation Committee also solicits advice from time to time from our outside counsel, WilmerHale. The Compensation Committee assesses the independence of its advisors on an annual basis. The Compensation Committee requested and received an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7" w:name="page28"/>
    <w:bookmarkEnd w:id="27"/>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independence letter from each of PM and WilmerHale providing information to assist the Compensation Committee in selecting and receiving advice from such advisor after considering the independence factors that are identified in the NASDAQ rules. The Compensation Committee determined that the engagement of these advisors did not raise any conflicts of interest for all work performed for the Compensation Committee during fiscal 2016. The activities of our Compensation Committee and the services PM performed for the Compensation Committee during fiscal 2016 are further described in “INFORMATION ABOUT EXECUTIVE COMPENSATION — Compensation Discussion and Analysis” below.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current members of our Nominating and Corporate Governance Committee are Mr. Champy (Chair) and Dr. Frank. The Board of Directors has determined that each of Mr. Champy and Dr. Frank is independent as defined under the NASDAQ Rules. The primary responsibility of the Nominating and Corporate Governance Committee is to identify individuals qualified to become Board members consistent with criteria approved by the Board of Directors, recommend to the Board of Directors the persons to be nominated by the Board of Directors for election as directors at any meeting of shareholders, recommend to the Board of Directors the directors to be appointed to each committee of the Board of Directors, develop and recommend to the Board of Directors a set of corporate governance principles and oversee the evaluation of the Board of Directors. The Nominating and Corporate Governance Committee also leads the Board of Directors’ succession planning efforts with respect to senior executives and oversight of our Code of Business Conduct and Ethics. The Nominating and Corporate Governance Committee has the authority to engage any independent legal and other advisors it deems necessary or appropriate to carry out its responsibilities. These independent advisors may be the regular advisors to the Company. The Nominating and Corporate Governance Committee is empowered, without further action by the Board of Directors, to cause the Company to pay the compensation of these advisors as established by the Nominating and Corporate Governance Committee. For information relating to nominations of directors by our shareholders, see “— Director Candidates” above. Our Nominating and Corporate Governance Committee held five meetings during fiscal 2016 (including by telephone conference).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Role in Risk Oversight</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Our management team is responsible for day-to-day risk management activities. The Board of Directors’ role in the Company’s risk oversight process includes receiving regular reports from members of senior management on areas of material risk to the Company, including operational, financial, legal and regulatory, and strategic and reputational risks. Members of management report to the Board of Directors (or the appropriate committee in the case of risks that are under the purview of a particular committee) regarding risk identification, risk management and risk mitigation strategies. In particular, the Audit Committee discusses ADI’s policies with respect to risk assessment and risk management as they apply to ADI’s financial statement integrity and reporting and internal controls. The Audit Committee also receives regular reports from our Director of Internal Audit on internal audit matters and an annual report from our Chief Information Officer on information security, technology and data privacy and protection. The Compensation Committee considers whether ADI’s executive compensation program and non-executive director compensation practices encourages excessive or inappropriate risk taking, and the Nominating and Corporate Governance Committee leads the Board with respect to the adequacy of the Company’s governance structure and process and of succession planning for the Company’s Board of Directors, Chief Executive Officer and other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Audit Committee of the Board of Directors assisted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also met privately with our independent registered public accounting firm and our Director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8" w:name="page29"/>
    <w:bookmarkEnd w:id="2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Internal Audit to discuss our financial statements and disclosures, accounting policies and their application, internal controls over financial reporting, and other matters of importance to the Audit Committee, the independent registered public accounting firm and the internal auditors. Management has the primary responsibility for the financial statements and the reporting process, including the system of internal controls over financial reporting. In fulfilling its oversight responsibilities, the Audit Committee reviewed and discussed with management the audited financial statements contained in our Annual Report on Form 10-K and the quarterly financial statements during fiscal 2016,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12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to be discussed as required by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adopted by the Public Company Accounting Oversight Board (PCAOB) and (ii) the independent registered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firm’s independence from Analog Devices and its management, including the matters in the written disclosures and the letter we received from the independent registered public accounting firm required by the PCAOB Ethics and Independence Rule 3526, </w:t>
      </w:r>
      <w:r>
        <w:rPr>
          <w:rFonts w:ascii="Arial" w:cs="Arial" w:eastAsia="Arial" w:hAnsi="Arial"/>
          <w:sz w:val="16"/>
          <w:szCs w:val="16"/>
          <w:i w:val="1"/>
          <w:iCs w:val="1"/>
          <w:color w:val="auto"/>
        </w:rPr>
        <w:t>Communication with Audit Committees Concerning</w:t>
      </w:r>
      <w:r>
        <w:rPr>
          <w:rFonts w:ascii="Arial" w:cs="Arial" w:eastAsia="Arial" w:hAnsi="Arial"/>
          <w:sz w:val="16"/>
          <w:szCs w:val="16"/>
          <w:color w:val="auto"/>
        </w:rPr>
        <w:t xml:space="preserve"> </w:t>
      </w:r>
      <w:r>
        <w:rPr>
          <w:rFonts w:ascii="Arial" w:cs="Arial" w:eastAsia="Arial" w:hAnsi="Arial"/>
          <w:sz w:val="16"/>
          <w:szCs w:val="16"/>
          <w:i w:val="1"/>
          <w:iCs w:val="1"/>
          <w:color w:val="auto"/>
        </w:rPr>
        <w:t>Independence</w:t>
      </w:r>
      <w:r>
        <w:rPr>
          <w:rFonts w:ascii="Arial" w:cs="Arial" w:eastAsia="Arial" w:hAnsi="Arial"/>
          <w:sz w:val="16"/>
          <w:szCs w:val="16"/>
          <w:color w:val="auto"/>
        </w:rPr>
        <w:t>, regarding the independent registered public accounting firm’s communications with the Audit Committee on independence. The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appropriateness of the provision of non-audit services by the independent registered public accounting firm relative to their independence.</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October 29, 2016. The Audit Committee also selected Ernst &amp; Young LLP as our independent registered public accounting firm for the fiscal year ending October 28, 2017.</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Bruce R. Evans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C. Hodgson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October 29, 2016 and October 30, 2015.</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40" w:type="dxa"/>
            <w:vAlign w:val="bottom"/>
          </w:tcPr>
          <w:p>
            <w:pPr>
              <w:jc w:val="right"/>
              <w:ind w:right="19"/>
              <w:spacing w:after="0"/>
              <w:rPr>
                <w:sz w:val="20"/>
                <w:szCs w:val="20"/>
                <w:color w:val="auto"/>
              </w:rPr>
            </w:pPr>
            <w:r>
              <w:rPr>
                <w:rFonts w:ascii="Arial" w:cs="Arial" w:eastAsia="Arial" w:hAnsi="Arial"/>
                <w:sz w:val="14"/>
                <w:szCs w:val="14"/>
                <w:b w:val="1"/>
                <w:bCs w:val="1"/>
                <w:color w:val="auto"/>
                <w:w w:val="96"/>
              </w:rPr>
              <w:t>Fiscal 2016</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2015</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3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$ 3,040,000</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3,250,000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Audit-Related Fees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471,000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1,845,000</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0" w:type="dxa"/>
            <w:vAlign w:val="bottom"/>
          </w:tcPr>
          <w:p>
            <w:pPr>
              <w:spacing w:after="0"/>
              <w:rPr>
                <w:sz w:val="20"/>
                <w:szCs w:val="20"/>
                <w:color w:val="auto"/>
              </w:rPr>
            </w:pPr>
            <w:r>
              <w:rPr>
                <w:rFonts w:ascii="Arial" w:cs="Arial" w:eastAsia="Arial" w:hAnsi="Arial"/>
                <w:sz w:val="18"/>
                <w:szCs w:val="18"/>
                <w:color w:val="auto"/>
              </w:rPr>
              <w:t>Total Fees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$ 5,356,000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5,224,000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440" w:type="dxa"/>
            <w:vAlign w:val="bottom"/>
            <w:vMerge w:val="restart"/>
          </w:tcPr>
          <w:p>
            <w:pPr>
              <w:jc w:val="right"/>
              <w:ind w:right="1732"/>
              <w:spacing w:after="0"/>
              <w:rPr>
                <w:sz w:val="20"/>
                <w:szCs w:val="20"/>
                <w:color w:val="auto"/>
              </w:rPr>
            </w:pPr>
            <w:r>
              <w:rPr>
                <w:rFonts w:ascii="Arial" w:cs="Arial" w:eastAsia="Arial" w:hAnsi="Arial"/>
                <w:sz w:val="18"/>
                <w:szCs w:val="18"/>
                <w:color w:val="auto"/>
              </w:rPr>
              <w:t>24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29" w:name="page30"/>
    <w:bookmarkEnd w:id="29"/>
    <w:p>
      <w:pPr>
        <w:ind w:right="6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Audit Fees. </w:t>
      </w:r>
      <w:r>
        <w:rPr>
          <w:rFonts w:ascii="Arial" w:cs="Arial" w:eastAsia="Arial" w:hAnsi="Arial"/>
          <w:sz w:val="18"/>
          <w:szCs w:val="18"/>
          <w:color w:val="auto"/>
        </w:rPr>
        <w:t>These are fees related to professional services rendered in connection with the audit of our consolidated financial statements, the audit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our internal control over financial reporting, the reviews of our interim financial statements included in each of our Quarterly Reports on Form 10-Q, international statutory audits, reviews and comfort letter procedures related to our filings on Form S-3, assistance with registration statements and other periodic filings, and accounting consultations that relate to the audited financial statements and are necessary to comply with U.S. generally accepted accounting principles.</w:t>
      </w:r>
    </w:p>
    <w:p>
      <w:pPr>
        <w:spacing w:after="0" w:line="14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These are fees for assurance and related services and consisted primarily of audits of employee benefit plans, due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consultations regarding proposed transactions, including, for fiscal 2016, due diligence services relating to the proposed acquisition of Linear Technology Corporation, and accounting matters not related to the annual audit.</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These are fees for professional services related to tax return preparation services for our expatriates, international tax returns, tax advice and</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assistance with international tax audits and merger and acquisition tax advice and services, including services relating to the proposed acquisition of Linear Technology Corporation. Included in this amount are fees of $508,000 in fiscal 2016, and $476,000 in fiscal 2015, for tax compliance services for our international affiliates and tax return preparation services for our expatriate employees on international assignments. Ernst &amp; Young LLP does not provide tax services to any person in a financial reporting oversight role at Analog Devices.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120"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years 2016 and 2015, all services provided to Analog Devices by Ernst &amp; Young LLP were pre-approved in accordance with the pre-approval policies and procedures described above.</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Annually, the Compensation Committee reviews with PM director compensation information for our peer group companies to check the alignment of our non-employee director compensation package with market practice and current trends. The Compensation Committee makes recommendations to the full Board with respect to compensation of our non-employee directors, and the full Board reviews these recommendations and makes a final determination.</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fiscal 2016 we granted equity awards to our non-employee directors as follows: 50% of the value of each award consists of stock options and 50% of the value of the award consists of RSUs. These stock options and RSUs vest in full on the earlier of the first anniversary of the date of grant or the date of the Company’s next annual meeting. On March 9, 2016, we granted each non-employee director, with the exception of Mr. Istel and Dr. Little, a stock option to purchase 7,640 shares of common stock, with an exercise price of $54.93 per share, and 1,850 RSUs for services to be provided during fiscal 2016. Commencing in fiscal 2017, our non-employee directors will receive 100% of the value of their annual equity award in the form of RSUs. The Board believes that this change better aligns with market practice among our peers.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2016.</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Fees Earned or</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All Other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Name(1)</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5740" w:type="dxa"/>
            <w:vAlign w:val="bottom"/>
            <w:gridSpan w:val="3"/>
            <w:vMerge w:val="continue"/>
          </w:tcPr>
          <w:p>
            <w:pPr>
              <w:spacing w:after="0"/>
              <w:rPr>
                <w:sz w:val="11"/>
                <w:szCs w:val="11"/>
                <w:color w:val="auto"/>
              </w:rPr>
            </w:pPr>
          </w:p>
        </w:tc>
        <w:tc>
          <w:tcPr>
            <w:tcW w:w="8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($)(2)</w:t>
            </w:r>
          </w:p>
        </w:tc>
        <w:tc>
          <w:tcPr>
            <w:tcW w:w="540" w:type="dxa"/>
            <w:vAlign w:val="bottom"/>
          </w:tcPr>
          <w:p>
            <w:pPr>
              <w:spacing w:after="0"/>
              <w:rPr>
                <w:sz w:val="11"/>
                <w:szCs w:val="11"/>
                <w:color w:val="auto"/>
              </w:rPr>
            </w:pPr>
          </w:p>
        </w:tc>
        <w:tc>
          <w:tcPr>
            <w:tcW w:w="540" w:type="dxa"/>
            <w:vAlign w:val="bottom"/>
          </w:tcPr>
          <w:p>
            <w:pPr>
              <w:ind w:left="20"/>
              <w:spacing w:after="0" w:line="114" w:lineRule="exact"/>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)(3)(4)</w:t>
            </w:r>
          </w:p>
        </w:tc>
        <w:tc>
          <w:tcPr>
            <w:tcW w:w="540" w:type="dxa"/>
            <w:vAlign w:val="bottom"/>
          </w:tcPr>
          <w:p>
            <w:pPr>
              <w:spacing w:after="0"/>
              <w:rPr>
                <w:sz w:val="11"/>
                <w:szCs w:val="11"/>
                <w:color w:val="auto"/>
              </w:rPr>
            </w:pPr>
          </w:p>
        </w:tc>
        <w:tc>
          <w:tcPr>
            <w:tcW w:w="540" w:type="dxa"/>
            <w:vAlign w:val="bottom"/>
          </w:tcPr>
          <w:p>
            <w:pPr>
              <w:ind w:left="20"/>
              <w:spacing w:after="0" w:line="114" w:lineRule="exact"/>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)(3)(4)</w:t>
            </w:r>
          </w:p>
        </w:tc>
        <w:tc>
          <w:tcPr>
            <w:tcW w:w="540" w:type="dxa"/>
            <w:vAlign w:val="bottom"/>
          </w:tcPr>
          <w:p>
            <w:pPr>
              <w:spacing w:after="0"/>
              <w:rPr>
                <w:sz w:val="11"/>
                <w:szCs w:val="11"/>
                <w:color w:val="auto"/>
              </w:rPr>
            </w:pPr>
          </w:p>
        </w:tc>
        <w:tc>
          <w:tcPr>
            <w:tcW w:w="8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20" w:type="dxa"/>
            <w:vAlign w:val="bottom"/>
          </w:tcPr>
          <w:p>
            <w:pPr>
              <w:jc w:val="right"/>
              <w:ind w:right="156"/>
              <w:spacing w:after="0" w:line="114"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Borders>
              <w:bottom w:val="single" w:sz="8" w:color="CCEEFF"/>
            </w:tcBorders>
            <w:shd w:val="clear" w:color="auto" w:fill="000000"/>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M. Beyer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73,875</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98,531</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98,033</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270,439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880" w:type="dxa"/>
            <w:vAlign w:val="bottom"/>
          </w:tcPr>
          <w:p>
            <w:pPr>
              <w:jc w:val="right"/>
              <w:spacing w:after="0"/>
              <w:rPr>
                <w:sz w:val="20"/>
                <w:szCs w:val="20"/>
                <w:color w:val="auto"/>
              </w:rPr>
            </w:pPr>
            <w:r>
              <w:rPr>
                <w:rFonts w:ascii="Arial" w:cs="Arial" w:eastAsia="Arial" w:hAnsi="Arial"/>
                <w:sz w:val="18"/>
                <w:szCs w:val="18"/>
                <w:color w:val="auto"/>
              </w:rPr>
              <w:t>97,500</w:t>
            </w:r>
          </w:p>
        </w:tc>
        <w:tc>
          <w:tcPr>
            <w:tcW w:w="5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98,531</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98,033</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294,064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R. Evans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98,531</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98,033</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880" w:type="dxa"/>
            <w:vAlign w:val="bottom"/>
          </w:tcPr>
          <w:p>
            <w:pPr>
              <w:jc w:val="right"/>
              <w:spacing w:after="0"/>
              <w:rPr>
                <w:sz w:val="20"/>
                <w:szCs w:val="20"/>
                <w:color w:val="auto"/>
              </w:rPr>
            </w:pPr>
            <w:r>
              <w:rPr>
                <w:rFonts w:ascii="Arial" w:cs="Arial" w:eastAsia="Arial" w:hAnsi="Arial"/>
                <w:sz w:val="18"/>
                <w:szCs w:val="18"/>
                <w:color w:val="auto"/>
              </w:rPr>
              <w:t>72,000</w:t>
            </w:r>
          </w:p>
        </w:tc>
        <w:tc>
          <w:tcPr>
            <w:tcW w:w="5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98,531</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98,033</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268,564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98,531</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98,033</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Yves-Andre Istel</w:t>
            </w:r>
          </w:p>
        </w:tc>
        <w:tc>
          <w:tcPr>
            <w:tcW w:w="880" w:type="dxa"/>
            <w:vAlign w:val="bottom"/>
          </w:tcPr>
          <w:p>
            <w:pPr>
              <w:jc w:val="right"/>
              <w:spacing w:after="0"/>
              <w:rPr>
                <w:sz w:val="20"/>
                <w:szCs w:val="20"/>
                <w:color w:val="auto"/>
              </w:rPr>
            </w:pPr>
            <w:r>
              <w:rPr>
                <w:rFonts w:ascii="Arial" w:cs="Arial" w:eastAsia="Arial" w:hAnsi="Arial"/>
                <w:sz w:val="18"/>
                <w:szCs w:val="18"/>
                <w:color w:val="auto"/>
              </w:rPr>
              <w:t>25,072</w:t>
            </w:r>
          </w:p>
        </w:tc>
        <w:tc>
          <w:tcPr>
            <w:tcW w:w="54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Novich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98,531</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98,033</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880" w:type="dxa"/>
            <w:vAlign w:val="bottom"/>
          </w:tcPr>
          <w:p>
            <w:pPr>
              <w:jc w:val="right"/>
              <w:spacing w:after="0"/>
              <w:rPr>
                <w:sz w:val="20"/>
                <w:szCs w:val="20"/>
                <w:color w:val="auto"/>
              </w:rPr>
            </w:pPr>
            <w:r>
              <w:rPr>
                <w:rFonts w:ascii="Arial" w:cs="Arial" w:eastAsia="Arial" w:hAnsi="Arial"/>
                <w:sz w:val="18"/>
                <w:szCs w:val="18"/>
                <w:color w:val="auto"/>
              </w:rPr>
              <w:t>91,250</w:t>
            </w:r>
          </w:p>
        </w:tc>
        <w:tc>
          <w:tcPr>
            <w:tcW w:w="5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98,531</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98,033</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287,814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Stata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98,531</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98,033</w:t>
            </w: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12,836</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Lisa T. Su</w:t>
            </w:r>
          </w:p>
        </w:tc>
        <w:tc>
          <w:tcPr>
            <w:tcW w:w="880" w:type="dxa"/>
            <w:vAlign w:val="bottom"/>
          </w:tcPr>
          <w:p>
            <w:pPr>
              <w:jc w:val="right"/>
              <w:spacing w:after="0"/>
              <w:rPr>
                <w:sz w:val="20"/>
                <w:szCs w:val="20"/>
                <w:color w:val="auto"/>
              </w:rPr>
            </w:pPr>
            <w:r>
              <w:rPr>
                <w:rFonts w:ascii="Arial" w:cs="Arial" w:eastAsia="Arial" w:hAnsi="Arial"/>
                <w:sz w:val="18"/>
                <w:szCs w:val="18"/>
                <w:color w:val="auto"/>
              </w:rPr>
              <w:t>73,875</w:t>
            </w:r>
          </w:p>
        </w:tc>
        <w:tc>
          <w:tcPr>
            <w:tcW w:w="54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98,531</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98,033</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270,439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Little was elected as a director in January 2017 and did not serve during fiscal 2016. Mr. Istel served on the Board of Directors until his term ended on March 9, 2016.</w:t>
      </w:r>
    </w:p>
    <w:p>
      <w:pPr>
        <w:spacing w:after="0" w:line="50" w:lineRule="exact"/>
        <w:rPr>
          <w:rFonts w:ascii="Arial" w:cs="Arial" w:eastAsia="Arial" w:hAnsi="Arial"/>
          <w:sz w:val="18"/>
          <w:szCs w:val="18"/>
          <w:color w:val="auto"/>
        </w:rPr>
      </w:pPr>
    </w:p>
    <w:p>
      <w:pPr>
        <w:ind w:left="460" w:right="40" w:hanging="452"/>
        <w:spacing w:after="0" w:line="288"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amount includes a $70,000 annual board retainer. An additional annual retainer of $25,000 was paid to the chair of the Audit Committee, an additional annual retainer of $20,000 was paid to the chair of the Compensation Committee and an additional annual retainer of $15,000 was paid to the chair of the Nominating and Corporate Governance Committee. The Presiding Director also received an additional annual retainer of $15,000. The members of the Audit Committee (other than the chair) received an additional annual retainer of $10,000, the members of the Compensation Committee (other than the chair) received an additional annual retainer of $7,500, and the members of the Nominating and Corporate Governance Committee (other than the chair) received an additional annual retainer of $5,000. For 2016, Mr. Stata, as Chairman of the Board of Directors, received a total annual retainer of $250,000. All cash retainers are paid in quarterly installments each on the 15th day of December, March, June and September of each fiscal year. Dr. Frank elected to defer receipt of his fees under our Deferred Compensation Plan, or DCP. For more information relating to our DCP, see “INFORMATION ABOUT EXECUTIVE COMPENSATION — Non-Qualified Deferred Compensation Plan” below.</w:t>
      </w:r>
    </w:p>
    <w:p>
      <w:pPr>
        <w:spacing w:after="0" w:line="38"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awards for grants of RSUs or stock options to each listed director in fiscal 2016. These amounts do not represent the actual amounts paid to or realized by the directors during fiscal 2016. We recognize the fair value as of the grant date for stock options and RSUs over the number of days of service required for the award to become vested.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1" w:name="page32"/>
    <w:bookmarkEnd w:id="31"/>
    <w:p>
      <w:pPr>
        <w:ind w:left="460" w:right="7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number of stock options and RSUs outstanding held by each director (representing unexercised stock options, both exercisable and unexercisable, and unvested RSUs) at October 29, 2016 is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138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 Restricted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Subject to Option</w:t>
            </w:r>
          </w:p>
        </w:tc>
        <w:tc>
          <w:tcPr>
            <w:tcW w:w="29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Stock Units that 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20" w:type="dxa"/>
            <w:vAlign w:val="bottom"/>
            <w:vMerge w:val="restart"/>
          </w:tcPr>
          <w:p>
            <w:pPr>
              <w:spacing w:after="0"/>
              <w:rPr>
                <w:sz w:val="12"/>
                <w:szCs w:val="12"/>
                <w:color w:val="auto"/>
              </w:rPr>
            </w:pP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Awards Held as of</w:t>
            </w:r>
          </w:p>
        </w:tc>
        <w:tc>
          <w:tcPr>
            <w:tcW w:w="138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 as of</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7"/>
              </w:rPr>
              <w:t>October 29, 2016</w:t>
            </w:r>
          </w:p>
        </w:tc>
        <w:tc>
          <w:tcPr>
            <w:tcW w:w="1380" w:type="dxa"/>
            <w:vAlign w:val="bottom"/>
          </w:tcPr>
          <w:p>
            <w:pPr>
              <w:spacing w:after="0"/>
              <w:rPr>
                <w:sz w:val="14"/>
                <w:szCs w:val="14"/>
                <w:color w:val="auto"/>
              </w:rPr>
            </w:pPr>
          </w:p>
        </w:tc>
        <w:tc>
          <w:tcPr>
            <w:tcW w:w="15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October 29, 2016</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M. Beyer</w:t>
            </w:r>
          </w:p>
        </w:tc>
        <w:tc>
          <w:tcPr>
            <w:tcW w:w="1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28,730</w:t>
            </w:r>
          </w:p>
        </w:tc>
        <w:tc>
          <w:tcPr>
            <w:tcW w:w="13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65,710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R. Evans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23,340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75,710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Yves Andre Istel</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69,220</w:t>
            </w:r>
          </w:p>
        </w:tc>
        <w:tc>
          <w:tcPr>
            <w:tcW w:w="138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Novich</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85,013</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90,710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Stata</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39,120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2"/>
          </w:tcPr>
          <w:p>
            <w:pPr>
              <w:spacing w:after="0"/>
              <w:rPr>
                <w:sz w:val="20"/>
                <w:szCs w:val="20"/>
                <w:color w:val="auto"/>
              </w:rPr>
            </w:pPr>
            <w:r>
              <w:rPr>
                <w:rFonts w:ascii="Arial" w:cs="Arial" w:eastAsia="Arial" w:hAnsi="Arial"/>
                <w:sz w:val="18"/>
                <w:szCs w:val="18"/>
                <w:color w:val="auto"/>
              </w:rPr>
              <w:t>Lisa T. Su</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43,920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includes the assumptions, rounded to the nearest hundredth, which we used to calculate the grant date fair value amounts included in the “Stock Awards” and “Option Awards” column for fiscal 2016 Director Compensation.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Assumptions</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7"/>
              </w:rPr>
              <w:t>Risk-Free</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Expected</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Interest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Dividend</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200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Volatility</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Life</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Rate</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Yield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318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540" w:type="dxa"/>
            <w:vAlign w:val="bottom"/>
          </w:tcPr>
          <w:p>
            <w:pPr>
              <w:jc w:val="right"/>
              <w:ind w:right="62"/>
              <w:spacing w:after="0" w:line="14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9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4"/>
              </w:rPr>
              <w:t>(Years)</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54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03/09/2016</w:t>
            </w:r>
          </w:p>
        </w:tc>
        <w:tc>
          <w:tcPr>
            <w:tcW w:w="3180" w:type="dxa"/>
            <w:vAlign w:val="bottom"/>
            <w:tcBorders>
              <w:top w:val="single" w:sz="8" w:color="CCEEFF"/>
            </w:tcBorders>
            <w:shd w:val="clear" w:color="auto" w:fill="CCEEFF"/>
          </w:tcPr>
          <w:p>
            <w:pPr>
              <w:ind w:left="1880"/>
              <w:spacing w:after="0" w:line="202" w:lineRule="exact"/>
              <w:rPr>
                <w:sz w:val="20"/>
                <w:szCs w:val="20"/>
                <w:color w:val="auto"/>
              </w:rPr>
            </w:pPr>
            <w:r>
              <w:rPr>
                <w:rFonts w:ascii="Arial" w:cs="Arial" w:eastAsia="Arial" w:hAnsi="Arial"/>
                <w:sz w:val="18"/>
                <w:szCs w:val="18"/>
                <w:color w:val="auto"/>
              </w:rPr>
              <w:t>Stock options</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54.93</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34.36</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3.06</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rPr>
              <w:t>03/09/2016</w:t>
            </w:r>
          </w:p>
        </w:tc>
        <w:tc>
          <w:tcPr>
            <w:tcW w:w="3180" w:type="dxa"/>
            <w:vAlign w:val="bottom"/>
          </w:tcPr>
          <w:p>
            <w:pPr>
              <w:ind w:left="1880"/>
              <w:spacing w:after="0"/>
              <w:rPr>
                <w:sz w:val="20"/>
                <w:szCs w:val="20"/>
                <w:color w:val="auto"/>
              </w:rPr>
            </w:pPr>
            <w:r>
              <w:rPr>
                <w:rFonts w:ascii="Arial" w:cs="Arial" w:eastAsia="Arial" w:hAnsi="Arial"/>
                <w:sz w:val="18"/>
                <w:szCs w:val="18"/>
                <w:color w:val="auto"/>
              </w:rPr>
              <w:t>RSUs</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0.68</w:t>
            </w:r>
          </w:p>
        </w:tc>
        <w:tc>
          <w:tcPr>
            <w:tcW w:w="540" w:type="dxa"/>
            <w:vAlign w:val="bottom"/>
          </w:tcPr>
          <w:p>
            <w:pPr>
              <w:jc w:val="right"/>
              <w:spacing w:after="0"/>
              <w:rPr>
                <w:sz w:val="20"/>
                <w:szCs w:val="20"/>
                <w:color w:val="auto"/>
              </w:rPr>
            </w:pPr>
            <w:r>
              <w:rPr>
                <w:rFonts w:ascii="Arial" w:cs="Arial" w:eastAsia="Arial" w:hAnsi="Arial"/>
                <w:sz w:val="18"/>
                <w:szCs w:val="18"/>
                <w:color w:val="auto"/>
              </w:rPr>
              <w:t>3.06</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grant date fair value of RSUs represents the value of our common stock on the date of grant, reduced by the present value of dividends expected to be paid on our common stock prior to vesting. We compute the grant date fair value of stock options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—Critical Accounting Policies and Estimates — Stock-Based Compensation,” included in our Annual Report on Form 10-K for the year ended October 29, 2016.</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also reimburse our directors for travel to Board meetings and related expenses. Each director can elect to defer receipt of his or her fees under our DCP.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“INFORMATION ABOUT EXECUTIVE COMPENSATION — Non-Qualified Deferred Compensation Plan” below.</w:t>
      </w:r>
    </w:p>
    <w:p>
      <w:pPr>
        <w:spacing w:after="0" w:line="8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represents payment of medical and dental insurance premiums on behalf of Mr. Stata and his spouse.</w:t>
      </w:r>
    </w:p>
    <w:p>
      <w:pPr>
        <w:spacing w:after="0" w:line="25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Stock Ownership Guidelines for Non-Employee Directors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our stock ownership guidelines, the target share ownership level for non-employee directors is at least four times the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RSUs are counted for purposes of satisfying the guidelines. All of our non-employee directors were in compliance with our stock ownership guidelines as of the end of fiscal 2016.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Award Policy for Non-Employee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2016, our equity award grant policy for non-employee directors provided for the following:</w:t>
      </w:r>
    </w:p>
    <w:p>
      <w:pPr>
        <w:spacing w:after="0" w:line="90" w:lineRule="exact"/>
        <w:rPr>
          <w:sz w:val="20"/>
          <w:szCs w:val="20"/>
          <w:color w:val="auto"/>
        </w:rPr>
      </w:pPr>
    </w:p>
    <w:p>
      <w:pPr>
        <w:ind w:left="900" w:right="160" w:hanging="325"/>
        <w:spacing w:after="0" w:line="294"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newly elected non-employee director elected other than at an annual meeting of shareholders is automatically granted under the 2006 Stock Incentive Plan: (a) a non-qualified stock option to purchase a number of shares of our common stock approved by the Board of Directors at an exercise price equal to the closing price of our common stock on the grant date; and (b) an RSU award for a number of shares of our common stock approved by the Board of Directors, each on the 15th day of the month following the month of the date of initial election as a director, or if NASDAQ is closed on that day, the next succeeding business day that NASDAQ is open.</w:t>
      </w:r>
    </w:p>
    <w:p>
      <w:pPr>
        <w:spacing w:after="0" w:line="34"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an annual basis, each non-employee director elected or re-elected at an annual meeting of shareholders is automatically granted under the 2006 Stock Incentive Plan: (a) a non-qualified stock option to purchase a number of shares of our common stock approved by the Board of Directors at an exercise price equal to the closing price of our common stock on the grant date; and (b) a RSU award for a number of shares of our common stock approved by the Board of Directors, each on the date of our annual meeting of shareholders, or if NASDAQ is closed on that day, the next succeeding business day that NASDAQ is open.</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fiscal 2016, stock options and RSUs granted to our non-employee directors under the 2006 Stock Incentive Plan vest on the earlier of the date of the Annual Meeting and the first anniversary of the date of grant, subject to acceleration as described below. These awards vest in full upon the occurrence of a Change in Control Event (as defined in the 2006 Stock Incentive Plan) or the director’s death. If the director ceases to serve as a director by reason of his or her disability, as determined by the Board of Directors, each outstanding and unvested option and RSU will vest in full at the time he or she ceases to be a director. In addition, upon the occurrence of a Change in Control Event or in the event of the director’s death, disability or retirement after age 60, each vested option will continue to be exercisable for the balance of its term. Commencing with the fiscal 2017 annual grants, our newly-elected and re-elected directors will receive 100% of the value of their annual equity award in the form of RSUs. The Board believes this change better aligns with market practice among our peers. The vesting provisions of the equity awards remained unchanged.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During fiscal 2016, Mr. Stata, our founder and Chairman of the Board, received a cash retainer for service on the Board of $250,000. Following his retirement as an employee in 2012, the Company agreed to provide medical and dental benefits to Mr. Stata and his spouse during their lifetimes on the same basis as provided to U.S. employees of the Company. The value of those medical and dental benefits in 2016 was $12,836. On March 9, 2016, we granted a stock option to Mr. Stata for the purchase of 7,640 shares of our common stock at an exercise price of $54.93 per share and 1,850 RSUs. These awards were identical to the awards granted to our other directors on March 9, 2016 and vest on the earlier of the date of the Annual Meeting or the first anniversary of the grant date.</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2011, ADI acquired Lyric Semiconductor, Inc. (Lyric) for $14 million in the aggregate at closing, with additional contingent earn out payments based on the achievement of certain product-based milestones of up to $15 million and royalty payments of up to $25 million based on product sales following the closing. Mr. Stata served as Chairman of the Board of Lyric through the closing of the transaction. In addition, Stata Venture Partners II, LLC, a venture capital fund, held a significant equity position in Lyric. Mr. Stata serves as a general partner of Stata Venture Holdings II, LLC, which is a general partner of Stata Venture Partners II, LLC. Stata Venture Partners II, LLC was paid $4.5 million at the closing of the acquisition, and will be paid additional amounts up to an aggregate of approximately $8.1 million if all possible milestone and royalty payments are ultimately made. Mr. Stata’s economic interest in the payments to Stata Venture Partners II, LLC vary based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3" w:name="page34"/>
    <w:bookmarkEnd w:id="33"/>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satisfaction of conditions set forth in the partnership agreement for Stata Venture Partners II, LLC. In fiscal 2015, Stata Venture Partners II, LLC received an additional $472,717, in consideration under the terms of the transaction. No consideration was paid to Stata Venture Partners II, LLC in fiscal 2016. The maximum potential payments to Mr. Stata from the consideration paid or potentially payable to Stata Venture Partners II, LLC as a result of the acquisition are approximately $1,051,266 if all possible milestone and royalty payments are ultimately made and all conditions set forth in the partnership agreement for Stata Venture Partners II, LLC are satisfied. Mr. Stata recused himself from the votes regarding the acquisition. The acquisition, and Mr. Stata’s interests therein, were reviewed and approved by the Nominating and Corporate Governance Committee in accordance with our policies and procedures for related person transactions described below.</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Board of Directors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Nominating and Corporate Governance Committee. Whenever practicable, the reporting, review and approval will occur prior to entry into the transaction. If advance review and approval is not practicable, the Nominating and Corporate Governance Committee will review, and, in its discretion, may ratify the related person transaction.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5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the terms that could have been reached with an unrelated third party;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2"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The Nominating and Corporate Governance Committee may approve or ratify the transaction only if the Nominating and Corporate Governance Committee determines that, under all of the circumstances, the transaction is in Analog Devices’ best interests. The Nominating and Corporate Governance Committee may impose any conditions on the related person transaction that it deems appropriate.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4" w:name="page35"/>
    <w:bookmarkEnd w:id="34"/>
    <w:p>
      <w:pPr>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59" w:lineRule="exact"/>
        <w:rPr>
          <w:sz w:val="20"/>
          <w:szCs w:val="20"/>
          <w:color w:val="auto"/>
        </w:rPr>
      </w:pPr>
    </w:p>
    <w:p>
      <w:pPr>
        <w:ind w:left="900" w:right="40" w:hanging="325"/>
        <w:spacing w:after="0" w:line="294"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80" w:right="3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 ADVISORY VOTE ON THE COMPENSATION OF OUR NAMED EXECUTIVE OFFICERS</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requesting shareholder approval of the compensation of the executive officers named in our Summary Compensation Table below, who we refer to as our “named executive officers” or “NEOs.” This proposal, which is commonly referred to as “say-on-pay,” is required by the Dodd-Frank Act, which added Section 14A to the Exchange Act. We are required to provide our shareholders with the opportunity to vote to approve, on an advisory (non-binding) basis, the compensation of our NEOs as disclosed in this proxy statement in accordance with the SEC’s rules.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is asking shareholders to approve the following non-binding advisory resolution:</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RESOLVED,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Our Compensation Committee, however, values the opinions expressed by our shareholders and will carefully consider the outcome of the vote when making future compensation decisions for our NEOs. You may vote for, against or abstain from voting on this matter.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our 2016 annual meeting of shareholders, our compensation program for our NEOs received the support of 98.4% of the total votes cast.</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described in detail in the “Compensation Discussion and Analysis” section of this proxy statement, ADI’s executive compensation program is significantly performance-based and designed to attract, retain and motivate strong executives to lead our complex, global organization and to align their interests with those of our shareholders. We seek to provide total compensation to our executives that is competitive with our peers, and we believe that our executive compensation program is designed to encourage the most talented individuals to grow their careers at ADI.</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ADI has a longstanding philosophy and practice of paying executives for performance. In order to align our pay practices with shareholder interests, we tie a significant percentage of each executive’s compensation to the Company’s performance, in the form of variable cash incentive bonus payments and equity awards that rise in value only if our stock price increases. In fiscal 2016, a year in which ADI executed well and continued to deliver strong profits, aggregate payments under our cash incentive bonus plan were made at 85% of target. This was a result of exceeding our profitability target, but not achieving our year-over-year revenue growth target.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executive compensation program is working as intended and appropriately aligns executive pay with Company performance.</w:t>
      </w:r>
    </w:p>
    <w:p>
      <w:pPr>
        <w:spacing w:after="0" w:line="19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approval of the compensation of our named executive officers as disclosed in this proxy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 — FREQUENCY OF FUTURE ADVISORY VOTES ON THE COMPENSATION OF OUR NAMED EXECUTIVE OFFICERS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required to submit a non-binding, advisory resolution to shareholders at least once every six years to determine whether future advisory votes on the compensation paid of our NEOs should be held every year, every two years or every three years. At the 2011 annual meeting of shareholders, our shareholders approved an advisory resolution to approve, on an advisory basis, the compensation of our NEOs once every year. In accordance with the results of that vote, our Board of Directors determined to implement an advisory vote on the compensation of our NEOs every year. We are once again asking shareholders to advise us as to how frequently they wish to cast an advisory vote on the compensation of our NEOs.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of Directors believes that an annual advisory vote on the compensation of our NEOs will facilitate more direct shareholder input about executive compensation. An annual advisory vote is consistent with the policy of reviewing our executive compensation program annually. In arriving at our recommendation on the frequency vote, we reviewed the results of our previous shareholder voting in 2011, when an annual vote was approved by a majority of the shareholders.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Regardless, our Board of Directors values the opinions expressed by shareholders and expects to implement the frequency which receives the greatest level of support from our shareholders. You are not voting to approve or disapprove our recommendation of each year, but rather to make your own choice among a vote once every year, every two years or every three years. You may also abstain from voting on this item.</w:t>
      </w:r>
    </w:p>
    <w:p>
      <w:pPr>
        <w:spacing w:after="0" w:line="143" w:lineRule="exact"/>
        <w:rPr>
          <w:sz w:val="20"/>
          <w:szCs w:val="20"/>
          <w:color w:val="auto"/>
        </w:rPr>
      </w:pPr>
    </w:p>
    <w:p>
      <w:pPr>
        <w:jc w:val="center"/>
        <w:ind w:right="280"/>
        <w:spacing w:after="0" w:line="440" w:lineRule="auto"/>
        <w:rPr>
          <w:sz w:val="20"/>
          <w:szCs w:val="20"/>
          <w:color w:val="auto"/>
        </w:rPr>
      </w:pPr>
      <w:r>
        <w:rPr>
          <w:rFonts w:ascii="Arial" w:cs="Arial" w:eastAsia="Arial" w:hAnsi="Arial"/>
          <w:sz w:val="18"/>
          <w:szCs w:val="18"/>
          <w:b w:val="1"/>
          <w:bCs w:val="1"/>
          <w:i w:val="1"/>
          <w:iCs w:val="1"/>
          <w:color w:val="auto"/>
        </w:rPr>
        <w:t xml:space="preserve">We recommend that you vote in favor of future advisory votes on the compensation of our named executive officers to be held EVERY YEAR. </w:t>
      </w: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provide compensation for our executives that is competitive with our peers, with an opportunity for increased compensation if the Company’s performance warrants. The elements of our executives’ total compensation are base salary, variable cash incentive awards, long-term equity compensation awards, and retirement and other employee benefits. We have designed our compensation program to make a substantial percentage of our executive pay variable, subject to increase when corporate targets are overachieved and reduction when corporate targets are not reached.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Compensation Program is designed to attract and retain top executive talent and align the interests of our executives and our shareholders.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accomplish this through the following steps:</w:t>
      </w:r>
    </w:p>
    <w:p>
      <w:pPr>
        <w:spacing w:after="0" w:line="84" w:lineRule="exact"/>
        <w:rPr>
          <w:sz w:val="20"/>
          <w:szCs w:val="20"/>
          <w:color w:val="auto"/>
        </w:rPr>
      </w:pPr>
    </w:p>
    <w:p>
      <w:pPr>
        <w:jc w:val="both"/>
        <w:ind w:left="900" w:right="6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First, we ensure our executive compensation is competitive and attracts and retains top executive talent by understanding how the total target compensation (consisting of salary, bonus and equity awards) of our named executive officers, or NEOs, compares to the median total target compensation of those in similar positions within our peer group.</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then consider a variety of factors, including the scope of the role and the performance and experience of the individual when deciding how each NEO’s total target compensation compares to the median total target compensation of those in similar positions within our peer group.</w:t>
      </w:r>
    </w:p>
    <w:p>
      <w:pPr>
        <w:spacing w:after="0" w:line="4" w:lineRule="exact"/>
        <w:rPr>
          <w:rFonts w:ascii="Arial" w:cs="Arial" w:eastAsia="Arial" w:hAnsi="Arial"/>
          <w:sz w:val="16"/>
          <w:szCs w:val="16"/>
          <w:color w:val="auto"/>
        </w:rPr>
      </w:pPr>
    </w:p>
    <w:p>
      <w:pPr>
        <w:ind w:left="900" w:right="220" w:hanging="446"/>
        <w:spacing w:after="0" w:line="335"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structure our compensation package to align executives’ interests with those of our shareholders by tying a significant portion of their total compensation directly to ADI’s short- and long-term performance, measured by operating profit before taxes as a percentage of revenue, or OPBT margin and year-over-year revenue growth, which both drive shareholder value, stock price appreciation and relative total shareholder return.</w:t>
      </w:r>
    </w:p>
    <w:p>
      <w:pPr>
        <w:spacing w:after="0" w:line="8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Chief Executive Officer’s compensation is described in more detail below under “— Chief Executive Officer Compensation.” Our other NEOs’ compensation is described in more detail below under “— Compensation for Other Named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Business Results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fiscal year ended October 29, 2016, or fiscal 2016, was a year of strong execution for Analog Devices. Our business model generated gross margins of 65.1%, operating margins of 30.0%, operating cash flow of approximately $1.3 billion, or 37.4% of revenue and free cash flow of approximately $1.2 billion, or</w:t>
      </w:r>
    </w:p>
    <w:p>
      <w:pPr>
        <w:ind w:right="220"/>
        <w:spacing w:after="0" w:line="254" w:lineRule="auto"/>
        <w:rPr>
          <w:sz w:val="20"/>
          <w:szCs w:val="20"/>
          <w:color w:val="auto"/>
        </w:rPr>
      </w:pPr>
      <w:r>
        <w:rPr>
          <w:rFonts w:ascii="Arial" w:cs="Arial" w:eastAsia="Arial" w:hAnsi="Arial"/>
          <w:sz w:val="18"/>
          <w:szCs w:val="18"/>
          <w:color w:val="auto"/>
        </w:rPr>
        <w:t>33.7% of revenue.</w:t>
      </w:r>
      <w:r>
        <w:rPr>
          <w:rFonts w:ascii="Arial" w:cs="Arial" w:eastAsia="Arial" w:hAnsi="Arial"/>
          <w:sz w:val="11"/>
          <w:szCs w:val="11"/>
          <w:color w:val="auto"/>
        </w:rPr>
        <w:t>1</w:t>
      </w:r>
      <w:r>
        <w:rPr>
          <w:rFonts w:ascii="Arial" w:cs="Arial" w:eastAsia="Arial" w:hAnsi="Arial"/>
          <w:sz w:val="18"/>
          <w:szCs w:val="18"/>
          <w:color w:val="auto"/>
        </w:rPr>
        <w:t xml:space="preserve"> We also returned approximately $883 million to shareholders in the form of dividends and share repurchases. In addition to strong business results, in fiscal 2016, we announced the proposed acquisition of Linear Technology Corporation, which once complete, will create a high-performance analog leader, with the combined company having a top two market share position across all the key building blocks of the analog market, namely: data converters, power management, amplifiers, interface, and high-performance RF and microwave.</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0" w:lineRule="exact"/>
        <w:rPr>
          <w:sz w:val="20"/>
          <w:szCs w:val="20"/>
          <w:color w:val="auto"/>
        </w:rPr>
      </w:pPr>
    </w:p>
    <w:p>
      <w:pPr>
        <w:ind w:left="120" w:hanging="112"/>
        <w:spacing w:after="0"/>
        <w:tabs>
          <w:tab w:leader="none" w:pos="120" w:val="left"/>
        </w:tabs>
        <w:numPr>
          <w:ilvl w:val="0"/>
          <w:numId w:val="30"/>
        </w:numPr>
        <w:rPr>
          <w:rFonts w:ascii="Arial" w:cs="Arial" w:eastAsia="Arial" w:hAnsi="Arial"/>
          <w:sz w:val="19"/>
          <w:szCs w:val="19"/>
          <w:color w:val="auto"/>
          <w:vertAlign w:val="superscript"/>
        </w:rPr>
      </w:pPr>
      <w:r>
        <w:rPr>
          <w:rFonts w:ascii="Arial" w:cs="Arial" w:eastAsia="Arial" w:hAnsi="Arial"/>
          <w:sz w:val="12"/>
          <w:szCs w:val="12"/>
          <w:color w:val="auto"/>
        </w:rPr>
        <w:t>Free cash flow and free cash flow margin are non-GAAP financial measures. Free cash flow is defined as cash provided by (used in) operating activities less capital expenditures. Free cash flow margin is free</w:t>
      </w:r>
    </w:p>
    <w:p>
      <w:pPr>
        <w:ind w:left="120"/>
        <w:spacing w:after="0" w:line="191" w:lineRule="auto"/>
        <w:rPr>
          <w:sz w:val="20"/>
          <w:szCs w:val="20"/>
          <w:color w:val="auto"/>
        </w:rPr>
      </w:pPr>
      <w:r>
        <w:rPr>
          <w:rFonts w:ascii="Arial" w:cs="Arial" w:eastAsia="Arial" w:hAnsi="Arial"/>
          <w:sz w:val="14"/>
          <w:szCs w:val="14"/>
          <w:color w:val="auto"/>
        </w:rPr>
        <w:t>cash flow as a percentage of revenue. See Appendix A for a calculation of free cash flow and a reconciliation of free cash flow to the most comparable GAAP financial measure.</w:t>
      </w:r>
    </w:p>
    <w:p>
      <w:pPr>
        <w:ind w:left="120" w:hanging="112"/>
        <w:spacing w:after="0" w:line="198" w:lineRule="auto"/>
        <w:tabs>
          <w:tab w:leader="none" w:pos="120" w:val="left"/>
        </w:tabs>
        <w:numPr>
          <w:ilvl w:val="0"/>
          <w:numId w:val="31"/>
        </w:numPr>
        <w:rPr>
          <w:rFonts w:ascii="Arial" w:cs="Arial" w:eastAsia="Arial" w:hAnsi="Arial"/>
          <w:sz w:val="19"/>
          <w:szCs w:val="19"/>
          <w:color w:val="auto"/>
          <w:vertAlign w:val="superscript"/>
        </w:rPr>
      </w:pPr>
      <w:r>
        <w:rPr>
          <w:rFonts w:ascii="Arial" w:cs="Arial" w:eastAsia="Arial" w:hAnsi="Arial"/>
          <w:sz w:val="12"/>
          <w:szCs w:val="12"/>
          <w:color w:val="auto"/>
        </w:rPr>
        <w:t>Data based on Gartner reports and Company estimates based on Fiscal 2015 data. RF/Microwave is based on Company estimates and excludes consumer and cellular infrastructure power amplifiers.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“Say on Pay” Feedback from Shareholders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Each year we submit our executive compensation program to an advisory vote of our shareholders as required by Section 14A of the Exchange Act. In 2016, our executive compensation program received the support of 98.4% of the total votes cast at our 2016 Annual Meeting. We pay careful attention to any feedback we receive from our shareholders about our executive compensation program including the “say on pay” vote. During the course of the year, we held in-person and telephonic meetings with a number of shareholders to discuss a variety of matters, including our executive compensation program and how they evaluate it. Our Compensation Committee carefully considers this feedback when making decisions regarding executive compensation.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total targeted compensation of our NEOs is directly linked to Company performance in the form of cash incentive bonus payments and equity awards (88% for the Chief Executive Officer and 82% on average for the other NEOs). We believe this provides our executives an opportunity to earn above peer average compensation if ADI delivers strong results, and conversely, if the Company delivers weaker results, our executives would earn less compensation.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u w:val="single" w:color="auto"/>
          <w:color w:val="auto"/>
        </w:rPr>
        <w:t>Variable Cash Incentive Bonus Payments</w:t>
      </w:r>
      <w:r>
        <w:rPr>
          <w:rFonts w:ascii="Arial" w:cs="Arial" w:eastAsia="Arial" w:hAnsi="Arial"/>
          <w:sz w:val="16"/>
          <w:szCs w:val="16"/>
          <w:color w:val="auto"/>
        </w:rPr>
        <w:t>. We link a significant portion of our executives’ cash compensation to ADI’s performance, measured by our OPBT margin and year-over-year revenue growth on a quarterly basis, through our performance incentive plan. All employees participate in our performance incentive plan, which provides us with a variable compensation structure, allowing us to reduce our compensation costs in challenging times and to reward performance when business conditions and results warrant. The performance metrics for our cash incentive plan are identical for employees and executives alike, which we believe drives consistent business goals. For fiscal 2016, the Compensation Committee set target percentages of 150% of base salary for our Chief Executive Officer and between 80%-100% of base salary for our remaining NEOs. The Compensation Committee selected these target bonus percentages to ensure that a substantial portion of each executive’s cash compensation is directly linked to our business performance.</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performance incentive plan takes into consideration our actual business results, compared to the strategic performance targets we set for our business. In setting our targets, we use an assessment of our business results relative to our peers to ensure that our performance targets are appropriately calibrated. Our Compensation Committee’s independent consultant, Pearl Meyer and Partners (PM), conducted an analysis that compared our performance against the three-year average performance of our peers, including OPBT margin and year-over-year revenue growth, to help us determine the appropriate targets for each quarter of fiscal 2016, which were unchanged from fiscal 2015 targets. The three-year average OPBT margin for our peer group was 21%, compared to our target of 30% for each quarter of fiscal 2016, and our 30% target also exceeded the peer group median for each of the past three years. The three-year average revenue growth for our peer group was 6%, compared to our target of 8% for each quarter of fiscal 2016, and our 8% target exceeds the peer group median for two of the past three years.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We also link pay and performance by providing a significant amount of our executives’ compensation in the form of equity awards, the value of which is directly tied to our stock price performance over the long term. In fiscal 2016, approximately 65% of the average total targeted compensation of our NEOs was in the form of equity. In fiscal 2016, the form and mix of equity awards delivered as part of our annual equity award program for our executive officers was as follows:</w:t>
      </w:r>
    </w:p>
    <w:p>
      <w:pPr>
        <w:spacing w:after="0" w:line="6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Performance-Based RSUs. </w:t>
      </w:r>
      <w:r>
        <w:rPr>
          <w:rFonts w:ascii="Arial" w:cs="Arial" w:eastAsia="Arial" w:hAnsi="Arial"/>
          <w:sz w:val="16"/>
          <w:szCs w:val="16"/>
          <w:color w:val="auto"/>
        </w:rPr>
        <w:t>Approximately 33% of the value was delivered in the form of performance-based RSUs, under which the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ADI common stock received following vesting will be based on ADI’s total shareholder return, or TSR, performance (defined as share price appreciation plus cumulative cash dividend payments) measured against the median TSR of a defined comparator group of companies over a three-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9" w:name="page40"/>
    <w:bookmarkEnd w:id="3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period. The performance-based RSUs were added to the equity award compensation element for executives in 2014. These performance-based RSUs for our executives ensure a direct link between the value of our long-term incentives and the value that is created for our shareholders.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Time-Based RSUs. </w:t>
      </w:r>
      <w:r>
        <w:rPr>
          <w:rFonts w:ascii="Arial" w:cs="Arial" w:eastAsia="Arial" w:hAnsi="Arial"/>
          <w:sz w:val="18"/>
          <w:szCs w:val="18"/>
          <w:color w:val="auto"/>
        </w:rPr>
        <w:t>Approximately 33% of the value was delivered in the form of time-based RSUs, which increase or decrease in value depending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performance.</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Approximately 33% of the value of our executives’ equity was delivered in the form of stock options that provide a direct link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these awards and the appreciation of the stock owned by our shareholders.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Shareholder Return</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calculate and evaluate our TSR performance annually in March in connection with the vesting of our performance-based RSUs. Fiscal 2014 was the first year that we included performance-based RSUs as part of our executives’ annual equity award compensation. As the performance period for the 2014 performance-based RSUs will not end until March 12, 2017, in fiscal 2016 we measured TSR as of the second anniversary of the grant of those awards, or March 12, 2016. On a one-, two- and three-year cumulative basis, our TSR performance was -13.58%, 7.38% and 27.6%, respectively. On the same basis, the median TSR performance of the 2014 performance-based RSU award comparator group was -0.2%, 5.32% and 32.7%, respectively, which ranked our TSR performance at the 13th percentile, 50th percentile and 38th percentile of comparator group performance, respectively. For illustrative purposes, if the 2014 performance-based RSUs had a two-year performance period (rather than a three-year performance period) and vested on March 12, 2016, they would have paid out at 104% of target under the terms of our performance-based RSU award agreements. For more information about our performance-based RSUs, see “— Components of Executive Compensation — Equity Compensation” below.</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purposes of calculating TSR performance, we use the TSR calculation set forth in our performance-based RSU award agreements. The periods used to calculate share price appreciation and dividends paid are held constant and the beginning stock price used is the average of the closing prices of the applicable stock for the 90 calendar days starting and including the first day of the measured period and the ending stock price used is the average of the closing price of the applicable stock for the 90 calendar days up to and including the last day of the measured period. Companies in the 2014 performance-based RSU award comparator group that are not publicly traded as of the date of the TSR calculation are not included in the calculation.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pay and governance practices are designed to align our executives’ interests with our shareholders. For example:</w:t>
      </w:r>
    </w:p>
    <w:p>
      <w:pPr>
        <w:sectPr>
          <w:pgSz w:w="11900" w:h="16838" w:orient="portrait"/>
          <w:cols w:equalWidth="0" w:num="1">
            <w:col w:w="11360"/>
          </w:cols>
          <w:pgMar w:left="240" w:top="280" w:right="299" w:bottom="1440" w:gutter="0" w:footer="0" w:header="0"/>
        </w:sectPr>
      </w:pPr>
    </w:p>
    <w:p>
      <w:pPr>
        <w:spacing w:after="0" w:line="144" w:lineRule="exact"/>
        <w:rPr>
          <w:sz w:val="20"/>
          <w:szCs w:val="20"/>
          <w:color w:val="auto"/>
        </w:rPr>
      </w:pPr>
    </w:p>
    <w:p>
      <w:pPr>
        <w:ind w:left="760" w:right="172" w:hanging="387"/>
        <w:spacing w:after="0" w:line="357" w:lineRule="auto"/>
        <w:tabs>
          <w:tab w:leader="none" w:pos="7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do not guarantee salary increases or non-performance-based bonuses</w:t>
      </w:r>
    </w:p>
    <w:p>
      <w:pPr>
        <w:ind w:left="760" w:right="192" w:hanging="387"/>
        <w:spacing w:after="0" w:line="259"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cash incentive bonus awards are based solely on our financial performance</w:t>
      </w:r>
    </w:p>
    <w:p>
      <w:pPr>
        <w:spacing w:after="0" w:line="59" w:lineRule="exact"/>
        <w:rPr>
          <w:rFonts w:ascii="Arial" w:cs="Arial" w:eastAsia="Arial" w:hAnsi="Arial"/>
          <w:sz w:val="18"/>
          <w:szCs w:val="18"/>
          <w:color w:val="auto"/>
        </w:rPr>
      </w:pPr>
    </w:p>
    <w:p>
      <w:pPr>
        <w:ind w:left="760" w:right="292" w:hanging="387"/>
        <w:spacing w:after="0" w:line="306"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do not modify our performance targets during the year, even in challenging years</w:t>
      </w:r>
    </w:p>
    <w:p>
      <w:pPr>
        <w:spacing w:after="0" w:line="25" w:lineRule="exact"/>
        <w:rPr>
          <w:rFonts w:ascii="Arial" w:cs="Arial" w:eastAsia="Arial" w:hAnsi="Arial"/>
          <w:sz w:val="16"/>
          <w:szCs w:val="16"/>
          <w:color w:val="auto"/>
        </w:rPr>
      </w:pPr>
    </w:p>
    <w:p>
      <w:pPr>
        <w:ind w:left="760" w:right="152" w:hanging="387"/>
        <w:spacing w:after="0" w:line="26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provide new tax gross-ups for executive officers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388" w:right="226" w:hanging="388"/>
        <w:spacing w:after="0" w:line="268" w:lineRule="auto"/>
        <w:tabs>
          <w:tab w:leader="none" w:pos="3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pay dividends on unvested equity awards</w:t>
      </w:r>
    </w:p>
    <w:p>
      <w:pPr>
        <w:spacing w:after="0" w:line="50" w:lineRule="exact"/>
        <w:rPr>
          <w:rFonts w:ascii="Arial" w:cs="Arial" w:eastAsia="Arial" w:hAnsi="Arial"/>
          <w:sz w:val="18"/>
          <w:szCs w:val="18"/>
          <w:color w:val="auto"/>
        </w:rPr>
      </w:pPr>
    </w:p>
    <w:p>
      <w:pPr>
        <w:jc w:val="both"/>
        <w:ind w:left="388" w:right="866" w:hanging="388"/>
        <w:spacing w:after="0" w:line="357" w:lineRule="auto"/>
        <w:tabs>
          <w:tab w:leader="none" w:pos="388"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do not provide extensive perquisites to our executives</w:t>
      </w:r>
    </w:p>
    <w:p>
      <w:pPr>
        <w:jc w:val="both"/>
        <w:ind w:left="388" w:right="186" w:hanging="388"/>
        <w:spacing w:after="0" w:line="259" w:lineRule="auto"/>
        <w:tabs>
          <w:tab w:leader="none" w:pos="3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equity grant date policy does not give executives or directors discretion to choose grant dates</w:t>
      </w:r>
    </w:p>
    <w:p>
      <w:pPr>
        <w:spacing w:after="0" w:line="59" w:lineRule="exact"/>
        <w:rPr>
          <w:rFonts w:ascii="Arial" w:cs="Arial" w:eastAsia="Arial" w:hAnsi="Arial"/>
          <w:sz w:val="18"/>
          <w:szCs w:val="18"/>
          <w:color w:val="auto"/>
        </w:rPr>
      </w:pPr>
    </w:p>
    <w:p>
      <w:pPr>
        <w:ind w:left="388" w:right="306" w:hanging="388"/>
        <w:spacing w:after="0" w:line="370" w:lineRule="auto"/>
        <w:tabs>
          <w:tab w:leader="none" w:pos="388"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have stock ownership guidelines for all officers and directors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left="294" w:right="160" w:hanging="294"/>
        <w:spacing w:after="0" w:line="332" w:lineRule="auto"/>
        <w:tabs>
          <w:tab w:leader="none" w:pos="294"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prohibit hedging transactions and “short sales” involving ADI securities</w:t>
      </w:r>
    </w:p>
    <w:p>
      <w:pPr>
        <w:spacing w:after="0" w:line="4" w:lineRule="exact"/>
        <w:rPr>
          <w:rFonts w:ascii="Arial" w:cs="Arial" w:eastAsia="Arial" w:hAnsi="Arial"/>
          <w:sz w:val="16"/>
          <w:szCs w:val="16"/>
          <w:color w:val="auto"/>
        </w:rPr>
      </w:pPr>
    </w:p>
    <w:p>
      <w:pPr>
        <w:ind w:left="294" w:right="180" w:hanging="294"/>
        <w:spacing w:after="0" w:line="268" w:lineRule="auto"/>
        <w:tabs>
          <w:tab w:leader="none" w:pos="2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prohibit holding ADI securities in margin account</w:t>
      </w:r>
    </w:p>
    <w:p>
      <w:pPr>
        <w:spacing w:after="0" w:line="50" w:lineRule="exact"/>
        <w:rPr>
          <w:rFonts w:ascii="Arial" w:cs="Arial" w:eastAsia="Arial" w:hAnsi="Arial"/>
          <w:sz w:val="18"/>
          <w:szCs w:val="18"/>
          <w:color w:val="auto"/>
        </w:rPr>
      </w:pPr>
    </w:p>
    <w:p>
      <w:pPr>
        <w:ind w:left="294" w:right="100" w:hanging="294"/>
        <w:spacing w:after="0" w:line="268" w:lineRule="auto"/>
        <w:tabs>
          <w:tab w:leader="none" w:pos="2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prohibit pledging ADI securities as collateral for a loan</w:t>
      </w:r>
    </w:p>
    <w:p>
      <w:pPr>
        <w:spacing w:after="0" w:line="1145" w:lineRule="exact"/>
        <w:rPr>
          <w:sz w:val="20"/>
          <w:szCs w:val="20"/>
          <w:color w:val="auto"/>
        </w:rPr>
      </w:pPr>
    </w:p>
    <w:p>
      <w:pPr>
        <w:sectPr>
          <w:pgSz w:w="11900" w:h="16838" w:orient="portrait"/>
          <w:cols w:equalWidth="0" w:num="3">
            <w:col w:w="3532" w:space="720"/>
            <w:col w:w="3254" w:space="720"/>
            <w:col w:w="3134"/>
          </w:cols>
          <w:pgMar w:left="240" w:top="280" w:right="299" w:bottom="1440" w:gutter="0" w:footer="0" w:header="0"/>
          <w:type w:val="continuous"/>
        </w:sectPr>
      </w:pP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60"/>
          </w:cols>
          <w:pgMar w:left="240" w:top="280" w:right="299"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Benchmarking</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making its compensation determinations, the Compensation Committee annually reviews the total compensation that each of our executives is eligible to receive against the compensation levels of comparable positions of a peer group of companies. The Compensation Committee has sought to select peer companies that are publicly traded, headquartered in the United States, compete with us for talent, and are similar to ADI in their product and services offerings, business model, revenue size and market capitalization. The composition of the peer group is reviewed annually by the Compensation Committee. In June 2015, the Compensation Committee conducted its annual peer group review for our fiscal 2016 executive compensation determinations. The median annual revenue of our peer group at that time was $2.9 billion, compared to our trailing four quarters revenue of $3.1 billion. The median market capitalization of our peer group at that time was $11.8 billion, compared to our market capitalization of $19.7 billion. The Compensation Committee, with input from PM, felt that it was appropriate to maintain the peer group used by the Compensation Committee to evaluate executive compensation in fiscal 2015. Some companies in our peer group (such as Texas Instruments) fall outside of our selection range. We include them in the peer group, however, because they have similar product and services offerings as ADI, they are direct competitors of ADI, we compete with them for talent, and/or they include ADI in their own peer group. Because executive compensation comparisons are done using percentiles, rather than averages, we do not believe the data becomes skewed if a company falls outside our selection range.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The peer group used by the Compensation Committee in fiscal 2016 to evaluate executive compensation consisted of the following companies: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Peer Group</w:t>
      </w:r>
    </w:p>
    <w:p>
      <w:pPr>
        <w:sectPr>
          <w:pgSz w:w="11900" w:h="16838" w:orient="portrait"/>
          <w:cols w:equalWidth="0" w:num="1">
            <w:col w:w="11420"/>
          </w:cols>
          <w:pgMar w:left="240" w:top="280" w:right="239" w:bottom="1440" w:gutter="0" w:footer="0" w:header="0"/>
        </w:sectPr>
      </w:pPr>
    </w:p>
    <w:p>
      <w:pPr>
        <w:spacing w:after="0" w:line="21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Altera Corp.</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Avago Technologies Ltd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Broadcom Corp.</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Freescale Semiconductor, Inc.</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Linear Technology Corp.</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Marvell Technology Group Ltd.</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Maxim Integrated Products, Inc.</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Microchip Technology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Nvidia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Xilinx, Inc.</w:t>
      </w:r>
    </w:p>
    <w:p>
      <w:pPr>
        <w:spacing w:after="0" w:line="381" w:lineRule="exact"/>
        <w:rPr>
          <w:sz w:val="20"/>
          <w:szCs w:val="20"/>
          <w:color w:val="auto"/>
        </w:rPr>
      </w:pPr>
    </w:p>
    <w:p>
      <w:pPr>
        <w:sectPr>
          <w:pgSz w:w="11900" w:h="16838" w:orient="portrait"/>
          <w:cols w:equalWidth="0" w:num="2">
            <w:col w:w="5460" w:space="720"/>
            <w:col w:w="5240"/>
          </w:cols>
          <w:pgMar w:left="240" w:top="280" w:right="239" w:bottom="1440" w:gutter="0" w:footer="0" w:header="0"/>
          <w:type w:val="continuous"/>
        </w:sectPr>
      </w:pPr>
    </w:p>
    <w:p>
      <w:pPr>
        <w:ind w:right="380" w:firstLine="456"/>
        <w:spacing w:after="0" w:line="259" w:lineRule="auto"/>
        <w:rPr>
          <w:sz w:val="20"/>
          <w:szCs w:val="20"/>
          <w:color w:val="auto"/>
        </w:rPr>
      </w:pPr>
      <w:r>
        <w:rPr>
          <w:rFonts w:ascii="Arial" w:cs="Arial" w:eastAsia="Arial" w:hAnsi="Arial"/>
          <w:sz w:val="18"/>
          <w:szCs w:val="18"/>
          <w:color w:val="auto"/>
        </w:rPr>
        <w:t>For officers in positions for which the fiscal 2016 peer group companies do not publicly disclose compensation data, the Compensation Committee reviewed data collected from Radford’s Global Technology Survey. This survey depicts executive compensation levels across a wide spectrum of technology sector companies comparable in revenue size.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Developments After the 2016 Fiscal Year</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2016, the Compensation Committee engaged PM to conduct a review of the composition of the Company’s peer group for fiscal 2017. Due to the pending acquisition of Linear Technology Corporation, which will substantially increase the Company’s size and complexity, the Compensation Committee instructed PM to perform its analysis and present its recommendation on both a pre-acquisition and post-acquisition basis. As a result of rapid consolidation in the semiconductor industry over the last several years, in addition to companies that meet the criteria outlined above for our fiscal 2016 peer group, the pre-acquisition and post-acquisition peer groups for fiscal 2017 include additional semiconductor companies outside of our historic peer group, as well as companies outside of the semiconductor industry. These additional companies are similar in size and have similar gross margins and research and development spend as the Company, including peers of peers and peers of other companies in our sector. In September 2016, the Compensation Committee approved the pre-acquisition peer group. The Compensation Committee also conceptually approved the post-acquisition peer group, and plans to approve the post-acquisition peer group following the close of the pending acquisition of Linear. Depending on the timing of the proposed acquisition of Linear, data collected from either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type w:val="continuous"/>
        </w:sectPr>
      </w:pPr>
    </w:p>
    <w:bookmarkStart w:id="41" w:name="page42"/>
    <w:bookmarkEnd w:id="41"/>
    <w:p>
      <w:pPr>
        <w:ind w:right="6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pre-acquisition or post-acquisition peer group, as appropriate, will be used when reviewing market data in support of the compensation decisions for the Company’s executive officers in fiscal 2017, including base salary, cash incentive bonus awards targets and long-term equity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compensation for our executive officers consists of the following principal elements: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1660" w:type="dxa"/>
            <w:vAlign w:val="bottom"/>
            <w:tcBorders>
              <w:top w:val="single" w:sz="8" w:color="auto"/>
              <w:lef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Element</w:t>
            </w:r>
          </w:p>
        </w:tc>
        <w:tc>
          <w:tcPr>
            <w:tcW w:w="1560" w:type="dxa"/>
            <w:vAlign w:val="bottom"/>
            <w:tcBorders>
              <w:top w:val="single" w:sz="8" w:color="auto"/>
              <w:right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5"/>
              </w:rPr>
              <w:t>Objective</w:t>
            </w:r>
          </w:p>
        </w:tc>
        <w:tc>
          <w:tcPr>
            <w:tcW w:w="22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Fixed/Variable</w:t>
            </w:r>
          </w:p>
        </w:tc>
        <w:tc>
          <w:tcPr>
            <w:tcW w:w="240" w:type="dxa"/>
            <w:vAlign w:val="bottom"/>
            <w:tcBorders>
              <w:top w:val="single" w:sz="8" w:color="auto"/>
              <w:right w:val="single" w:sz="8" w:color="auto"/>
            </w:tcBorders>
          </w:tcPr>
          <w:p>
            <w:pPr>
              <w:spacing w:after="0"/>
              <w:rPr>
                <w:sz w:val="14"/>
                <w:szCs w:val="14"/>
                <w:color w:val="auto"/>
              </w:rPr>
            </w:pPr>
          </w:p>
        </w:tc>
      </w:tr>
      <w:tr>
        <w:trPr>
          <w:trHeight w:val="20"/>
        </w:trPr>
        <w:tc>
          <w:tcPr>
            <w:tcW w:w="372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5320" w:type="dxa"/>
            <w:vAlign w:val="bottom"/>
            <w:tcBorders>
              <w:bottom w:val="single" w:sz="8" w:color="auto"/>
              <w:right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Base Salary</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Attract and retain talent and provide stable source of income.</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Cash Incentive Bonus Award</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Link pay and annual Company performance. Align executive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9"/>
              </w:rPr>
              <w:t>compensation with the financial performance of the Company and our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4"/>
              </w:rPr>
              <w:t>achievement of OPBT margin and year-over-year revenue growth,</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which are measured quarterly.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Long-Term Equity Compensation</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Link pay and long-term Company performance. Reward stock price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appreciation, promote long-term retention and permit executives to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accumulate equity ownership in the Company.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304"/>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Retirement and Other Employee Benefits</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Retain talent by providing financial protection and security.</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use the median base salary for similar positions within our peer group as an important factor in setting a base salary that can attract and retain talent. When setting the base salary for each individual NEO, the Compensation Committee also considers other factors, including the scope of the role and the performance and experience of the individual.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2016 Executive Performance Incentive Plan</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September 2015, the Compensation Committee approved the terms of our fiscal 2016 Executive Performance Incentive Plan. The plan is designed to be variable, depending on ADI’s operating results. Executive and employee bonuses are calculated using the same plan targets.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executive officers, including our NEOs, participated in our executive performance incentive plan. We calculated and paid bonuses under the fiscal 2016 plan as follows:</w:t>
      </w:r>
    </w:p>
    <w:p>
      <w:pPr>
        <w:spacing w:after="0" w:line="172"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7"/>
              </w:rPr>
              <w:t>Individual</w:t>
            </w:r>
          </w:p>
        </w:tc>
        <w:tc>
          <w:tcPr>
            <w:tcW w:w="860" w:type="dxa"/>
            <w:vAlign w:val="bottom"/>
          </w:tcPr>
          <w:p>
            <w:pPr>
              <w:spacing w:after="0"/>
              <w:rPr>
                <w:sz w:val="18"/>
                <w:szCs w:val="18"/>
                <w:color w:val="auto"/>
              </w:rPr>
            </w:pPr>
          </w:p>
        </w:tc>
        <w:tc>
          <w:tcPr>
            <w:tcW w:w="1140" w:type="dxa"/>
            <w:vAlign w:val="bottom"/>
            <w:vMerge w:val="restart"/>
          </w:tcPr>
          <w:p>
            <w:pPr>
              <w:ind w:left="360"/>
              <w:spacing w:after="0"/>
              <w:rPr>
                <w:sz w:val="20"/>
                <w:szCs w:val="20"/>
                <w:color w:val="auto"/>
              </w:rPr>
            </w:pPr>
            <w:r>
              <w:rPr>
                <w:rFonts w:ascii="Arial" w:cs="Arial" w:eastAsia="Arial" w:hAnsi="Arial"/>
                <w:sz w:val="18"/>
                <w:szCs w:val="18"/>
                <w:color w:val="auto"/>
              </w:rPr>
              <w:t>Bonus</w:t>
            </w: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20" w:type="dxa"/>
            <w:vAlign w:val="bottom"/>
            <w:vMerge w:val="restart"/>
          </w:tcPr>
          <w:p>
            <w:pPr>
              <w:jc w:val="center"/>
              <w:ind w:right="612"/>
              <w:spacing w:after="0"/>
              <w:rPr>
                <w:sz w:val="20"/>
                <w:szCs w:val="20"/>
                <w:color w:val="auto"/>
              </w:rPr>
            </w:pPr>
            <w:r>
              <w:rPr>
                <w:rFonts w:ascii="Arial" w:cs="Arial" w:eastAsia="Arial" w:hAnsi="Arial"/>
                <w:sz w:val="18"/>
                <w:szCs w:val="18"/>
                <w:color w:val="auto"/>
                <w:w w:val="82"/>
              </w:rPr>
              <w:t>Base</w:t>
            </w:r>
          </w:p>
        </w:tc>
        <w:tc>
          <w:tcPr>
            <w:tcW w:w="1360" w:type="dxa"/>
            <w:vAlign w:val="bottom"/>
          </w:tcPr>
          <w:p>
            <w:pPr>
              <w:spacing w:after="0"/>
              <w:rPr>
                <w:sz w:val="9"/>
                <w:szCs w:val="9"/>
                <w:color w:val="auto"/>
              </w:rPr>
            </w:pPr>
          </w:p>
        </w:tc>
        <w:tc>
          <w:tcPr>
            <w:tcW w:w="1780" w:type="dxa"/>
            <w:vAlign w:val="bottom"/>
            <w:vMerge w:val="restart"/>
          </w:tcPr>
          <w:p>
            <w:pPr>
              <w:jc w:val="center"/>
              <w:ind w:left="72"/>
              <w:spacing w:after="0"/>
              <w:rPr>
                <w:sz w:val="20"/>
                <w:szCs w:val="20"/>
                <w:color w:val="auto"/>
              </w:rPr>
            </w:pPr>
            <w:r>
              <w:rPr>
                <w:rFonts w:ascii="Arial" w:cs="Arial" w:eastAsia="Arial" w:hAnsi="Arial"/>
                <w:sz w:val="18"/>
                <w:szCs w:val="18"/>
                <w:color w:val="auto"/>
                <w:w w:val="88"/>
              </w:rPr>
              <w:t>Target</w:t>
            </w:r>
          </w:p>
        </w:tc>
        <w:tc>
          <w:tcPr>
            <w:tcW w:w="8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restart"/>
          </w:tcPr>
          <w:p>
            <w:pPr>
              <w:ind w:left="340"/>
              <w:spacing w:after="0"/>
              <w:rPr>
                <w:sz w:val="20"/>
                <w:szCs w:val="20"/>
                <w:color w:val="auto"/>
              </w:rPr>
            </w:pPr>
            <w:r>
              <w:rPr>
                <w:rFonts w:ascii="Arial" w:cs="Arial" w:eastAsia="Arial" w:hAnsi="Arial"/>
                <w:sz w:val="18"/>
                <w:szCs w:val="18"/>
                <w:color w:val="auto"/>
                <w:w w:val="86"/>
              </w:rPr>
              <w:t>Bonus</w:t>
            </w: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1360" w:type="dxa"/>
            <w:vAlign w:val="bottom"/>
            <w:vMerge w:val="restart"/>
          </w:tcPr>
          <w:p>
            <w:pPr>
              <w:ind w:left="660"/>
              <w:spacing w:after="0"/>
              <w:rPr>
                <w:sz w:val="20"/>
                <w:szCs w:val="20"/>
                <w:color w:val="auto"/>
              </w:rPr>
            </w:pPr>
            <w:r>
              <w:rPr>
                <w:rFonts w:ascii="Arial" w:cs="Arial" w:eastAsia="Arial" w:hAnsi="Arial"/>
                <w:sz w:val="18"/>
                <w:szCs w:val="18"/>
                <w:color w:val="auto"/>
              </w:rPr>
              <w:t>X</w:t>
            </w:r>
          </w:p>
        </w:tc>
        <w:tc>
          <w:tcPr>
            <w:tcW w:w="1780" w:type="dxa"/>
            <w:vAlign w:val="bottom"/>
            <w:vMerge w:val="continue"/>
          </w:tcPr>
          <w:p>
            <w:pPr>
              <w:spacing w:after="0"/>
              <w:rPr>
                <w:sz w:val="9"/>
                <w:szCs w:val="9"/>
                <w:color w:val="auto"/>
              </w:rPr>
            </w:pPr>
          </w:p>
        </w:tc>
        <w:tc>
          <w:tcPr>
            <w:tcW w:w="860" w:type="dxa"/>
            <w:vAlign w:val="bottom"/>
            <w:vMerge w:val="restart"/>
          </w:tcPr>
          <w:p>
            <w:pPr>
              <w:ind w:left="400"/>
              <w:spacing w:after="0"/>
              <w:rPr>
                <w:sz w:val="20"/>
                <w:szCs w:val="20"/>
                <w:color w:val="auto"/>
              </w:rPr>
            </w:pPr>
            <w:r>
              <w:rPr>
                <w:rFonts w:ascii="Arial" w:cs="Arial" w:eastAsia="Arial" w:hAnsi="Arial"/>
                <w:sz w:val="18"/>
                <w:szCs w:val="18"/>
                <w:color w:val="auto"/>
              </w:rPr>
              <w:t>X</w:t>
            </w:r>
          </w:p>
        </w:tc>
        <w:tc>
          <w:tcPr>
            <w:tcW w:w="1140" w:type="dxa"/>
            <w:vAlign w:val="bottom"/>
            <w:vMerge w:val="restart"/>
          </w:tcPr>
          <w:p>
            <w:pPr>
              <w:ind w:left="340"/>
              <w:spacing w:after="0"/>
              <w:rPr>
                <w:sz w:val="20"/>
                <w:szCs w:val="20"/>
                <w:color w:val="auto"/>
              </w:rPr>
            </w:pPr>
            <w:r>
              <w:rPr>
                <w:rFonts w:ascii="Arial" w:cs="Arial" w:eastAsia="Arial" w:hAnsi="Arial"/>
                <w:sz w:val="18"/>
                <w:szCs w:val="18"/>
                <w:color w:val="auto"/>
              </w:rPr>
              <w:t>Payout</w:t>
            </w:r>
          </w:p>
        </w:tc>
        <w:tc>
          <w:tcPr>
            <w:tcW w:w="760" w:type="dxa"/>
            <w:vAlign w:val="bottom"/>
            <w:vMerge w:val="restart"/>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restart"/>
          </w:tcPr>
          <w:p>
            <w:pPr>
              <w:jc w:val="center"/>
              <w:ind w:right="592"/>
              <w:spacing w:after="0"/>
              <w:rPr>
                <w:sz w:val="20"/>
                <w:szCs w:val="20"/>
                <w:color w:val="auto"/>
              </w:rPr>
            </w:pPr>
            <w:r>
              <w:rPr>
                <w:rFonts w:ascii="Arial" w:cs="Arial" w:eastAsia="Arial" w:hAnsi="Arial"/>
                <w:sz w:val="18"/>
                <w:szCs w:val="18"/>
                <w:color w:val="auto"/>
                <w:w w:val="86"/>
              </w:rPr>
              <w:t>Salary</w:t>
            </w:r>
          </w:p>
        </w:tc>
        <w:tc>
          <w:tcPr>
            <w:tcW w:w="1360" w:type="dxa"/>
            <w:vAlign w:val="bottom"/>
            <w:vMerge w:val="continue"/>
          </w:tcPr>
          <w:p>
            <w:pPr>
              <w:spacing w:after="0"/>
              <w:rPr>
                <w:sz w:val="9"/>
                <w:szCs w:val="9"/>
                <w:color w:val="auto"/>
              </w:rPr>
            </w:pPr>
          </w:p>
        </w:tc>
        <w:tc>
          <w:tcPr>
            <w:tcW w:w="1780" w:type="dxa"/>
            <w:vAlign w:val="bottom"/>
            <w:vMerge w:val="restart"/>
          </w:tcPr>
          <w:p>
            <w:pPr>
              <w:jc w:val="center"/>
              <w:ind w:left="72"/>
              <w:spacing w:after="0"/>
              <w:rPr>
                <w:sz w:val="20"/>
                <w:szCs w:val="20"/>
                <w:color w:val="auto"/>
              </w:rPr>
            </w:pPr>
            <w:r>
              <w:rPr>
                <w:rFonts w:ascii="Arial" w:cs="Arial" w:eastAsia="Arial" w:hAnsi="Arial"/>
                <w:sz w:val="18"/>
                <w:szCs w:val="18"/>
                <w:color w:val="auto"/>
                <w:w w:val="90"/>
              </w:rPr>
              <w:t>Bonus</w:t>
            </w:r>
          </w:p>
        </w:tc>
        <w:tc>
          <w:tcPr>
            <w:tcW w:w="8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vMerge w:val="restart"/>
          </w:tcPr>
          <w:p>
            <w:pPr>
              <w:ind w:left="320"/>
              <w:spacing w:after="0"/>
              <w:rPr>
                <w:sz w:val="20"/>
                <w:szCs w:val="20"/>
                <w:color w:val="auto"/>
              </w:rPr>
            </w:pPr>
            <w:r>
              <w:rPr>
                <w:rFonts w:ascii="Arial" w:cs="Arial" w:eastAsia="Arial" w:hAnsi="Arial"/>
                <w:sz w:val="18"/>
                <w:szCs w:val="18"/>
                <w:color w:val="auto"/>
                <w:w w:val="82"/>
              </w:rPr>
              <w:t>Payout</w:t>
            </w: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vMerge w:val="restart"/>
          </w:tcPr>
          <w:p>
            <w:pPr>
              <w:ind w:left="360"/>
              <w:spacing w:after="0"/>
              <w:rPr>
                <w:sz w:val="20"/>
                <w:szCs w:val="20"/>
                <w:color w:val="auto"/>
              </w:rPr>
            </w:pPr>
            <w:r>
              <w:rPr>
                <w:rFonts w:ascii="Arial" w:cs="Arial" w:eastAsia="Arial" w:hAnsi="Arial"/>
                <w:sz w:val="18"/>
                <w:szCs w:val="18"/>
                <w:color w:val="auto"/>
              </w:rPr>
              <w:t>Factor</w:t>
            </w: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780" w:type="dxa"/>
            <w:vAlign w:val="bottom"/>
            <w:vMerge w:val="restart"/>
          </w:tcPr>
          <w:p>
            <w:pPr>
              <w:jc w:val="center"/>
              <w:ind w:left="72"/>
              <w:spacing w:after="0"/>
              <w:rPr>
                <w:sz w:val="20"/>
                <w:szCs w:val="20"/>
                <w:color w:val="auto"/>
              </w:rPr>
            </w:pPr>
            <w:r>
              <w:rPr>
                <w:rFonts w:ascii="Arial" w:cs="Arial" w:eastAsia="Arial" w:hAnsi="Arial"/>
                <w:sz w:val="18"/>
                <w:szCs w:val="18"/>
                <w:color w:val="auto"/>
                <w:w w:val="84"/>
              </w:rPr>
              <w:t>Percentage</w:t>
            </w:r>
          </w:p>
        </w:tc>
        <w:tc>
          <w:tcPr>
            <w:tcW w:w="8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u w:val="single" w:color="auto"/>
          <w:color w:val="auto"/>
        </w:rPr>
        <w:t>Individual Target Bonus Percentage</w:t>
      </w:r>
      <w:r>
        <w:rPr>
          <w:rFonts w:ascii="Arial" w:cs="Arial" w:eastAsia="Arial" w:hAnsi="Arial"/>
          <w:sz w:val="18"/>
          <w:szCs w:val="18"/>
          <w:color w:val="auto"/>
        </w:rPr>
        <w:t>. For fiscal 2016, the Compensation Committee set target percentages of 150% of base salary for our Chief Executive Officer and between 80%-100% of base salary for our remaining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42" w:name="page43"/>
    <w:bookmarkEnd w:id="42"/>
    <w:p>
      <w:pPr>
        <w:jc w:val="both"/>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NEOs. The Compensation Committee selected these target bonus percentages to ensure that a substantial portion of each executive’s cash compensation is linked directly to our business performance, and to ensure that total compensation is competitive with companies in our peer group. Our Chief Executive Officer’s target was set at 150% in order to tie the majority of his cash compensation directly to Company performance. The bonus target for our remaining NEOs provides those executives with a performance-based opportunity to earn total target compensation benchmarked against the median total target compensation of those in similar positions within our peer group.</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Bonus Payout Factor</w:t>
      </w:r>
      <w:r>
        <w:rPr>
          <w:rFonts w:ascii="Arial" w:cs="Arial" w:eastAsia="Arial" w:hAnsi="Arial"/>
          <w:sz w:val="16"/>
          <w:szCs w:val="16"/>
          <w:color w:val="auto"/>
        </w:rPr>
        <w:t>. For fiscal 2016, we based the Bonus Payout Factor for the applicable quarterly bonus period on our OPBT margin and year-over-year revenue growth compared to the same quarter in the prior year. The OPBT margin and year-over-year revenue growth targets for each quarter of fiscal 2016 were 30% and 8%, respectively. These targets were equally applicable to our executives and our non-executive employees. The profitability target reflects the improvements we have made to our business performance in recent years. The growth target was chosen following review of the historical growth rates of our business and those of our peers in recent years, as well as our strategic performance targets.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our executive performance incentive plan contains quarterly performance targets, the Compensation Committee designed this plan to drive long-term performance. The targets are directly linked to our long-term corporate strategy of improving OPBT margin and increasing revenue growth, which drives shareholder value. We believe this combination ensures that we encourage a long-term focus on our business objectives, while measuring and rewarding progress against those objectives on a quarterly basis.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Compensation Committee may adjust the OPBT margin and year-over-year revenue growth metrics in its sole discretion to exclude special items such as (but not limited to) restructuring-related expense, acquisition-related expense, gain or loss on disposition of businesses, non-recurring royalty payments, and other similar non-cash or non-recurring items. The Compensation Committee may, in its discretion, exclude these items in order to prevent payments under the plan from being adversely or advantageously affected by special items. For purposes of determining the bonus payout factor for each quarter of fiscal 2016, OPBT margin was adjusted to exclude acquisition-related expenses, acquisition-related transaction costs and restructuring-related expenses, consistent with the non-GAAP operating margin reported in our fiscal 2016 quarterly earnings releases.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reviews and approves our performance targets at the beginning of each fiscal year, and historically these targets have not been re-set during the year,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margin and year-over-year revenue growth targets are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12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For fiscal 2016, we maintained challenging OPBT margin and year-over-year revenue growth targets. We selected the OPBT margin and year-over-year revenue growth targets in part based on the historical averages of those metrics for our peer group. The three-year average OPBT margin for our peer group was 21%, compared to our target of 30% for each quarter of fiscal 2016, and our 30% target also exceeds the peer group median for each of the past three years. The three-year average year-over-year revenue growth for our peer group was 6%, compared to our target of 8% for each quarter of fiscal 2016, and our 8% target exceeded the peer group median for two of the past three fiscal years. Given historical profit margins in the industry, we do not pay any bonus if profit margins fall to 20% or below, regardless of what revenue level we achieve. In addition, if revenue does not grow, we do not pay on that portion of the bonus. We capped the Bonus Payout Factor at 300% of target, and a 300% bonus payout would require us to achieve OPBT margins at or above 40% and year-over-year revenue growth levels at or above 28%.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fiscal 2016, the calculated OPBT Margin, Year-Over-Year Revenue Growth and Bonus Payout Factor for each quarter were as follows:</w:t>
      </w:r>
    </w:p>
    <w:p>
      <w:pPr>
        <w:spacing w:after="0" w:line="223"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380" w:type="dxa"/>
            <w:vAlign w:val="bottom"/>
            <w:tcBorders>
              <w:top w:val="single" w:sz="8" w:color="auto"/>
              <w:left w:val="single" w:sz="8" w:color="auto"/>
              <w:right w:val="single" w:sz="8" w:color="auto"/>
            </w:tcBorders>
          </w:tcPr>
          <w:p>
            <w:pPr>
              <w:spacing w:after="0"/>
              <w:rPr>
                <w:sz w:val="14"/>
                <w:szCs w:val="14"/>
                <w:color w:val="auto"/>
              </w:rPr>
            </w:pPr>
          </w:p>
        </w:tc>
        <w:tc>
          <w:tcPr>
            <w:tcW w:w="4300" w:type="dxa"/>
            <w:vAlign w:val="bottom"/>
            <w:tcBorders>
              <w:top w:val="single" w:sz="8" w:color="auto"/>
              <w:bottom w:val="single" w:sz="8" w:color="auto"/>
              <w:right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OPBT Margin (50% weight)</w:t>
            </w:r>
          </w:p>
        </w:tc>
        <w:tc>
          <w:tcPr>
            <w:tcW w:w="3880" w:type="dxa"/>
            <w:vAlign w:val="bottom"/>
            <w:tcBorders>
              <w:top w:val="single" w:sz="8" w:color="auto"/>
              <w:bottom w:val="single" w:sz="8" w:color="auto"/>
              <w:right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Revenue Growth (50% weight)</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Quarterly Bonus</w:t>
            </w:r>
          </w:p>
        </w:tc>
      </w:tr>
      <w:tr>
        <w:trPr>
          <w:trHeight w:val="116"/>
        </w:trPr>
        <w:tc>
          <w:tcPr>
            <w:tcW w:w="380" w:type="dxa"/>
            <w:vAlign w:val="bottom"/>
            <w:tcBorders>
              <w:left w:val="single" w:sz="8" w:color="auto"/>
              <w:right w:val="single" w:sz="8" w:color="auto"/>
            </w:tcBorders>
          </w:tcPr>
          <w:p>
            <w:pPr>
              <w:spacing w:after="0"/>
              <w:rPr>
                <w:sz w:val="10"/>
                <w:szCs w:val="10"/>
                <w:color w:val="auto"/>
              </w:rPr>
            </w:pPr>
          </w:p>
        </w:tc>
        <w:tc>
          <w:tcPr>
            <w:tcW w:w="23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OPBT</w:t>
            </w:r>
          </w:p>
        </w:tc>
        <w:tc>
          <w:tcPr>
            <w:tcW w:w="1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w w:val="98"/>
              </w:rPr>
              <w:t>Bonus Payout</w:t>
            </w:r>
          </w:p>
        </w:tc>
        <w:tc>
          <w:tcPr>
            <w:tcW w:w="19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YOY Revenue</w:t>
            </w:r>
          </w:p>
        </w:tc>
        <w:tc>
          <w:tcPr>
            <w:tcW w:w="19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Bonus Payout</w:t>
            </w:r>
          </w:p>
        </w:tc>
        <w:tc>
          <w:tcPr>
            <w:tcW w:w="19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Payout Factor</w:t>
            </w:r>
          </w:p>
        </w:tc>
      </w:tr>
      <w:tr>
        <w:trPr>
          <w:trHeight w:val="164"/>
        </w:trPr>
        <w:tc>
          <w:tcPr>
            <w:tcW w:w="380" w:type="dxa"/>
            <w:vAlign w:val="bottom"/>
            <w:tcBorders>
              <w:left w:val="single" w:sz="8" w:color="auto"/>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Margin (by quarter)</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Factor (by quarter)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Growth</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Factor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73"/>
        </w:trPr>
        <w:tc>
          <w:tcPr>
            <w:tcW w:w="380" w:type="dxa"/>
            <w:vAlign w:val="bottom"/>
            <w:tcBorders>
              <w:left w:val="single" w:sz="8" w:color="auto"/>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960" w:type="dxa"/>
            <w:vAlign w:val="bottom"/>
            <w:tcBorders>
              <w:bottom w:val="single" w:sz="8" w:color="auto"/>
              <w:right w:val="single" w:sz="8" w:color="auto"/>
            </w:tcBorders>
          </w:tcPr>
          <w:p>
            <w:pPr>
              <w:spacing w:after="0"/>
              <w:rPr>
                <w:sz w:val="15"/>
                <w:szCs w:val="15"/>
                <w:color w:val="auto"/>
              </w:rPr>
            </w:pPr>
          </w:p>
        </w:tc>
      </w:tr>
      <w:tr>
        <w:trPr>
          <w:trHeight w:val="210"/>
        </w:trPr>
        <w:tc>
          <w:tcPr>
            <w:tcW w:w="3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Q1</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27.8%</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0.78</w:t>
            </w:r>
          </w:p>
        </w:tc>
        <w:tc>
          <w:tcPr>
            <w:tcW w:w="1940" w:type="dxa"/>
            <w:vAlign w:val="bottom"/>
            <w:tcBorders>
              <w:bottom w:val="single" w:sz="8" w:color="auto"/>
              <w:right w:val="single" w:sz="8" w:color="auto"/>
            </w:tcBorders>
            <w:shd w:val="clear" w:color="auto" w:fill="CCEEFF"/>
          </w:tcPr>
          <w:p>
            <w:pPr>
              <w:jc w:val="right"/>
              <w:ind w:right="623"/>
              <w:spacing w:after="0"/>
              <w:rPr>
                <w:sz w:val="20"/>
                <w:szCs w:val="20"/>
                <w:color w:val="auto"/>
              </w:rPr>
            </w:pPr>
            <w:r>
              <w:rPr>
                <w:rFonts w:ascii="Arial" w:cs="Arial" w:eastAsia="Arial" w:hAnsi="Arial"/>
                <w:sz w:val="18"/>
                <w:szCs w:val="18"/>
                <w:color w:val="auto"/>
              </w:rPr>
              <w:t>(0.3)%</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0.39</w:t>
            </w:r>
          </w:p>
        </w:tc>
      </w:tr>
      <w:tr>
        <w:trPr>
          <w:trHeight w:val="210"/>
        </w:trPr>
        <w:tc>
          <w:tcPr>
            <w:tcW w:w="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Q2</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30.8%</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1.16</w:t>
            </w:r>
          </w:p>
        </w:tc>
        <w:tc>
          <w:tcPr>
            <w:tcW w:w="1940" w:type="dxa"/>
            <w:vAlign w:val="bottom"/>
            <w:tcBorders>
              <w:bottom w:val="single" w:sz="8" w:color="auto"/>
              <w:right w:val="single" w:sz="8" w:color="auto"/>
            </w:tcBorders>
          </w:tcPr>
          <w:p>
            <w:pPr>
              <w:jc w:val="right"/>
              <w:ind w:right="623"/>
              <w:spacing w:after="0"/>
              <w:rPr>
                <w:sz w:val="20"/>
                <w:szCs w:val="20"/>
                <w:color w:val="auto"/>
              </w:rPr>
            </w:pPr>
            <w:r>
              <w:rPr>
                <w:rFonts w:ascii="Arial" w:cs="Arial" w:eastAsia="Arial" w:hAnsi="Arial"/>
                <w:sz w:val="18"/>
                <w:szCs w:val="18"/>
                <w:color w:val="auto"/>
              </w:rPr>
              <w:t>(5.1)%</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0.58</w:t>
            </w:r>
          </w:p>
        </w:tc>
      </w:tr>
      <w:tr>
        <w:trPr>
          <w:trHeight w:val="210"/>
        </w:trPr>
        <w:tc>
          <w:tcPr>
            <w:tcW w:w="3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Q3</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34.1%</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1.82</w:t>
            </w:r>
          </w:p>
        </w:tc>
        <w:tc>
          <w:tcPr>
            <w:tcW w:w="1940" w:type="dxa"/>
            <w:vAlign w:val="bottom"/>
            <w:tcBorders>
              <w:bottom w:val="single" w:sz="8" w:color="auto"/>
              <w:right w:val="single" w:sz="8" w:color="auto"/>
            </w:tcBorders>
            <w:shd w:val="clear" w:color="auto" w:fill="CCEEFF"/>
          </w:tcPr>
          <w:p>
            <w:pPr>
              <w:jc w:val="right"/>
              <w:ind w:right="683"/>
              <w:spacing w:after="0"/>
              <w:rPr>
                <w:sz w:val="20"/>
                <w:szCs w:val="20"/>
                <w:color w:val="auto"/>
              </w:rPr>
            </w:pPr>
            <w:r>
              <w:rPr>
                <w:rFonts w:ascii="Arial" w:cs="Arial" w:eastAsia="Arial" w:hAnsi="Arial"/>
                <w:sz w:val="18"/>
                <w:szCs w:val="18"/>
                <w:color w:val="auto"/>
              </w:rPr>
              <w:t>0.7%</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0.09</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0.96</w:t>
            </w:r>
          </w:p>
        </w:tc>
      </w:tr>
      <w:tr>
        <w:trPr>
          <w:trHeight w:val="210"/>
        </w:trPr>
        <w:tc>
          <w:tcPr>
            <w:tcW w:w="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Q4</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38.1%</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2.62</w:t>
            </w:r>
          </w:p>
        </w:tc>
        <w:tc>
          <w:tcPr>
            <w:tcW w:w="1940" w:type="dxa"/>
            <w:vAlign w:val="bottom"/>
            <w:tcBorders>
              <w:bottom w:val="single" w:sz="8" w:color="auto"/>
              <w:right w:val="single" w:sz="8" w:color="auto"/>
            </w:tcBorders>
          </w:tcPr>
          <w:p>
            <w:pPr>
              <w:jc w:val="right"/>
              <w:ind w:right="683"/>
              <w:spacing w:after="0"/>
              <w:rPr>
                <w:sz w:val="20"/>
                <w:szCs w:val="20"/>
                <w:color w:val="auto"/>
              </w:rPr>
            </w:pPr>
            <w:r>
              <w:rPr>
                <w:rFonts w:ascii="Arial" w:cs="Arial" w:eastAsia="Arial" w:hAnsi="Arial"/>
                <w:sz w:val="18"/>
                <w:szCs w:val="18"/>
                <w:color w:val="auto"/>
              </w:rPr>
              <w:t>2.5%</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0.31</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1.47</w:t>
            </w: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fiscal 2016, a year in which we had solid execution with strong profitability, but did not achieve our year-over-year revenue growth targets each quarter, aggregate payments under our executive performance incentive plan were made at 85% of target.</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u w:val="single" w:color="auto"/>
          <w:color w:val="auto"/>
        </w:rPr>
        <w:t>Funding of Executive Performance Incentive Plan</w:t>
      </w:r>
      <w:r>
        <w:rPr>
          <w:rFonts w:ascii="Arial" w:cs="Arial" w:eastAsia="Arial" w:hAnsi="Arial"/>
          <w:sz w:val="16"/>
          <w:szCs w:val="16"/>
          <w:color w:val="auto"/>
        </w:rPr>
        <w:t>. In general, the Compensation Committee intends to structure and administer executive compensation plans and arrangements so that they will not be subject to the deduction limit under Section 162(m) of the Internal Revenue Code. However, the Compensation Committee may from time to time approve payments that cannot be deducted in order to maintain flexibility in structuring appropriate compensation programs in the interest of shareholders. Our Executive Section 162(m) Plan, or the 162(m) plan, is a separate plan approved by shareholders that allows for the annual bonus compensation paid to certain of our executive officers under our executive performance incentive plan to become eligible for deduction when it may not otherwise be deductible as a result of Section 162(m). In fiscal 2016, Messrs. Roche and Hess were designated to participate under the 162(m) plan. Under the 162(m) plan, at the beginning of each fiscal year, the Compensation Committee allocates to each designated participant a portion of the annual incentive pool which is funded with 2% of the Company’s profits as described in the plan. Under the 162(m) plan, the Compensation Committee may use its discretion to decrease, but not increase, the amounts that may be paid to the participants out of their allocation of the funded incentive pool. The Compensation Committee has exercised this discretion by applying the performance goals of our executive performance incentive plan to the participants’ allocation of the funded incentive pool. For fiscal 2016, the 162(m) plan funded the incentive pool with an aggregate of $20.4 million, of which an aggregate of $1.5 million was distributed to the NEO participants based on achievement of the performance goals under our executive performance incentive plan.</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equity compensation program is a broad-based, long-term employee rewards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analog semiconductor industry. We use stock options as a way to reward long-term value creation and time-based RSUs as a retention tool and to enable our executives to accumulate stock ownership in the Company. In a volatile stock market, RSUs continue to provide value when stock options may not, which the Compensation Committee believes will be useful in retaining talented executives and employees in uncertain economic times. In fiscal 2016, the Compensation Committee also included variable performance-based RSUs as part of the long-term equity compensation granted to executive officers. The number of shares of ADI common stock received by an executive officer following vesting of the performance-based RSUs will range from 0% to a maximum of 200% of the target amount based on ADI’s TSR performance measured against the median TSR of an established comparator group over a three-year period, capped at a maximum of 100% of the initial number of performance-based RSUs granted if the Company’s TSR is negative. The performance parameters established by the Compensation Committee are equal to 100% plus or minus two times the difference between the Company’s TSR and the comparator group median TSR. Attainment among performance parameters is subject to interpolation on a linear basis. The examples below illustrate how different scenarios would result in payouts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4" w:name="page45"/>
    <w:bookmarkEnd w:id="44"/>
    <w:p>
      <w:pPr>
        <w:ind w:right="4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ranging from 0% to a maximum of 200% of the target amount. The fourth example shows the payout calculation if the performance-based RSUs granted on March 12, 2014 had a two-year performance period (rather than a three-year performance period) and vested on March 12, 2016.</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80" w:type="dxa"/>
            <w:vAlign w:val="bottom"/>
            <w:tcBorders>
              <w:top w:val="single" w:sz="8" w:color="auto"/>
              <w:left w:val="single" w:sz="8" w:color="auto"/>
              <w:right w:val="single" w:sz="8" w:color="auto"/>
            </w:tcBorders>
          </w:tcPr>
          <w:p>
            <w:pPr>
              <w:spacing w:after="0"/>
              <w:rPr>
                <w:sz w:val="12"/>
                <w:szCs w:val="12"/>
                <w:color w:val="auto"/>
              </w:rPr>
            </w:pPr>
          </w:p>
        </w:tc>
        <w:tc>
          <w:tcPr>
            <w:tcW w:w="180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2060" w:type="dxa"/>
            <w:vAlign w:val="bottom"/>
            <w:tcBorders>
              <w:top w:val="single" w:sz="8" w:color="auto"/>
              <w:right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Difference</w:t>
            </w:r>
          </w:p>
        </w:tc>
        <w:tc>
          <w:tcPr>
            <w:tcW w:w="1480" w:type="dxa"/>
            <w:vAlign w:val="bottom"/>
            <w:tcBorders>
              <w:top w:val="single" w:sz="8" w:color="auto"/>
              <w:right w:val="single" w:sz="8" w:color="auto"/>
            </w:tcBorders>
          </w:tcPr>
          <w:p>
            <w:pPr>
              <w:spacing w:after="0"/>
              <w:rPr>
                <w:sz w:val="12"/>
                <w:szCs w:val="12"/>
                <w:color w:val="auto"/>
              </w:rPr>
            </w:pPr>
          </w:p>
        </w:tc>
        <w:tc>
          <w:tcPr>
            <w:tcW w:w="2000" w:type="dxa"/>
            <w:vAlign w:val="bottom"/>
            <w:tcBorders>
              <w:top w:val="single" w:sz="8" w:color="auto"/>
              <w:right w:val="single" w:sz="8" w:color="auto"/>
            </w:tcBorders>
          </w:tcPr>
          <w:p>
            <w:pPr>
              <w:spacing w:after="0"/>
              <w:rPr>
                <w:sz w:val="12"/>
                <w:szCs w:val="12"/>
                <w:color w:val="auto"/>
              </w:rPr>
            </w:pPr>
          </w:p>
        </w:tc>
      </w:tr>
      <w:tr>
        <w:trPr>
          <w:trHeight w:val="149"/>
        </w:trPr>
        <w:tc>
          <w:tcPr>
            <w:tcW w:w="68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w w:val="83"/>
              </w:rPr>
              <w:t>Between</w:t>
            </w:r>
          </w:p>
        </w:tc>
        <w:tc>
          <w:tcPr>
            <w:tcW w:w="148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Number of Shares</w:t>
            </w:r>
          </w:p>
        </w:tc>
      </w:tr>
      <w:tr>
        <w:trPr>
          <w:trHeight w:val="149"/>
        </w:trPr>
        <w:tc>
          <w:tcPr>
            <w:tcW w:w="68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Comparator</w:t>
            </w:r>
          </w:p>
        </w:tc>
        <w:tc>
          <w:tcPr>
            <w:tcW w:w="206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Difference Between</w:t>
            </w:r>
          </w:p>
        </w:tc>
        <w:tc>
          <w:tcPr>
            <w:tcW w:w="184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w w:val="89"/>
              </w:rPr>
              <w:t>Company’s TSR</w:t>
            </w:r>
          </w:p>
        </w:tc>
        <w:tc>
          <w:tcPr>
            <w:tcW w:w="148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Attained (assumes</w:t>
            </w:r>
          </w:p>
        </w:tc>
      </w:tr>
      <w:tr>
        <w:trPr>
          <w:trHeight w:val="149"/>
        </w:trPr>
        <w:tc>
          <w:tcPr>
            <w:tcW w:w="68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Group</w:t>
            </w:r>
          </w:p>
        </w:tc>
        <w:tc>
          <w:tcPr>
            <w:tcW w:w="206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Company’s TSR and</w:t>
            </w:r>
          </w:p>
        </w:tc>
        <w:tc>
          <w:tcPr>
            <w:tcW w:w="184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and Comparator</w:t>
            </w:r>
          </w:p>
        </w:tc>
        <w:tc>
          <w:tcPr>
            <w:tcW w:w="148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initial grant of 100</w:t>
            </w:r>
          </w:p>
        </w:tc>
      </w:tr>
      <w:tr>
        <w:trPr>
          <w:trHeight w:val="149"/>
        </w:trPr>
        <w:tc>
          <w:tcPr>
            <w:tcW w:w="68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Median</w:t>
            </w:r>
          </w:p>
        </w:tc>
        <w:tc>
          <w:tcPr>
            <w:tcW w:w="206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Comparator Group</w:t>
            </w:r>
          </w:p>
        </w:tc>
        <w:tc>
          <w:tcPr>
            <w:tcW w:w="1840" w:type="dxa"/>
            <w:vAlign w:val="bottom"/>
            <w:tcBorders>
              <w:right w:val="single" w:sz="8" w:color="auto"/>
            </w:tcBorders>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Group Median</w:t>
            </w:r>
          </w:p>
        </w:tc>
        <w:tc>
          <w:tcPr>
            <w:tcW w:w="1480" w:type="dxa"/>
            <w:vAlign w:val="bottom"/>
            <w:tcBorders>
              <w:right w:val="single" w:sz="8" w:color="auto"/>
            </w:tcBorders>
          </w:tcPr>
          <w:p>
            <w:pPr>
              <w:jc w:val="right"/>
              <w:ind w:right="397"/>
              <w:spacing w:after="0" w:line="149" w:lineRule="exact"/>
              <w:rPr>
                <w:sz w:val="20"/>
                <w:szCs w:val="20"/>
                <w:color w:val="auto"/>
              </w:rPr>
            </w:pPr>
            <w:r>
              <w:rPr>
                <w:rFonts w:ascii="Arial" w:cs="Arial" w:eastAsia="Arial" w:hAnsi="Arial"/>
                <w:sz w:val="14"/>
                <w:szCs w:val="14"/>
                <w:b w:val="1"/>
                <w:bCs w:val="1"/>
                <w:color w:val="auto"/>
              </w:rPr>
              <w:t>Percentage</w:t>
            </w:r>
          </w:p>
        </w:tc>
        <w:tc>
          <w:tcPr>
            <w:tcW w:w="2000" w:type="dxa"/>
            <w:vAlign w:val="bottom"/>
            <w:tcBorders>
              <w:right w:val="single" w:sz="8" w:color="auto"/>
            </w:tcBorders>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Performance-Based</w:t>
            </w:r>
          </w:p>
        </w:tc>
      </w:tr>
      <w:tr>
        <w:trPr>
          <w:trHeight w:val="161"/>
        </w:trPr>
        <w:tc>
          <w:tcPr>
            <w:tcW w:w="6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Scenario</w:t>
            </w:r>
          </w:p>
        </w:tc>
        <w:tc>
          <w:tcPr>
            <w:tcW w:w="1800" w:type="dxa"/>
            <w:vAlign w:val="bottom"/>
            <w:tcBorders>
              <w:bottom w:val="single" w:sz="8" w:color="auto"/>
              <w:right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Company’s TSR</w:t>
            </w:r>
          </w:p>
        </w:tc>
        <w:tc>
          <w:tcPr>
            <w:tcW w:w="158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TSR</w:t>
            </w:r>
          </w:p>
        </w:tc>
        <w:tc>
          <w:tcPr>
            <w:tcW w:w="206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Median TSR</w:t>
            </w:r>
          </w:p>
        </w:tc>
        <w:tc>
          <w:tcPr>
            <w:tcW w:w="184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TSR x 2</w:t>
            </w:r>
          </w:p>
        </w:tc>
        <w:tc>
          <w:tcPr>
            <w:tcW w:w="1480" w:type="dxa"/>
            <w:vAlign w:val="bottom"/>
            <w:tcBorders>
              <w:bottom w:val="single" w:sz="8" w:color="auto"/>
              <w:right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Payout</w:t>
            </w:r>
          </w:p>
        </w:tc>
        <w:tc>
          <w:tcPr>
            <w:tcW w:w="200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0"/>
              </w:rPr>
              <w:t>RSUs)</w:t>
            </w:r>
          </w:p>
        </w:tc>
      </w:tr>
      <w:tr>
        <w:trPr>
          <w:trHeight w:val="210"/>
        </w:trPr>
        <w:tc>
          <w:tcPr>
            <w:tcW w:w="68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0" w:type="dxa"/>
            <w:vAlign w:val="bottom"/>
            <w:tcBorders>
              <w:bottom w:val="single" w:sz="8" w:color="auto"/>
              <w:right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150%</w:t>
            </w:r>
          </w:p>
        </w:tc>
        <w:tc>
          <w:tcPr>
            <w:tcW w:w="1580" w:type="dxa"/>
            <w:vAlign w:val="bottom"/>
            <w:tcBorders>
              <w:bottom w:val="single" w:sz="8" w:color="auto"/>
              <w:right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2060" w:type="dxa"/>
            <w:vAlign w:val="bottom"/>
            <w:tcBorders>
              <w:bottom w:val="single" w:sz="8" w:color="auto"/>
              <w:right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840" w:type="dxa"/>
            <w:vAlign w:val="bottom"/>
            <w:tcBorders>
              <w:bottom w:val="single" w:sz="8" w:color="auto"/>
              <w:right w:val="single" w:sz="8" w:color="auto"/>
            </w:tcBorders>
            <w:shd w:val="clear" w:color="auto" w:fill="CCEEFF"/>
          </w:tcPr>
          <w:p>
            <w:pPr>
              <w:jc w:val="right"/>
              <w:ind w:right="222"/>
              <w:spacing w:after="0"/>
              <w:rPr>
                <w:sz w:val="20"/>
                <w:szCs w:val="20"/>
                <w:color w:val="auto"/>
              </w:rPr>
            </w:pPr>
            <w:r>
              <w:rPr>
                <w:rFonts w:ascii="Arial" w:cs="Arial" w:eastAsia="Arial" w:hAnsi="Arial"/>
                <w:sz w:val="18"/>
                <w:szCs w:val="18"/>
                <w:color w:val="auto"/>
              </w:rPr>
              <w:t>(100)%</w:t>
            </w:r>
          </w:p>
        </w:tc>
        <w:tc>
          <w:tcPr>
            <w:tcW w:w="1480" w:type="dxa"/>
            <w:vAlign w:val="bottom"/>
            <w:tcBorders>
              <w:bottom w:val="single" w:sz="8" w:color="auto"/>
              <w:right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0%</w:t>
            </w:r>
          </w:p>
        </w:tc>
        <w:tc>
          <w:tcPr>
            <w:tcW w:w="2000" w:type="dxa"/>
            <w:vAlign w:val="bottom"/>
            <w:tcBorders>
              <w:bottom w:val="single" w:sz="8" w:color="auto"/>
              <w:right w:val="single" w:sz="8" w:color="auto"/>
            </w:tcBorders>
            <w:shd w:val="clear" w:color="auto" w:fill="CCEEFF"/>
          </w:tcPr>
          <w:p>
            <w:pPr>
              <w:jc w:val="right"/>
              <w:ind w:right="401"/>
              <w:spacing w:after="0"/>
              <w:rPr>
                <w:sz w:val="20"/>
                <w:szCs w:val="20"/>
                <w:color w:val="auto"/>
              </w:rPr>
            </w:pPr>
            <w:r>
              <w:rPr>
                <w:rFonts w:ascii="Arial" w:cs="Arial" w:eastAsia="Arial" w:hAnsi="Arial"/>
                <w:sz w:val="18"/>
                <w:szCs w:val="18"/>
                <w:color w:val="auto"/>
              </w:rPr>
              <w:t>0</w:t>
            </w:r>
          </w:p>
        </w:tc>
      </w:tr>
      <w:tr>
        <w:trPr>
          <w:trHeight w:val="210"/>
        </w:trPr>
        <w:tc>
          <w:tcPr>
            <w:tcW w:w="6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8"/>
                <w:szCs w:val="18"/>
                <w:color w:val="auto"/>
              </w:rPr>
              <w:t>(30)%</w:t>
            </w:r>
          </w:p>
        </w:tc>
        <w:tc>
          <w:tcPr>
            <w:tcW w:w="1580" w:type="dxa"/>
            <w:vAlign w:val="bottom"/>
            <w:tcBorders>
              <w:bottom w:val="single" w:sz="8" w:color="auto"/>
              <w:right w:val="single" w:sz="8" w:color="auto"/>
            </w:tcBorders>
          </w:tcPr>
          <w:p>
            <w:pPr>
              <w:jc w:val="right"/>
              <w:ind w:right="220"/>
              <w:spacing w:after="0"/>
              <w:rPr>
                <w:sz w:val="20"/>
                <w:szCs w:val="20"/>
                <w:color w:val="auto"/>
              </w:rPr>
            </w:pPr>
            <w:r>
              <w:rPr>
                <w:rFonts w:ascii="Arial" w:cs="Arial" w:eastAsia="Arial" w:hAnsi="Arial"/>
                <w:sz w:val="18"/>
                <w:szCs w:val="18"/>
                <w:color w:val="auto"/>
              </w:rPr>
              <w:t>(10)%</w:t>
            </w:r>
          </w:p>
        </w:tc>
        <w:tc>
          <w:tcPr>
            <w:tcW w:w="2060" w:type="dxa"/>
            <w:vAlign w:val="bottom"/>
            <w:tcBorders>
              <w:bottom w:val="single" w:sz="8" w:color="auto"/>
              <w:right w:val="single" w:sz="8" w:color="auto"/>
            </w:tcBorders>
          </w:tcPr>
          <w:p>
            <w:pPr>
              <w:jc w:val="right"/>
              <w:ind w:right="200"/>
              <w:spacing w:after="0"/>
              <w:rPr>
                <w:sz w:val="20"/>
                <w:szCs w:val="20"/>
                <w:color w:val="auto"/>
              </w:rPr>
            </w:pPr>
            <w:r>
              <w:rPr>
                <w:rFonts w:ascii="Arial" w:cs="Arial" w:eastAsia="Arial" w:hAnsi="Arial"/>
                <w:sz w:val="18"/>
                <w:szCs w:val="18"/>
                <w:color w:val="auto"/>
              </w:rPr>
              <w:t>(20)%</w:t>
            </w:r>
          </w:p>
        </w:tc>
        <w:tc>
          <w:tcPr>
            <w:tcW w:w="184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8"/>
                <w:szCs w:val="18"/>
                <w:color w:val="auto"/>
              </w:rPr>
              <w:t>(40)%</w:t>
            </w:r>
          </w:p>
        </w:tc>
        <w:tc>
          <w:tcPr>
            <w:tcW w:w="148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8"/>
                <w:szCs w:val="18"/>
                <w:color w:val="auto"/>
              </w:rPr>
              <w:t>60%</w:t>
            </w:r>
          </w:p>
        </w:tc>
        <w:tc>
          <w:tcPr>
            <w:tcW w:w="2000" w:type="dxa"/>
            <w:vAlign w:val="bottom"/>
            <w:tcBorders>
              <w:bottom w:val="single" w:sz="8" w:color="auto"/>
              <w:right w:val="single" w:sz="8" w:color="auto"/>
            </w:tcBorders>
          </w:tcPr>
          <w:p>
            <w:pPr>
              <w:jc w:val="right"/>
              <w:ind w:right="401"/>
              <w:spacing w:after="0"/>
              <w:rPr>
                <w:sz w:val="20"/>
                <w:szCs w:val="20"/>
                <w:color w:val="auto"/>
              </w:rPr>
            </w:pPr>
            <w:r>
              <w:rPr>
                <w:rFonts w:ascii="Arial" w:cs="Arial" w:eastAsia="Arial" w:hAnsi="Arial"/>
                <w:sz w:val="18"/>
                <w:szCs w:val="18"/>
                <w:color w:val="auto"/>
              </w:rPr>
              <w:t>60</w:t>
            </w:r>
          </w:p>
        </w:tc>
      </w:tr>
      <w:tr>
        <w:trPr>
          <w:trHeight w:val="210"/>
        </w:trPr>
        <w:tc>
          <w:tcPr>
            <w:tcW w:w="68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0" w:type="dxa"/>
            <w:vAlign w:val="bottom"/>
            <w:tcBorders>
              <w:bottom w:val="single" w:sz="8" w:color="auto"/>
              <w:right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auto"/>
              <w:right w:val="single" w:sz="8" w:color="auto"/>
            </w:tcBorders>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060" w:type="dxa"/>
            <w:vAlign w:val="bottom"/>
            <w:tcBorders>
              <w:bottom w:val="single" w:sz="8" w:color="auto"/>
              <w:right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840" w:type="dxa"/>
            <w:vAlign w:val="bottom"/>
            <w:tcBorders>
              <w:bottom w:val="single" w:sz="8" w:color="auto"/>
              <w:right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120%</w:t>
            </w:r>
          </w:p>
        </w:tc>
        <w:tc>
          <w:tcPr>
            <w:tcW w:w="1480" w:type="dxa"/>
            <w:vAlign w:val="bottom"/>
            <w:tcBorders>
              <w:bottom w:val="single" w:sz="8" w:color="auto"/>
              <w:right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100%</w:t>
            </w:r>
          </w:p>
        </w:tc>
        <w:tc>
          <w:tcPr>
            <w:tcW w:w="2000" w:type="dxa"/>
            <w:vAlign w:val="bottom"/>
            <w:tcBorders>
              <w:bottom w:val="single" w:sz="8" w:color="auto"/>
              <w:right w:val="single" w:sz="8" w:color="auto"/>
            </w:tcBorders>
            <w:shd w:val="clear" w:color="auto" w:fill="CCEEFF"/>
          </w:tcPr>
          <w:p>
            <w:pPr>
              <w:jc w:val="right"/>
              <w:ind w:right="401"/>
              <w:spacing w:after="0"/>
              <w:rPr>
                <w:sz w:val="20"/>
                <w:szCs w:val="20"/>
                <w:color w:val="auto"/>
              </w:rPr>
            </w:pPr>
            <w:r>
              <w:rPr>
                <w:rFonts w:ascii="Arial" w:cs="Arial" w:eastAsia="Arial" w:hAnsi="Arial"/>
                <w:sz w:val="18"/>
                <w:szCs w:val="18"/>
                <w:color w:val="auto"/>
              </w:rPr>
              <w:t>100</w:t>
            </w:r>
          </w:p>
        </w:tc>
      </w:tr>
      <w:tr>
        <w:trPr>
          <w:trHeight w:val="210"/>
        </w:trPr>
        <w:tc>
          <w:tcPr>
            <w:tcW w:w="6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0" w:type="dxa"/>
            <w:vAlign w:val="bottom"/>
            <w:tcBorders>
              <w:bottom w:val="single" w:sz="8" w:color="auto"/>
              <w:right w:val="single" w:sz="8" w:color="auto"/>
            </w:tcBorders>
          </w:tcPr>
          <w:p>
            <w:pPr>
              <w:jc w:val="right"/>
              <w:ind w:right="275"/>
              <w:spacing w:after="0"/>
              <w:rPr>
                <w:sz w:val="20"/>
                <w:szCs w:val="20"/>
                <w:color w:val="auto"/>
              </w:rPr>
            </w:pPr>
            <w:r>
              <w:rPr>
                <w:rFonts w:ascii="Arial" w:cs="Arial" w:eastAsia="Arial" w:hAnsi="Arial"/>
                <w:sz w:val="18"/>
                <w:szCs w:val="18"/>
                <w:color w:val="auto"/>
              </w:rPr>
              <w:t>7%</w:t>
            </w:r>
          </w:p>
        </w:tc>
        <w:tc>
          <w:tcPr>
            <w:tcW w:w="1580" w:type="dxa"/>
            <w:vAlign w:val="bottom"/>
            <w:tcBorders>
              <w:bottom w:val="single" w:sz="8" w:color="auto"/>
              <w:right w:val="single" w:sz="8" w:color="auto"/>
            </w:tcBorders>
          </w:tcPr>
          <w:p>
            <w:pPr>
              <w:jc w:val="right"/>
              <w:ind w:right="280"/>
              <w:spacing w:after="0"/>
              <w:rPr>
                <w:sz w:val="20"/>
                <w:szCs w:val="20"/>
                <w:color w:val="auto"/>
              </w:rPr>
            </w:pPr>
            <w:r>
              <w:rPr>
                <w:rFonts w:ascii="Arial" w:cs="Arial" w:eastAsia="Arial" w:hAnsi="Arial"/>
                <w:sz w:val="18"/>
                <w:szCs w:val="18"/>
                <w:color w:val="auto"/>
              </w:rPr>
              <w:t>5%</w:t>
            </w:r>
          </w:p>
        </w:tc>
        <w:tc>
          <w:tcPr>
            <w:tcW w:w="206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8"/>
                <w:szCs w:val="18"/>
                <w:color w:val="auto"/>
              </w:rPr>
              <w:t>2%</w:t>
            </w:r>
          </w:p>
        </w:tc>
        <w:tc>
          <w:tcPr>
            <w:tcW w:w="18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8"/>
                <w:szCs w:val="18"/>
                <w:color w:val="auto"/>
              </w:rPr>
              <w:t>4%</w:t>
            </w:r>
          </w:p>
        </w:tc>
        <w:tc>
          <w:tcPr>
            <w:tcW w:w="148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8"/>
                <w:szCs w:val="18"/>
                <w:color w:val="auto"/>
              </w:rPr>
              <w:t>104%</w:t>
            </w:r>
          </w:p>
        </w:tc>
        <w:tc>
          <w:tcPr>
            <w:tcW w:w="2000" w:type="dxa"/>
            <w:vAlign w:val="bottom"/>
            <w:tcBorders>
              <w:bottom w:val="single" w:sz="8" w:color="auto"/>
              <w:right w:val="single" w:sz="8" w:color="auto"/>
            </w:tcBorders>
          </w:tcPr>
          <w:p>
            <w:pPr>
              <w:jc w:val="right"/>
              <w:ind w:right="401"/>
              <w:spacing w:after="0"/>
              <w:rPr>
                <w:sz w:val="20"/>
                <w:szCs w:val="20"/>
                <w:color w:val="auto"/>
              </w:rPr>
            </w:pPr>
            <w:r>
              <w:rPr>
                <w:rFonts w:ascii="Arial" w:cs="Arial" w:eastAsia="Arial" w:hAnsi="Arial"/>
                <w:sz w:val="18"/>
                <w:szCs w:val="18"/>
                <w:color w:val="auto"/>
              </w:rPr>
              <w:t>104</w:t>
            </w:r>
          </w:p>
        </w:tc>
      </w:tr>
      <w:tr>
        <w:trPr>
          <w:trHeight w:val="210"/>
        </w:trPr>
        <w:tc>
          <w:tcPr>
            <w:tcW w:w="68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0" w:type="dxa"/>
            <w:vAlign w:val="bottom"/>
            <w:tcBorders>
              <w:bottom w:val="single" w:sz="8" w:color="auto"/>
              <w:right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100%</w:t>
            </w:r>
          </w:p>
        </w:tc>
        <w:tc>
          <w:tcPr>
            <w:tcW w:w="1580" w:type="dxa"/>
            <w:vAlign w:val="bottom"/>
            <w:tcBorders>
              <w:bottom w:val="single" w:sz="8" w:color="auto"/>
              <w:right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060" w:type="dxa"/>
            <w:vAlign w:val="bottom"/>
            <w:tcBorders>
              <w:bottom w:val="single" w:sz="8" w:color="auto"/>
              <w:right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840" w:type="dxa"/>
            <w:vAlign w:val="bottom"/>
            <w:tcBorders>
              <w:bottom w:val="single" w:sz="8" w:color="auto"/>
              <w:right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40%</w:t>
            </w:r>
          </w:p>
        </w:tc>
        <w:tc>
          <w:tcPr>
            <w:tcW w:w="1480" w:type="dxa"/>
            <w:vAlign w:val="bottom"/>
            <w:tcBorders>
              <w:bottom w:val="single" w:sz="8" w:color="auto"/>
              <w:right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140%</w:t>
            </w:r>
          </w:p>
        </w:tc>
        <w:tc>
          <w:tcPr>
            <w:tcW w:w="2000" w:type="dxa"/>
            <w:vAlign w:val="bottom"/>
            <w:tcBorders>
              <w:bottom w:val="single" w:sz="8" w:color="auto"/>
              <w:right w:val="single" w:sz="8" w:color="auto"/>
            </w:tcBorders>
            <w:shd w:val="clear" w:color="auto" w:fill="CCEEFF"/>
          </w:tcPr>
          <w:p>
            <w:pPr>
              <w:jc w:val="right"/>
              <w:ind w:right="401"/>
              <w:spacing w:after="0"/>
              <w:rPr>
                <w:sz w:val="20"/>
                <w:szCs w:val="20"/>
                <w:color w:val="auto"/>
              </w:rPr>
            </w:pPr>
            <w:r>
              <w:rPr>
                <w:rFonts w:ascii="Arial" w:cs="Arial" w:eastAsia="Arial" w:hAnsi="Arial"/>
                <w:sz w:val="18"/>
                <w:szCs w:val="18"/>
                <w:color w:val="auto"/>
              </w:rPr>
              <w:t>140</w:t>
            </w:r>
          </w:p>
        </w:tc>
      </w:tr>
      <w:tr>
        <w:trPr>
          <w:trHeight w:val="210"/>
        </w:trPr>
        <w:tc>
          <w:tcPr>
            <w:tcW w:w="6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0" w:type="dxa"/>
            <w:vAlign w:val="bottom"/>
            <w:tcBorders>
              <w:bottom w:val="single" w:sz="8" w:color="auto"/>
              <w:right w:val="single" w:sz="8" w:color="auto"/>
            </w:tcBorders>
          </w:tcPr>
          <w:p>
            <w:pPr>
              <w:jc w:val="right"/>
              <w:ind w:right="275"/>
              <w:spacing w:after="0"/>
              <w:rPr>
                <w:sz w:val="20"/>
                <w:szCs w:val="20"/>
                <w:color w:val="auto"/>
              </w:rPr>
            </w:pPr>
            <w:r>
              <w:rPr>
                <w:rFonts w:ascii="Arial" w:cs="Arial" w:eastAsia="Arial" w:hAnsi="Arial"/>
                <w:sz w:val="18"/>
                <w:szCs w:val="18"/>
                <w:color w:val="auto"/>
              </w:rPr>
              <w:t>70%</w:t>
            </w:r>
          </w:p>
        </w:tc>
        <w:tc>
          <w:tcPr>
            <w:tcW w:w="1580" w:type="dxa"/>
            <w:vAlign w:val="bottom"/>
            <w:tcBorders>
              <w:bottom w:val="single" w:sz="8" w:color="auto"/>
              <w:right w:val="single" w:sz="8" w:color="auto"/>
            </w:tcBorders>
          </w:tcPr>
          <w:p>
            <w:pPr>
              <w:jc w:val="right"/>
              <w:ind w:right="280"/>
              <w:spacing w:after="0"/>
              <w:rPr>
                <w:sz w:val="20"/>
                <w:szCs w:val="20"/>
                <w:color w:val="auto"/>
              </w:rPr>
            </w:pPr>
            <w:r>
              <w:rPr>
                <w:rFonts w:ascii="Arial" w:cs="Arial" w:eastAsia="Arial" w:hAnsi="Arial"/>
                <w:sz w:val="18"/>
                <w:szCs w:val="18"/>
                <w:color w:val="auto"/>
              </w:rPr>
              <w:t>10%</w:t>
            </w:r>
          </w:p>
        </w:tc>
        <w:tc>
          <w:tcPr>
            <w:tcW w:w="206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8"/>
                <w:szCs w:val="18"/>
                <w:color w:val="auto"/>
              </w:rPr>
              <w:t>60%</w:t>
            </w:r>
          </w:p>
        </w:tc>
        <w:tc>
          <w:tcPr>
            <w:tcW w:w="184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8"/>
                <w:szCs w:val="18"/>
                <w:color w:val="auto"/>
              </w:rPr>
              <w:t>120%</w:t>
            </w:r>
          </w:p>
        </w:tc>
        <w:tc>
          <w:tcPr>
            <w:tcW w:w="148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8"/>
                <w:szCs w:val="18"/>
                <w:color w:val="auto"/>
              </w:rPr>
              <w:t>200%</w:t>
            </w:r>
          </w:p>
        </w:tc>
        <w:tc>
          <w:tcPr>
            <w:tcW w:w="2000" w:type="dxa"/>
            <w:vAlign w:val="bottom"/>
            <w:tcBorders>
              <w:bottom w:val="single" w:sz="8" w:color="auto"/>
              <w:right w:val="single" w:sz="8" w:color="auto"/>
            </w:tcBorders>
          </w:tcPr>
          <w:p>
            <w:pPr>
              <w:jc w:val="right"/>
              <w:ind w:right="401"/>
              <w:spacing w:after="0"/>
              <w:rPr>
                <w:sz w:val="20"/>
                <w:szCs w:val="20"/>
                <w:color w:val="auto"/>
              </w:rPr>
            </w:pPr>
            <w:r>
              <w:rPr>
                <w:rFonts w:ascii="Arial" w:cs="Arial" w:eastAsia="Arial" w:hAnsi="Arial"/>
                <w:sz w:val="18"/>
                <w:szCs w:val="18"/>
                <w:color w:val="auto"/>
              </w:rPr>
              <w:t>200</w:t>
            </w:r>
          </w:p>
        </w:tc>
      </w:tr>
    </w:tbl>
    <w:p>
      <w:pPr>
        <w:spacing w:after="0" w:line="15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equity compensation program includes these performance-based RSUs for our executives to ensure that a direct link exists between the value of our long-term incentives and the value that is created for our shareholders. The comparator group designated for the performance-based RSUs granted in fiscal 2016 consisted of the companies represented in the Philadelphia Semiconductor Index (SOX Index) as of the grant date that are included in the SOX Index for the entire performance period. The Compensation Committee chose this comparator group because it consists of publicly traded companies that compete in the semiconductor industry, are representative of likely alternative investment opportunities for our investors, compete with us for talent, and are similar to ADI in their product and services offerings and business model. Consistent with our Compensation Committee’s desire to tie pay to performance, the value of each of these awards is directly linked to the long-term performance of our stock price.</w:t>
      </w:r>
    </w:p>
    <w:p>
      <w:pPr>
        <w:spacing w:after="0" w:line="118"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value of our annual equity awards to our executives is generally comprised of approximately 33% of stock options that vest over five years, approximately 33% of time-based RSUs that vest in full on the third anniversary of the grant date and approximately 33% of performance-based RSUs, which have a three-year performance period and vest in one installment 14 days after the third anniversary of the grant date subject to the achievement of applicable performance metrics. Because the value of the awards is based on our stock price, stock options, time-based RSUs and performance-based RSUs encourage recipients to focus on achievement of longer-term goals, such as strategic opportunities, technological innovation and shareholder return.</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set a goal each year to keep the shareholder dilution related to our equity compensation program to a certain percentage, calculated as the total number of shares of common stock underlying new equity grants made during the year, divided by the total number of outstanding shares of our common stock at the beginning of the year. Our gross and net dilution rate have been consistently lower than that of our peers over the past several years. For fiscal 2016, our gross dilution percentage was 0.9%, compared to an average of 1.4% for our peer group, and our net dilution percentage was 0.7%, compared to an average of 0.8% for our peers. For the last five years, our gross dilution percentage was 1.1% on average, compared to 1.80% on average for our peer group, and our net dilution percentage was 0.8% on average, compared to 1.1% on average for our peer group. For the fiscal year ended October 28, 2017, we set the maximum aggregate number of shares of common stock with respect to which awards may be granted under our 2006 Stock Incentive Plan for fiscal 2017 at 6 million shares, which equals approximately 2% of our outstanding common stock at the end of fiscal 2016 and remains unchanged from fiscal 2016.</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Under our guidelines, the target stock ownership levels are two times annual base salary for the Chief Executive Officer and one times annual base salary for other executive officers. The Chief Executive Officer has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40"/>
          </w:cols>
          <w:pgMar w:left="240" w:top="280" w:right="219" w:bottom="1440" w:gutter="0" w:footer="0" w:header="0"/>
        </w:sectPr>
      </w:pPr>
    </w:p>
    <w:bookmarkStart w:id="45" w:name="page46"/>
    <w:bookmarkEnd w:id="45"/>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 years from the date of his appointment as CEO to achieve his targeted level. Executive officers other than the CEO have five years from the date he or she becomes an executive officer to achieve their targeted level. Shares subject to unexercised options, whether or not vested, will not be counted for purposes of satisfying these guidelines. RSUs (whether or not vested) are counted for purposes of satisfying the guidelines. All of our executive officers were in compliance with our stock ownership guidelines as of the end of fiscal 2016.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maintain a Deferred Compensation Plan, or DCP,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United States, we contribute to our 401(k) plan on behalf all participants, including our NEOs, amounts equal to 5% of the employee’s eligible compensation, plus matching contributions up to an additional 3%, subject to Internal Revenue Service, or IRS, limits. For those employees who also participate in the DCP described above, any compensation that is deferred under that plan is not considered eligible compensation for purposes of our Company contributions under the 401(k) plan. We also provide employees who are eligible to participate in the 401(k) plan but whose compensation is greater than the amount that may be taken into account in any plan year as a result of IRS limits ($265,000 for fiscal 2016), with a taxable payment equal to 8% of the employee’s 401(k)-eligible compensation in excess of the IRS limit.</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Ireland, we contribute to our Irish Defined Contribution Plan on behalf of all participants. Participants who had their benefits converted from the Analog Devices International Retirement and Death Benefit Plan to our Irish Defined Contribution Plan, including Peter Real, our Senior Vice President and Chief Technology Officer, and continue to participate in the Irish Defined Contribution Plan, contribute 5% of their pensionable salary to the Irish Defined Contribution Plan and the Company, in turn, contributes 15% of the participants’ pensionable salary, subject to limits established by the Irish tax authorities. Participants who were hired by our Irish subsidiaries after January 1, 2013, including Richard A. Meaney, a former Senior Vice President, are eligible to receive amounts equal to 5% of the employee’s eligible compensation, plus matching contributions up to an additional 3% of the employee’s eligible compensation. In accordance with the plan rules, in fiscal 2016, Messrs. Real and Meaney opted out of the Irish Defined Contribution Plan. After opting out, they received a taxable payment equal to 13.5% and 4.5%, respectively, of their eligible compensation in lieu of our contributions into the Irish Defined Contribution Plan.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do not award extensive perquisites to our executives. The only perquisites provided to our executives in fiscal 2016 were an automobile and certain commuting expenses for each of Messrs. Real and Meaney. In fiscal 2014 and 2015, we also reimbursed Mr. Meaney for his expenses in connection with his relocation to the United States. These items are detailed in the Summary Compensation Table below.</w:t>
      </w:r>
    </w:p>
    <w:p>
      <w:pPr>
        <w:spacing w:after="0" w:line="107"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We also maintain an expatriate program that provides certain benefits to our employees who accept expatriate assignments. Our executive officers are entitled to the same benefits under the Company’s expatriate program as other Company employees. Under the Company’s expatriate program, such benefits include providing gross-ups on taxable foreign assignment assistance and making tax equalization payments on behalf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46" w:name="page47"/>
    <w:bookmarkEnd w:id="46"/>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to) expatriate employees who, as a result of their expatriate assignment, incur tax liabilities in excess of what they would have incurred had they not accepted the expatriate assignment. We did not provide tax equalization payments to any of our NEOs in fiscal 2016.</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Recovery</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Under the Sarbanes-Oxley Act, in the event of misconduct that results in a financial restatement that would have reduced a previously paid incentive amount, we can recoup those improper payments from our Chief Executive Officer and Chief Financial Officer. We will implement a broader clawback policy that is compliant with the regulations mandated under the Dodd-Frank Act when the regulations are adopted by the SEC and corresponding listing standards become effective.</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Chief Executive Officer Compensation</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Mr. Roche has served as our Chief Executive Officer since May 2013. In determining Mr. Roche’s compensation as Chief Executive Officer for fiscal 2016, the Compensation Committee considered all elements of Mr. Roche’s compensation and compared his total target compensation to the median of Chief Executive Officer compensation within our peer companies. The design of Mr. Roche’s fiscal 2016 compensation provides incentives that linked realized compensation with Company performance and is comprised of the following:</w:t>
      </w:r>
    </w:p>
    <w:p>
      <w:pPr>
        <w:spacing w:after="0" w:line="6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base salary of $848,000, an increase of 6% compared to Mr. Roche’s fiscal 2015 annual base salary of $800,000;</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target bonus of 150% of base salary, calculated in accordance with the terms of the Company’s executive performance incentive plan, which remain unchanged from fiscal 2015; and</w:t>
      </w:r>
    </w:p>
    <w:p>
      <w:pPr>
        <w:spacing w:after="0" w:line="50" w:lineRule="exact"/>
        <w:rPr>
          <w:rFonts w:ascii="Arial" w:cs="Arial" w:eastAsia="Arial" w:hAnsi="Arial"/>
          <w:sz w:val="18"/>
          <w:szCs w:val="18"/>
          <w:color w:val="auto"/>
        </w:rPr>
      </w:pPr>
    </w:p>
    <w:p>
      <w:pPr>
        <w:ind w:left="900" w:right="140" w:hanging="325"/>
        <w:spacing w:after="0" w:line="25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performance-based RSU grant with a Black-Scholes value of $1,933,367 (32,796 shares), a time-based RSU grant with a Black-Scholes value of $1,639,144 (32,796 shares), and an option grant with a Black-Scholes value of $1,633,514 (127,305 shares). The number of shares, if any, earned under the performance-based RSU grant will vest three years and fourteen days after its grant date, subject to the level of attainment of the performance parameters. Mr. Roche’s time-based RSU grant will vest in full on the third anniversary of its grant date. Mr. Roche’s option grant will vest 20% per year on each of the first five anniversaries of the date of grant. These vesting terms are identical to those generally contained in our employee equity grants.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for Other 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 and Individual Target Bonus Percentages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fiscal 2016, the Compensation Committee authorized base salaries and target bonus percentages for our NEOs (other than our Chief Executive Officer), as specified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2016 Individual</w:t>
            </w: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2015 Individual</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Executive</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2016 Base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2015 Base</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Target Bonus as</w:t>
            </w:r>
          </w:p>
        </w:tc>
        <w:tc>
          <w:tcPr>
            <w:tcW w:w="16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Target Bonus as</w:t>
            </w:r>
          </w:p>
        </w:tc>
        <w:tc>
          <w:tcPr>
            <w:tcW w:w="48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60" w:type="dxa"/>
            <w:vAlign w:val="bottom"/>
            <w:gridSpan w:val="3"/>
            <w:vMerge w:val="continue"/>
          </w:tcPr>
          <w:p>
            <w:pPr>
              <w:spacing w:after="0"/>
              <w:rPr>
                <w:sz w:val="13"/>
                <w:szCs w:val="13"/>
                <w:color w:val="auto"/>
              </w:rPr>
            </w:pPr>
          </w:p>
        </w:tc>
        <w:tc>
          <w:tcPr>
            <w:tcW w:w="12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5"/>
              </w:rPr>
              <w:t>Salary</w:t>
            </w: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Salary</w:t>
            </w:r>
          </w:p>
        </w:tc>
        <w:tc>
          <w:tcPr>
            <w:tcW w:w="560" w:type="dxa"/>
            <w:vAlign w:val="bottom"/>
          </w:tcPr>
          <w:p>
            <w:pPr>
              <w:spacing w:after="0"/>
              <w:rPr>
                <w:sz w:val="13"/>
                <w:szCs w:val="13"/>
                <w:color w:val="auto"/>
              </w:rPr>
            </w:pPr>
          </w:p>
        </w:tc>
        <w:tc>
          <w:tcPr>
            <w:tcW w:w="134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w w:val="87"/>
              </w:rPr>
              <w:t>% Increase</w:t>
            </w:r>
          </w:p>
        </w:tc>
        <w:tc>
          <w:tcPr>
            <w:tcW w:w="16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8"/>
              </w:rPr>
              <w:t>% of Base Salary</w:t>
            </w:r>
          </w:p>
        </w:tc>
        <w:tc>
          <w:tcPr>
            <w:tcW w:w="16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8"/>
              </w:rPr>
              <w:t>% of Base Salary</w:t>
            </w:r>
          </w:p>
        </w:tc>
        <w:tc>
          <w:tcPr>
            <w:tcW w:w="6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 Senior Vice President,</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Finance and Chief Financial Officer</w:t>
            </w:r>
          </w:p>
        </w:tc>
        <w:tc>
          <w:tcPr>
            <w:tcW w:w="12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$535,000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$515,000</w:t>
            </w:r>
          </w:p>
        </w:tc>
        <w:tc>
          <w:tcPr>
            <w:tcW w:w="1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w:t>
            </w: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3560" w:type="dxa"/>
            <w:vAlign w:val="bottom"/>
            <w:gridSpan w:val="3"/>
          </w:tcPr>
          <w:p>
            <w:pPr>
              <w:spacing w:after="0"/>
              <w:rPr>
                <w:sz w:val="20"/>
                <w:szCs w:val="20"/>
                <w:color w:val="auto"/>
              </w:rPr>
            </w:pPr>
            <w:r>
              <w:rPr>
                <w:rFonts w:ascii="Arial" w:cs="Arial" w:eastAsia="Arial" w:hAnsi="Arial"/>
                <w:sz w:val="18"/>
                <w:szCs w:val="18"/>
                <w:color w:val="auto"/>
              </w:rPr>
              <w:t>Rick D. Hess, Executive Vice President</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$625,000</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$500,000</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25%</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 Former Senior Vice</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12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$465,000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$450,000</w:t>
            </w:r>
          </w:p>
        </w:tc>
        <w:tc>
          <w:tcPr>
            <w:tcW w:w="1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3.3%</w:t>
            </w: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6"/>
        </w:trPr>
        <w:tc>
          <w:tcPr>
            <w:tcW w:w="3560" w:type="dxa"/>
            <w:vAlign w:val="bottom"/>
            <w:gridSpan w:val="3"/>
          </w:tcPr>
          <w:p>
            <w:pPr>
              <w:spacing w:after="0"/>
              <w:rPr>
                <w:sz w:val="20"/>
                <w:szCs w:val="20"/>
                <w:color w:val="auto"/>
              </w:rPr>
            </w:pPr>
            <w:r>
              <w:rPr>
                <w:rFonts w:ascii="Arial" w:cs="Arial" w:eastAsia="Arial" w:hAnsi="Arial"/>
                <w:sz w:val="18"/>
                <w:szCs w:val="18"/>
                <w:color w:val="auto"/>
              </w:rPr>
              <w:t>Peter Real, Senior Vice President and Chief</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Technology Officer</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$400,000</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$350,000</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14.3%</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7" w:name="page48"/>
    <w:bookmarkEnd w:id="47"/>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March 2016, the Compensation Committee increased the base salaries of Messrs. Zinsner, Meaney and Real in order to maintain these aspects of their compensation within the range of comparable salaries in our peer group. In March 2016, the Compensation Committee also increased Mr. Hess’ base salary to $515,000 from $500,000 to maintain this aspect of his compensation within the range of comparable salaries in our peer group. In September 2016, the Compensation Committee further increased the base salary of Mr. Hess to $625,000 in connection with his promotion to Executive Vice President, in which he assumed leadership over all of our business units. The individual target bonus percentages under our executive performance incentive plan for all of our NEOs remained unchanged from fiscal 2015.</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size of the equity awards approved by our Compensation Committee for our executives reflect the executive’s individual responsibilities and where that person is in his or her career with ADI. In fiscal 2016, the Compensation Committee authorized grants of stock options and RSUs to our NEOs (other than our Chief Executive Officer),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Name of Executive</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Options</w:t>
            </w: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Time-based RSUs</w:t>
            </w:r>
          </w:p>
        </w:tc>
        <w:tc>
          <w:tcPr>
            <w:tcW w:w="2620" w:type="dxa"/>
            <w:vAlign w:val="bottom"/>
            <w:gridSpan w:val="3"/>
          </w:tcPr>
          <w:p>
            <w:pPr>
              <w:ind w:left="1040"/>
              <w:spacing w:after="0"/>
              <w:rPr>
                <w:sz w:val="20"/>
                <w:szCs w:val="20"/>
                <w:color w:val="auto"/>
              </w:rPr>
            </w:pPr>
            <w:r>
              <w:rPr>
                <w:rFonts w:ascii="Arial" w:cs="Arial" w:eastAsia="Arial" w:hAnsi="Arial"/>
                <w:sz w:val="14"/>
                <w:szCs w:val="14"/>
                <w:b w:val="1"/>
                <w:bCs w:val="1"/>
                <w:color w:val="auto"/>
                <w:w w:val="90"/>
              </w:rPr>
              <w:t>Performance-based RSUs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Zinsner</w:t>
            </w: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50,922</w:t>
            </w: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13,119</w:t>
            </w:r>
          </w:p>
        </w:tc>
        <w:tc>
          <w:tcPr>
            <w:tcW w:w="10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260" w:type="dxa"/>
            <w:vAlign w:val="bottom"/>
            <w:gridSpan w:val="3"/>
          </w:tcPr>
          <w:p>
            <w:pPr>
              <w:spacing w:after="0"/>
              <w:rPr>
                <w:sz w:val="20"/>
                <w:szCs w:val="20"/>
                <w:color w:val="auto"/>
              </w:rPr>
            </w:pPr>
            <w:r>
              <w:rPr>
                <w:rFonts w:ascii="Arial" w:cs="Arial" w:eastAsia="Arial" w:hAnsi="Arial"/>
                <w:sz w:val="18"/>
                <w:szCs w:val="18"/>
                <w:color w:val="auto"/>
              </w:rPr>
              <w:t>Rick D. Hess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50,922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13,119</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13,119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44,557</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11,479</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260" w:type="dxa"/>
            <w:vAlign w:val="bottom"/>
            <w:gridSpan w:val="3"/>
          </w:tcPr>
          <w:p>
            <w:pPr>
              <w:spacing w:after="0"/>
              <w:rPr>
                <w:sz w:val="20"/>
                <w:szCs w:val="20"/>
                <w:color w:val="auto"/>
              </w:rPr>
            </w:pPr>
            <w:r>
              <w:rPr>
                <w:rFonts w:ascii="Arial" w:cs="Arial" w:eastAsia="Arial" w:hAnsi="Arial"/>
                <w:sz w:val="18"/>
                <w:szCs w:val="18"/>
                <w:color w:val="auto"/>
              </w:rPr>
              <w:t>Peter Real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28,007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7,216</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granting awards to Messrs. Zinsner, Hess, Meaney and Real, the Compensation Committee considered the equity compensation levels of comparable executives at our peer group, as well as the equity already held by each executive.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Retention and Change in Control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entered into change in control retention agreements with each of our executive officers (other than Mr. Hess) and other key employees. Among other things, these retention agreements provide for severance benefits if the employee’s service with us is terminated within 24 months after a change in control (as defined in each agreement) that was approved by our Board of Directors. In connection with our acquisition of Hittite, we also entered into an employment agreement with Mr. Hess, which provides for severance benefits if Mr. Hess’ service with us is terminated within 24 months after a change in control (as defined in the agreement). See “—Change in Control Benefits” below for additional information about these agreements.</w:t>
      </w:r>
    </w:p>
    <w:p>
      <w:pPr>
        <w:spacing w:after="0" w:line="11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We designed the change in control retention agreements and Mr. Hess’ employment agreement to help ensure that our executive team is able to evaluate objectively whether a potential change in control transaction is in the best interests of ADI and our shareholders, without having to be concerned about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Compensation Committee determined that the amounts and triggering events were appropriate and designed to encourage decision-making that is in the best interests of ADI. In fiscal 2016, the Compensation Committee asked PM, its compensation consultant, to review our severance, retention and change in control arrangements and PM determined that those arrangements were competitive with existing market practice in the semiconductor industry and that it was appropriate to maintain the program for fiscal 2016. Change in control retention agreements entered into between the Company and eligible employees since 2009 do not contain excess parachute payment tax gross-up provisions.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280" w:right="359" w:bottom="1440" w:gutter="0" w:footer="0" w:header="0"/>
        </w:sectPr>
      </w:pPr>
    </w:p>
    <w:bookmarkStart w:id="48" w:name="page49"/>
    <w:bookmarkEnd w:id="48"/>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our 2006 Stock Incentive Plan, in the event of a change in control, all of our employees, including our NEOs, if they remain employed by ADI, would have one-half of the shares of common stock subject to their then 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 Potential Payments Upon Termination or Change in Control” below.</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Mr. Hess’ employment agreement provides for severance benefits to Mr. Hess in specified circumstances following the termination of his employment that does not involve a change in control as described further below in “— Severance Benefits — Mr. Hess’ Employment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19, 2016, we announced that Mr. Meaney would be leaving the Company at the end of the 2016 calendar year. In connection with</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Mr. Meaney’s separation from the Company, we entered into a Separation Letter Agreement that provides for severance benefits, as described further below in “— Severance Benefits — Mr. Meaney’s Separation Letter Agreement.”</w:t>
      </w:r>
    </w:p>
    <w:p>
      <w:pPr>
        <w:spacing w:after="0" w:line="13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When the employment of other executive officers terminates in a situation that does not involve a change in control, the officer is entitled to receive the same benefits as any other terminated employee in that geographical location.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Grant Date Policy</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4" w:lineRule="exact"/>
        <w:rPr>
          <w:sz w:val="20"/>
          <w:szCs w:val="20"/>
          <w:color w:val="auto"/>
        </w:rPr>
      </w:pPr>
    </w:p>
    <w:p>
      <w:pPr>
        <w:ind w:left="900" w:right="1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New Hire Grants</w:t>
      </w:r>
      <w:r>
        <w:rPr>
          <w:rFonts w:ascii="Arial" w:cs="Arial" w:eastAsia="Arial" w:hAnsi="Arial"/>
          <w:sz w:val="18"/>
          <w:szCs w:val="18"/>
          <w:color w:val="auto"/>
        </w:rPr>
        <w:t>: The grant date of all awards to newly hired executive officers and employees is the 15</w:t>
      </w:r>
      <w:r>
        <w:rPr>
          <w:rFonts w:ascii="Arial" w:cs="Arial" w:eastAsia="Arial" w:hAnsi="Arial"/>
          <w:sz w:val="11"/>
          <w:szCs w:val="11"/>
          <w:color w:val="auto"/>
        </w:rPr>
        <w:t>th</w:t>
      </w:r>
      <w:r>
        <w:rPr>
          <w:rFonts w:ascii="Arial" w:cs="Arial" w:eastAsia="Arial" w:hAnsi="Arial"/>
          <w:sz w:val="18"/>
          <w:szCs w:val="18"/>
          <w:color w:val="auto"/>
        </w:rPr>
        <w:t xml:space="preserve"> day of the month after the date on which the individual commences employment with us (or the next succeeding business day that NASDAQ is open).</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The grant date of all annual awards is the earlier to occur of (i) the scheduled date of the annual meeting of shareholders, or (ii) the first business day of April that NASDAQ is open.</w:t>
      </w:r>
    </w:p>
    <w:p>
      <w:pPr>
        <w:spacing w:after="0" w:line="50" w:lineRule="exact"/>
        <w:rPr>
          <w:rFonts w:ascii="Arial" w:cs="Arial" w:eastAsia="Arial" w:hAnsi="Arial"/>
          <w:sz w:val="18"/>
          <w:szCs w:val="18"/>
          <w:color w:val="auto"/>
        </w:rPr>
      </w:pPr>
    </w:p>
    <w:p>
      <w:pPr>
        <w:ind w:left="900" w:right="100" w:hanging="325"/>
        <w:spacing w:after="0" w:line="357"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Other Grants</w:t>
      </w:r>
      <w:r>
        <w:rPr>
          <w:rFonts w:ascii="Arial" w:cs="Arial" w:eastAsia="Arial" w:hAnsi="Arial"/>
          <w:sz w:val="15"/>
          <w:szCs w:val="15"/>
          <w:color w:val="auto"/>
        </w:rPr>
        <w:t>: All other awards granted to existing executive officers and employees throughout the year (off-cycle awards) have a grant date of the 15</w:t>
      </w:r>
      <w:r>
        <w:rPr>
          <w:rFonts w:ascii="Arial" w:cs="Arial" w:eastAsia="Arial" w:hAnsi="Arial"/>
          <w:sz w:val="10"/>
          <w:szCs w:val="10"/>
          <w:color w:val="auto"/>
        </w:rPr>
        <w:t>th</w:t>
      </w:r>
      <w:r>
        <w:rPr>
          <w:rFonts w:ascii="Arial" w:cs="Arial" w:eastAsia="Arial" w:hAnsi="Arial"/>
          <w:sz w:val="15"/>
          <w:szCs w:val="15"/>
          <w:color w:val="auto"/>
        </w:rPr>
        <w:t xml:space="preserve"> day of the month (or the next succeeding business day that NASDAQ is open) provided the award is approved on or prior to such grant date.</w:t>
      </w:r>
    </w:p>
    <w:p>
      <w:pPr>
        <w:ind w:left="900" w:right="6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Foreign Registrations</w:t>
      </w:r>
      <w:r>
        <w:rPr>
          <w:rFonts w:ascii="Arial" w:cs="Arial" w:eastAsia="Arial" w:hAnsi="Arial"/>
          <w:sz w:val="16"/>
          <w:szCs w:val="16"/>
          <w:color w:val="auto"/>
        </w:rPr>
        <w:t>: Any awards requiring registration or approval in a foreign jurisdiction will have a grant date of the 15th day of the month (or the next succeeding business day that NASDAQ is open) following the effective date of that registration or approval.</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We do not authorize off-cycle awards to our executive officers during the quarterly and annual blackout periods under our insider trading policy. The quarterly and annual blackout periods begin three weeks before the end of each fiscal quarter and end at the beginning of the second full trading day after we announce our quarterly earnings.</w:t>
      </w:r>
    </w:p>
    <w:p>
      <w:pPr>
        <w:spacing w:after="0" w:line="140"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We describe the equity award grant date policy for our non-employee directors above under “Corporate Governance — Director Compensation.” 44</w:t>
      </w:r>
    </w:p>
    <w:p>
      <w:pPr>
        <w:sectPr>
          <w:pgSz w:w="11900" w:h="16838" w:orient="portrait"/>
          <w:cols w:equalWidth="0" w:num="1">
            <w:col w:w="11340"/>
          </w:cols>
          <w:pgMar w:left="240" w:top="280"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and Accounting Considerations</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Section 162(m) of the Internal Revenue Code, generally disallows a tax deduction to public companies for certain compensation in excess of $1 million paid to a company’s chief executive officer and the three other executive officers (excluding the chief financial officer) whose compensation is required to be disclosed to our shareholders under the Exchange Act by reason of being among our other three most highly compensated officers. Certain compensation, including qualified performance-based compensation, will not be subject to the deduction limit if certain requirements are met. In fiscal 2013, the shareholders approved our 162(m) plan which is intended to allow the annual bonuses that we pay to our executives to be exempt from Section 162(m) as qualified performance-based compensation. The Compensation Committee, however, reviews the potential effect of Section 162(m) periodically, and the Compensation Committee reserves the right to use its judgment to authorize compensation payments that may be subject to the Section 162(m) deduction limit when the Compensation Committee believes such payments are appropriate and in the best interests of ADI and our shareholders, after taking into consideration changing business conditions and the performance of our employees.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Messrs. Roche and Zinsner have change in control retention agreements that contain provisions regarding Section 280G of the Internal Revenue Code.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Since 2009, any new executive compensation arrangements for new executives do not contain tax gross up provisions for excess parachute payments.</w:t>
      </w:r>
    </w:p>
    <w:p>
      <w:pPr>
        <w:spacing w:after="0" w:line="18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U.S. generally accepted accounting principles.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Compensation Committee has reviewed our incentive compensation programs, discussed the concept of risk as it relates to our compensation program, considered various mitigating factors and reviewed these items with its independent consultant, PM. In addition, our Compensation Committee asked PM to conduct an independent risk assessment of our executive compensation program. Based on these reviews and discussions, the Compensation Committee does not believe our compensation program encourages excessive or inappropriate risk taking for the following reasons:</w:t>
      </w:r>
    </w:p>
    <w:p>
      <w:pPr>
        <w:spacing w:after="0" w:line="32" w:lineRule="exact"/>
        <w:rPr>
          <w:sz w:val="20"/>
          <w:szCs w:val="20"/>
          <w:color w:val="auto"/>
        </w:rPr>
      </w:pPr>
    </w:p>
    <w:p>
      <w:pPr>
        <w:ind w:left="900" w:hanging="325"/>
        <w:spacing w:after="0" w:line="287"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structure our pay to consist of both fixed and variable compensation with short- and long-term horizons. The fixed (salary) portion of compensation is designed to provide a steady income regardless of ADI’s stock price performance. The variable (cash bonus, stock option, time-based RSU and performance-based RSU) portions of compensation are designed to reward both short- and long-term corporate performance. For short-term performance, our cash bonus is awarded based on OPBT margin and year-over-year revenue growth targets. For long-term performance, our employee stock option awards generally vest in equal installments over five years and our time-based RSUs generally vest in full on the third anniversary of the grant date. For our 2016 annual equity award cycle, our NEOs received approximately 33% of the value of their equity grants in the form of performance-based RSUs, which will vest based on our TSR over a three-year period as compared to a selected group of peer companies. The value of all of their equity grants is exclusively dependent on our stock price performance. We feel that these variable elements of compensation are a sufficient percentage of overall compensation to motivate executives to produce superior short- and long-term corporate results, while the fixed element is also sufficiently high that the executives are not encouraged to take unnecessary or excessive risks in doing so.</w:t>
      </w:r>
    </w:p>
    <w:p>
      <w:pPr>
        <w:spacing w:after="0" w:line="41" w:lineRule="exact"/>
        <w:rPr>
          <w:rFonts w:ascii="Arial" w:cs="Arial" w:eastAsia="Arial" w:hAnsi="Arial"/>
          <w:sz w:val="16"/>
          <w:szCs w:val="16"/>
          <w:color w:val="auto"/>
        </w:rPr>
      </w:pPr>
    </w:p>
    <w:p>
      <w:pPr>
        <w:ind w:left="900" w:right="200" w:hanging="325"/>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Because OPBT margin and year-over-year revenue growth are the performance measures for determining our cash incentive payments, we believe our executives are encouraged to take a balanced approach that focuses on corporate operating profit before taxes as a percentage of revenue and year-over-year revenue growth. If we do not achieve positive year-over-year revenue growth, bonus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50" w:name="page51"/>
    <w:bookmarkEnd w:id="50"/>
    <w:p>
      <w:pPr>
        <w:ind w:left="345"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for that element of the executive performance incentive are not paid, and no payments are made under the program if we achieve OPBT margin of 20% or less.</w:t>
      </w:r>
    </w:p>
    <w:p>
      <w:pPr>
        <w:spacing w:after="0" w:line="51" w:lineRule="exact"/>
        <w:rPr>
          <w:sz w:val="20"/>
          <w:szCs w:val="20"/>
          <w:color w:val="auto"/>
        </w:rPr>
      </w:pPr>
    </w:p>
    <w:p>
      <w:pPr>
        <w:ind w:left="325" w:hanging="325"/>
        <w:spacing w:after="0" w:line="290" w:lineRule="auto"/>
        <w:tabs>
          <w:tab w:leader="none" w:pos="32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believe that our focus on both OPBT margin and year-over-year revenue growth through our executive performance incentive plan, and stock price performance through our equity compensation program provides a check on excessive risk taking. That is, even if our executives could inappropriately increase OPBT margin or revenue by excessively reducing expenses or adding new revenue sources that are inconsistent with our business model, this would be detrimental to ADI in the long run and could ultimately harm our stock price and the value of their equity awards. Conversely, if our executives were to add revenue sources at low margins in order to generate a higher growth multiple and increased stock prices, it could decrease OPBT margin and the value of their cash bonus payments. As a result, we believe our compensation program has appropriate balance and incentives to produce superior short- and long-term corporate results.</w:t>
      </w:r>
    </w:p>
    <w:p>
      <w:pPr>
        <w:spacing w:after="0" w:line="37" w:lineRule="exact"/>
        <w:rPr>
          <w:rFonts w:ascii="Arial" w:cs="Arial" w:eastAsia="Arial" w:hAnsi="Arial"/>
          <w:sz w:val="16"/>
          <w:szCs w:val="16"/>
          <w:color w:val="auto"/>
        </w:rPr>
      </w:pPr>
    </w:p>
    <w:p>
      <w:pPr>
        <w:ind w:left="325" w:right="120" w:hanging="325"/>
        <w:spacing w:after="0" w:line="268" w:lineRule="auto"/>
        <w:tabs>
          <w:tab w:leader="none" w:pos="3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OPBT margin and year-over-year revenue targets are applicable to our executives and employees alike across the organization. We believe this encourages consistent behavior across the organization.</w:t>
      </w:r>
    </w:p>
    <w:p>
      <w:pPr>
        <w:spacing w:after="0" w:line="50" w:lineRule="exact"/>
        <w:rPr>
          <w:rFonts w:ascii="Arial" w:cs="Arial" w:eastAsia="Arial" w:hAnsi="Arial"/>
          <w:sz w:val="18"/>
          <w:szCs w:val="18"/>
          <w:color w:val="auto"/>
        </w:rPr>
      </w:pPr>
    </w:p>
    <w:p>
      <w:pPr>
        <w:ind w:left="325" w:right="20" w:hanging="325"/>
        <w:spacing w:after="0" w:line="291" w:lineRule="auto"/>
        <w:tabs>
          <w:tab w:leader="none" w:pos="32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cap our bonus payout factors at 300% of target and our bonus payouts are also subject to the 162(m) plan limitations for participants in that plan. To achieve a 300% bonus payout in a quarter, we would have to achieve both OPBT margin at or above 40% and year-to-year revenue growth at or above 28%, which were determined by the Compensation Committee to be very challenging. Even if we dramatically exceed our OPBT margin or year-over-year revenue growth targets, bonus payments are limited. Conversely, we have a floor on the OPBT margin target so that profitability below a certain level will result in no bonus payments, regardless of revenue growth levels. We believe this avoids incentivizing management to drive revenue levels without regard to profitability.</w:t>
      </w:r>
    </w:p>
    <w:p>
      <w:pPr>
        <w:spacing w:after="0" w:line="39" w:lineRule="exact"/>
        <w:rPr>
          <w:rFonts w:ascii="Arial" w:cs="Arial" w:eastAsia="Arial" w:hAnsi="Arial"/>
          <w:sz w:val="16"/>
          <w:szCs w:val="16"/>
          <w:color w:val="auto"/>
        </w:rPr>
      </w:pPr>
    </w:p>
    <w:p>
      <w:pPr>
        <w:ind w:left="325" w:hanging="325"/>
        <w:spacing w:after="0" w:line="259" w:lineRule="auto"/>
        <w:tabs>
          <w:tab w:leader="none" w:pos="3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strict accounting policies and internal controls over the measurement and calculation of OPBT margin and revenue. For example, we do not recognize product revenue until our distributors sell those products to their customers. As a result, our product revenue fully reflects end customer purchases and is not impacted by distributor inventory levels.</w:t>
      </w:r>
    </w:p>
    <w:p>
      <w:pPr>
        <w:spacing w:after="0" w:line="59" w:lineRule="exact"/>
        <w:rPr>
          <w:rFonts w:ascii="Arial" w:cs="Arial" w:eastAsia="Arial" w:hAnsi="Arial"/>
          <w:sz w:val="18"/>
          <w:szCs w:val="18"/>
          <w:color w:val="auto"/>
        </w:rPr>
      </w:pPr>
    </w:p>
    <w:p>
      <w:pPr>
        <w:ind w:left="325" w:right="340" w:hanging="325"/>
        <w:spacing w:after="0" w:line="259" w:lineRule="auto"/>
        <w:tabs>
          <w:tab w:leader="none" w:pos="3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stock ownership guidelines provide an incentive for management to consider ADI’s long-term interests because a portion of their personal investment portfolio consists of ADI stock. In addition, we prohibit all hedging transactions involving our stock so our directors, executives and employees cannot insulate themselves from the effects of ADI stock price performance.</w:t>
      </w:r>
    </w:p>
    <w:p>
      <w:pPr>
        <w:spacing w:after="0" w:line="59" w:lineRule="exact"/>
        <w:rPr>
          <w:rFonts w:ascii="Arial" w:cs="Arial" w:eastAsia="Arial" w:hAnsi="Arial"/>
          <w:sz w:val="18"/>
          <w:szCs w:val="18"/>
          <w:color w:val="auto"/>
        </w:rPr>
      </w:pPr>
    </w:p>
    <w:p>
      <w:pPr>
        <w:ind w:left="325" w:right="160" w:hanging="325"/>
        <w:spacing w:after="0" w:line="268" w:lineRule="auto"/>
        <w:tabs>
          <w:tab w:leader="none" w:pos="3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holding any Company securities in a margin account, and, since 2013, from pledging their Company securities as collateral for a loan.</w:t>
      </w:r>
    </w:p>
    <w:p>
      <w:pPr>
        <w:spacing w:after="0" w:line="50" w:lineRule="exact"/>
        <w:rPr>
          <w:rFonts w:ascii="Arial" w:cs="Arial" w:eastAsia="Arial" w:hAnsi="Arial"/>
          <w:sz w:val="18"/>
          <w:szCs w:val="18"/>
          <w:color w:val="auto"/>
        </w:rPr>
      </w:pPr>
    </w:p>
    <w:p>
      <w:pPr>
        <w:ind w:left="325" w:hanging="325"/>
        <w:spacing w:after="0"/>
        <w:tabs>
          <w:tab w:leader="none" w:pos="32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have equity award grant date guidelines that prohibit the timing or coordination of grants with the release of material information.</w:t>
      </w:r>
    </w:p>
    <w:p>
      <w:pPr>
        <w:spacing w:after="0" w:line="181"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85"/>
          </w:cols>
          <w:pgMar w:left="815" w:top="280"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Compensation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contains certain information about the compensation that our Chief Executive Officer, Chief Financial Officer and three other most highly compensated executive officers earned in fiscal 2016, 2015 and 2014.</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Pension</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Value and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Non-Equity</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Plan</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All 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400" w:type="dxa"/>
            <w:vAlign w:val="bottom"/>
            <w:gridSpan w:val="3"/>
            <w:vMerge w:val="continue"/>
          </w:tcPr>
          <w:p>
            <w:pPr>
              <w:spacing w:after="0"/>
              <w:rPr>
                <w:sz w:val="11"/>
                <w:szCs w:val="11"/>
                <w:color w:val="auto"/>
              </w:rPr>
            </w:pPr>
          </w:p>
        </w:tc>
        <w:tc>
          <w:tcPr>
            <w:tcW w:w="620" w:type="dxa"/>
            <w:vAlign w:val="bottom"/>
            <w:gridSpan w:val="3"/>
          </w:tcPr>
          <w:p>
            <w:pPr>
              <w:jc w:val="right"/>
              <w:ind w:right="180"/>
              <w:spacing w:after="0" w:line="135" w:lineRule="exact"/>
              <w:rPr>
                <w:sz w:val="20"/>
                <w:szCs w:val="20"/>
                <w:color w:val="auto"/>
              </w:rPr>
            </w:pPr>
            <w:r>
              <w:rPr>
                <w:rFonts w:ascii="Arial" w:cs="Arial" w:eastAsia="Arial" w:hAnsi="Arial"/>
                <w:sz w:val="14"/>
                <w:szCs w:val="14"/>
                <w:b w:val="1"/>
                <w:bCs w:val="1"/>
                <w:color w:val="auto"/>
              </w:rPr>
              <w:t>Fiscal</w:t>
            </w:r>
          </w:p>
        </w:tc>
        <w:tc>
          <w:tcPr>
            <w:tcW w:w="6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Salary</w:t>
            </w:r>
          </w:p>
        </w:tc>
        <w:tc>
          <w:tcPr>
            <w:tcW w:w="5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Bonus</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Earnings</w:t>
            </w: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6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2"/>
              </w:rPr>
              <w:t>Year</w:t>
            </w: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2"/>
                <w:szCs w:val="12"/>
                <w:color w:val="auto"/>
              </w:rPr>
            </w:pPr>
          </w:p>
        </w:tc>
        <w:tc>
          <w:tcPr>
            <w:tcW w:w="3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($)(2)</w:t>
            </w:r>
          </w:p>
        </w:tc>
        <w:tc>
          <w:tcPr>
            <w:tcW w:w="18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($)(3)</w:t>
            </w:r>
          </w:p>
        </w:tc>
        <w:tc>
          <w:tcPr>
            <w:tcW w:w="16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($)(4)</w:t>
            </w:r>
          </w:p>
        </w:tc>
        <w:tc>
          <w:tcPr>
            <w:tcW w:w="18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($)(5)(6)</w:t>
            </w:r>
          </w:p>
        </w:tc>
        <w:tc>
          <w:tcPr>
            <w:tcW w:w="180" w:type="dxa"/>
            <w:vAlign w:val="bottom"/>
          </w:tcPr>
          <w:p>
            <w:pPr>
              <w:spacing w:after="0"/>
              <w:rPr>
                <w:sz w:val="12"/>
                <w:szCs w:val="12"/>
                <w:color w:val="auto"/>
              </w:rPr>
            </w:pPr>
          </w:p>
        </w:tc>
        <w:tc>
          <w:tcPr>
            <w:tcW w:w="58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0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Roche,</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2016</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827,692</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3,572,511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1,633,514</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1,050,092</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66,215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7,150,024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2015</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785,192</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3,405,368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1,696,291</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1,803,254</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124,081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7,814,186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743,846</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2,757,776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1,321,836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1,139,469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63,397</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64,243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6,090,567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40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2016</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526,238</w:t>
            </w:r>
          </w:p>
        </w:tc>
        <w:tc>
          <w:tcPr>
            <w:tcW w:w="180" w:type="dxa"/>
            <w:vAlign w:val="bottom"/>
          </w:tcPr>
          <w:p>
            <w:pPr>
              <w:spacing w:after="0"/>
              <w:rPr>
                <w:sz w:val="21"/>
                <w:szCs w:val="21"/>
                <w:color w:val="auto"/>
              </w:rPr>
            </w:pPr>
          </w:p>
        </w:tc>
        <w:tc>
          <w:tcPr>
            <w:tcW w:w="5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1,429,070</w:t>
            </w:r>
          </w:p>
        </w:tc>
        <w:tc>
          <w:tcPr>
            <w:tcW w:w="580" w:type="dxa"/>
            <w:vAlign w:val="bottom"/>
          </w:tcPr>
          <w:p>
            <w:pPr>
              <w:jc w:val="right"/>
              <w:spacing w:after="0"/>
              <w:rPr>
                <w:sz w:val="20"/>
                <w:szCs w:val="20"/>
                <w:color w:val="auto"/>
              </w:rPr>
            </w:pPr>
            <w:r>
              <w:rPr>
                <w:rFonts w:ascii="Arial" w:cs="Arial" w:eastAsia="Arial" w:hAnsi="Arial"/>
                <w:sz w:val="14"/>
                <w:szCs w:val="14"/>
                <w:color w:val="auto"/>
              </w:rPr>
              <w:t>653,406</w:t>
            </w:r>
          </w:p>
        </w:tc>
        <w:tc>
          <w:tcPr>
            <w:tcW w:w="1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443,663</w:t>
            </w: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43,323</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3,095,700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2015</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504,423</w:t>
            </w:r>
          </w:p>
        </w:tc>
        <w:tc>
          <w:tcPr>
            <w:tcW w:w="180" w:type="dxa"/>
            <w:vAlign w:val="bottom"/>
          </w:tcPr>
          <w:p>
            <w:pPr>
              <w:spacing w:after="0"/>
              <w:rPr>
                <w:sz w:val="12"/>
                <w:szCs w:val="12"/>
                <w:color w:val="auto"/>
              </w:rPr>
            </w:pPr>
          </w:p>
        </w:tc>
        <w:tc>
          <w:tcPr>
            <w:tcW w:w="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1,362,039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678,579</w:t>
            </w:r>
          </w:p>
        </w:tc>
        <w:tc>
          <w:tcPr>
            <w:tcW w:w="1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772,552</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41,554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3,359,147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Finance and Chief</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2014</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481,538</w:t>
            </w:r>
          </w:p>
        </w:tc>
        <w:tc>
          <w:tcPr>
            <w:tcW w:w="180" w:type="dxa"/>
            <w:vAlign w:val="bottom"/>
          </w:tcPr>
          <w:p>
            <w:pPr>
              <w:spacing w:after="0"/>
              <w:rPr>
                <w:sz w:val="12"/>
                <w:szCs w:val="12"/>
                <w:color w:val="auto"/>
              </w:rPr>
            </w:pPr>
          </w:p>
        </w:tc>
        <w:tc>
          <w:tcPr>
            <w:tcW w:w="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1,378,888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660,918</w:t>
            </w:r>
          </w:p>
        </w:tc>
        <w:tc>
          <w:tcPr>
            <w:tcW w:w="1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472,433</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39,723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3,033,500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ind w:left="200"/>
              <w:spacing w:after="0"/>
              <w:rPr>
                <w:sz w:val="20"/>
                <w:szCs w:val="20"/>
                <w:color w:val="auto"/>
              </w:rPr>
            </w:pPr>
            <w:r>
              <w:rPr>
                <w:rFonts w:ascii="Arial" w:cs="Arial" w:eastAsia="Arial" w:hAnsi="Arial"/>
                <w:sz w:val="14"/>
                <w:szCs w:val="14"/>
                <w:color w:val="auto"/>
              </w:rPr>
              <w:t>Financial Officer</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D. Hess</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2016</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519,231</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1,429,070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653,406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443,452</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42,738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3,087,897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President(7)</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2015</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500,000</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681,291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339,237</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763,269</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38,892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2,322,689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400" w:type="dxa"/>
            <w:vAlign w:val="bottom"/>
            <w:gridSpan w:val="3"/>
          </w:tcPr>
          <w:p>
            <w:pPr>
              <w:spacing w:after="0"/>
              <w:rPr>
                <w:sz w:val="20"/>
                <w:szCs w:val="20"/>
                <w:color w:val="auto"/>
              </w:rPr>
            </w:pPr>
            <w:r>
              <w:rPr>
                <w:rFonts w:ascii="Arial" w:cs="Arial" w:eastAsia="Arial" w:hAnsi="Arial"/>
                <w:sz w:val="14"/>
                <w:szCs w:val="14"/>
                <w:color w:val="auto"/>
              </w:rPr>
              <w:t>Richard A. Meaney,</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2016</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469,288</w:t>
            </w:r>
          </w:p>
        </w:tc>
        <w:tc>
          <w:tcPr>
            <w:tcW w:w="180" w:type="dxa"/>
            <w:vAlign w:val="bottom"/>
          </w:tcPr>
          <w:p>
            <w:pPr>
              <w:spacing w:after="0"/>
              <w:rPr>
                <w:sz w:val="21"/>
                <w:szCs w:val="21"/>
                <w:color w:val="auto"/>
              </w:rPr>
            </w:pPr>
          </w:p>
        </w:tc>
        <w:tc>
          <w:tcPr>
            <w:tcW w:w="5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1,250,422</w:t>
            </w:r>
          </w:p>
        </w:tc>
        <w:tc>
          <w:tcPr>
            <w:tcW w:w="580" w:type="dxa"/>
            <w:vAlign w:val="bottom"/>
          </w:tcPr>
          <w:p>
            <w:pPr>
              <w:jc w:val="right"/>
              <w:spacing w:after="0"/>
              <w:rPr>
                <w:sz w:val="20"/>
                <w:szCs w:val="20"/>
                <w:color w:val="auto"/>
              </w:rPr>
            </w:pPr>
            <w:r>
              <w:rPr>
                <w:rFonts w:ascii="Arial" w:cs="Arial" w:eastAsia="Arial" w:hAnsi="Arial"/>
                <w:sz w:val="14"/>
                <w:szCs w:val="14"/>
                <w:color w:val="auto"/>
              </w:rPr>
              <w:t>571,733</w:t>
            </w:r>
          </w:p>
        </w:tc>
        <w:tc>
          <w:tcPr>
            <w:tcW w:w="1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396,837</w:t>
            </w: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3,417,684</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6,105,964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Former Senior Vice</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2015</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439,423</w:t>
            </w:r>
          </w:p>
        </w:tc>
        <w:tc>
          <w:tcPr>
            <w:tcW w:w="180" w:type="dxa"/>
            <w:vAlign w:val="bottom"/>
          </w:tcPr>
          <w:p>
            <w:pPr>
              <w:spacing w:after="0"/>
              <w:rPr>
                <w:sz w:val="12"/>
                <w:szCs w:val="12"/>
                <w:color w:val="auto"/>
              </w:rPr>
            </w:pPr>
          </w:p>
        </w:tc>
        <w:tc>
          <w:tcPr>
            <w:tcW w:w="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1,021,665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508,856</w:t>
            </w:r>
          </w:p>
        </w:tc>
        <w:tc>
          <w:tcPr>
            <w:tcW w:w="1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645,681</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43,073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2,658,698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ind w:left="200"/>
              <w:spacing w:after="0"/>
              <w:rPr>
                <w:sz w:val="20"/>
                <w:szCs w:val="20"/>
                <w:color w:val="auto"/>
              </w:rPr>
            </w:pPr>
            <w:r>
              <w:rPr>
                <w:rFonts w:ascii="Arial" w:cs="Arial" w:eastAsia="Arial" w:hAnsi="Arial"/>
                <w:sz w:val="14"/>
                <w:szCs w:val="14"/>
                <w:color w:val="auto"/>
              </w:rPr>
              <w:t>President</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2014</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414,423</w:t>
            </w:r>
          </w:p>
        </w:tc>
        <w:tc>
          <w:tcPr>
            <w:tcW w:w="18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689,444</w:t>
            </w:r>
          </w:p>
        </w:tc>
        <w:tc>
          <w:tcPr>
            <w:tcW w:w="580" w:type="dxa"/>
            <w:vAlign w:val="bottom"/>
          </w:tcPr>
          <w:p>
            <w:pPr>
              <w:jc w:val="right"/>
              <w:spacing w:after="0"/>
              <w:rPr>
                <w:sz w:val="20"/>
                <w:szCs w:val="20"/>
                <w:color w:val="auto"/>
              </w:rPr>
            </w:pPr>
            <w:r>
              <w:rPr>
                <w:rFonts w:ascii="Arial" w:cs="Arial" w:eastAsia="Arial" w:hAnsi="Arial"/>
                <w:sz w:val="14"/>
                <w:szCs w:val="14"/>
                <w:color w:val="auto"/>
              </w:rPr>
              <w:t>330,504</w:t>
            </w:r>
          </w:p>
        </w:tc>
        <w:tc>
          <w:tcPr>
            <w:tcW w:w="1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357,886</w:t>
            </w:r>
          </w:p>
        </w:tc>
        <w:tc>
          <w:tcPr>
            <w:tcW w:w="840" w:type="dxa"/>
            <w:vAlign w:val="bottom"/>
          </w:tcPr>
          <w:p>
            <w:pPr>
              <w:jc w:val="right"/>
              <w:spacing w:after="0"/>
              <w:rPr>
                <w:sz w:val="20"/>
                <w:szCs w:val="20"/>
                <w:color w:val="auto"/>
              </w:rPr>
            </w:pPr>
            <w:r>
              <w:rPr>
                <w:rFonts w:ascii="Arial" w:cs="Arial" w:eastAsia="Arial" w:hAnsi="Arial"/>
                <w:sz w:val="14"/>
                <w:szCs w:val="14"/>
                <w:color w:val="auto"/>
              </w:rPr>
              <w:t>581,773</w:t>
            </w:r>
          </w:p>
        </w:tc>
        <w:tc>
          <w:tcPr>
            <w:tcW w:w="1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82,984</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2,457,014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2016</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376,008</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786,048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359,372</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263,742</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81,134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1,866,304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Senior Vice</w:t>
            </w:r>
          </w:p>
        </w:tc>
        <w:tc>
          <w:tcPr>
            <w:tcW w:w="62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2015</w:t>
            </w:r>
          </w:p>
        </w:tc>
        <w:tc>
          <w:tcPr>
            <w:tcW w:w="48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82"/>
              </w:rPr>
              <w:t>323,428</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570,274</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405,947</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379,513</w:t>
            </w:r>
          </w:p>
        </w:tc>
        <w:tc>
          <w:tcPr>
            <w:tcW w:w="102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1,380,405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3,059,567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Technology Officer(7)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140" w:hanging="452"/>
        <w:spacing w:after="0" w:line="25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Meaney relocated from the United States to Ireland in January 2016. Commencing with his relocation, his salary was denominated in U.S. dollars and paid in euros. Mr. Real’s salary is denominated in euros. We calculate the U.S. dollar equivalent by using the average yearly exchange rate, or 0.9011 euro per U.S. dollar for fiscal 2016.</w:t>
      </w:r>
    </w:p>
    <w:p>
      <w:pPr>
        <w:ind w:left="460" w:right="8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stock option and time-based and performance-based restricted stock units granted in fiscal 2016, 2015 and 2014, respectively. These amounts do not represent the actual amounts paid to or realized by the NEO for these awards during the respective fiscal years. We recognize the value as of the grant date for stock options and time-based and performance-based RSUs over the number of days of service required for the grant to become vested.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2" w:name="page53"/>
    <w:bookmarkEnd w:id="52"/>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includes the assumptions, rounded to the nearest hundredth, that we used to calculate the grant date fair value reported for fiscals 2016, 2015 and 2014 on a grant-by-grant basis, and the grant date fair value of performance-based RSUs, assuming the achievement of the maximum level of performance conditions.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Assumptions</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Grant</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Options/</w:t>
            </w: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Restricted</w:t>
            </w: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9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Value</w:t>
            </w: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Achievement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Units</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3"/>
              </w:rPr>
              <w:t>Expected</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Risk-Free</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Dividend</w:t>
            </w: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Level for</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Granted</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Volatility</w:t>
            </w: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Life</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Interest</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Yield</w:t>
            </w: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Per</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55"/>
        </w:trPr>
        <w:tc>
          <w:tcPr>
            <w:tcW w:w="37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2"/>
          </w:tcPr>
          <w:p>
            <w:pPr>
              <w:jc w:val="center"/>
              <w:ind w:left="112"/>
              <w:spacing w:after="0" w:line="14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3"/>
                <w:szCs w:val="13"/>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54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6"/>
              </w:rPr>
              <w:t>(Years)</w:t>
            </w:r>
          </w:p>
        </w:tc>
        <w:tc>
          <w:tcPr>
            <w:tcW w:w="8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6"/>
              </w:rPr>
              <w:t>Rate (%)</w:t>
            </w:r>
          </w:p>
        </w:tc>
        <w:tc>
          <w:tcPr>
            <w:tcW w:w="52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Share</w:t>
            </w:r>
          </w:p>
        </w:tc>
        <w:tc>
          <w:tcPr>
            <w:tcW w:w="98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4"/>
              </w:rPr>
              <w:t xml:space="preserve">Based RSUs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Roche</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3/12/2014</w:t>
            </w: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28,100*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0.78</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47.35</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3/12/2014</w:t>
            </w:r>
          </w:p>
        </w:tc>
        <w:tc>
          <w:tcPr>
            <w:tcW w:w="11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28,100**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2.82</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50.79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2,854,398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3/12/2014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146,900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51.73</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24.95</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9.00</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31,315*</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31,315**</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3,518,553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162,410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57.29</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10.44</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32,796*</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49.98</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32,796**</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25.11</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3.01</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58.95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3,866,648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127,305</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54.93</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34.36</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12.83</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78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3/12/2014</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14,050*</w:t>
            </w:r>
          </w:p>
        </w:tc>
        <w:tc>
          <w:tcPr>
            <w:tcW w:w="7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0.78</w:t>
            </w:r>
          </w:p>
        </w:tc>
        <w:tc>
          <w:tcPr>
            <w:tcW w:w="26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2.86</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47.35</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3/12/2014</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14,050**</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23.22</w:t>
            </w: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2.82</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50.79</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1,427,199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3/12/2014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73,450</w:t>
            </w:r>
          </w:p>
        </w:tc>
        <w:tc>
          <w:tcPr>
            <w:tcW w:w="360" w:type="dxa"/>
            <w:vAlign w:val="bottom"/>
          </w:tcPr>
          <w:p>
            <w:pPr>
              <w:spacing w:after="0"/>
              <w:rPr>
                <w:sz w:val="12"/>
                <w:szCs w:val="12"/>
                <w:color w:val="auto"/>
              </w:rPr>
            </w:pP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51.73</w:t>
            </w:r>
          </w:p>
        </w:tc>
        <w:tc>
          <w:tcPr>
            <w:tcW w:w="260" w:type="dxa"/>
            <w:vAlign w:val="bottom"/>
          </w:tcPr>
          <w:p>
            <w:pPr>
              <w:spacing w:after="0"/>
              <w:rPr>
                <w:sz w:val="12"/>
                <w:szCs w:val="12"/>
                <w:color w:val="auto"/>
              </w:rPr>
            </w:pP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24.95</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9.00</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12,525*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12,525**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19.97</w:t>
            </w: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1,407,309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64,970</w:t>
            </w:r>
          </w:p>
        </w:tc>
        <w:tc>
          <w:tcPr>
            <w:tcW w:w="360" w:type="dxa"/>
            <w:vAlign w:val="bottom"/>
          </w:tcPr>
          <w:p>
            <w:pPr>
              <w:spacing w:after="0"/>
              <w:rPr>
                <w:sz w:val="12"/>
                <w:szCs w:val="12"/>
                <w:color w:val="auto"/>
              </w:rPr>
            </w:pP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57.29</w:t>
            </w:r>
          </w:p>
        </w:tc>
        <w:tc>
          <w:tcPr>
            <w:tcW w:w="260" w:type="dxa"/>
            <w:vAlign w:val="bottom"/>
          </w:tcPr>
          <w:p>
            <w:pPr>
              <w:spacing w:after="0"/>
              <w:rPr>
                <w:sz w:val="12"/>
                <w:szCs w:val="12"/>
                <w:color w:val="auto"/>
              </w:rPr>
            </w:pP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25.87</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10.44</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3/9/2016</w:t>
            </w: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13,119*</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3.06</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49.98</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3/9/2016</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13,119**</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25.11</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3.01</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58.95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1,546,730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3/9/2016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50,922</w:t>
            </w:r>
          </w:p>
        </w:tc>
        <w:tc>
          <w:tcPr>
            <w:tcW w:w="36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w w:val="79"/>
              </w:rPr>
              <w:t>54.93</w:t>
            </w:r>
          </w:p>
        </w:tc>
        <w:tc>
          <w:tcPr>
            <w:tcW w:w="260" w:type="dxa"/>
            <w:vAlign w:val="bottom"/>
          </w:tcPr>
          <w:p>
            <w:pPr>
              <w:spacing w:after="0"/>
              <w:rPr>
                <w:sz w:val="14"/>
                <w:szCs w:val="14"/>
                <w:color w:val="auto"/>
              </w:rPr>
            </w:pPr>
          </w:p>
        </w:tc>
        <w:tc>
          <w:tcPr>
            <w:tcW w:w="540" w:type="dxa"/>
            <w:vAlign w:val="bottom"/>
          </w:tcPr>
          <w:p>
            <w:pPr>
              <w:jc w:val="center"/>
              <w:ind w:left="172"/>
              <w:spacing w:after="0"/>
              <w:rPr>
                <w:sz w:val="20"/>
                <w:szCs w:val="20"/>
                <w:color w:val="auto"/>
              </w:rPr>
            </w:pPr>
            <w:r>
              <w:rPr>
                <w:rFonts w:ascii="Arial" w:cs="Arial" w:eastAsia="Arial" w:hAnsi="Arial"/>
                <w:sz w:val="14"/>
                <w:szCs w:val="14"/>
                <w:color w:val="auto"/>
                <w:w w:val="85"/>
              </w:rPr>
              <w:t>34.36</w:t>
            </w:r>
          </w:p>
        </w:tc>
        <w:tc>
          <w:tcPr>
            <w:tcW w:w="2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5.1</w:t>
            </w:r>
          </w:p>
        </w:tc>
        <w:tc>
          <w:tcPr>
            <w:tcW w:w="580" w:type="dxa"/>
            <w:vAlign w:val="bottom"/>
          </w:tcPr>
          <w:p>
            <w:pPr>
              <w:jc w:val="right"/>
              <w:spacing w:after="0"/>
              <w:rPr>
                <w:sz w:val="20"/>
                <w:szCs w:val="20"/>
                <w:color w:val="auto"/>
              </w:rPr>
            </w:pPr>
            <w:r>
              <w:rPr>
                <w:rFonts w:ascii="Arial" w:cs="Arial" w:eastAsia="Arial" w:hAnsi="Arial"/>
                <w:sz w:val="14"/>
                <w:szCs w:val="14"/>
                <w:color w:val="auto"/>
              </w:rPr>
              <w:t>1.41</w:t>
            </w:r>
          </w:p>
        </w:tc>
        <w:tc>
          <w:tcPr>
            <w:tcW w:w="2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3.06</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12.83</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920" w:type="dxa"/>
            <w:vAlign w:val="bottom"/>
            <w:gridSpan w:val="3"/>
          </w:tcPr>
          <w:p>
            <w:pPr>
              <w:spacing w:after="0"/>
              <w:rPr>
                <w:sz w:val="8"/>
                <w:szCs w:val="8"/>
                <w:color w:val="auto"/>
              </w:rPr>
            </w:pPr>
          </w:p>
        </w:tc>
        <w:tc>
          <w:tcPr>
            <w:tcW w:w="1140" w:type="dxa"/>
            <w:vAlign w:val="bottom"/>
            <w:gridSpan w:val="3"/>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D. Hess</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6,265*</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11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6,265**</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19.97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703,935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32,480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57.29</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25.87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10.44</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13,119*</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49.98</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13,119**</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25.11</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3.01</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58.95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1,546,730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50,922</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54.93</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34.36</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12.83</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780" w:type="dxa"/>
            <w:vAlign w:val="bottom"/>
            <w:gridSpan w:val="3"/>
          </w:tcPr>
          <w:p>
            <w:pPr>
              <w:spacing w:after="0"/>
              <w:rPr>
                <w:sz w:val="20"/>
                <w:szCs w:val="20"/>
                <w:color w:val="auto"/>
              </w:rPr>
            </w:pPr>
            <w:r>
              <w:rPr>
                <w:rFonts w:ascii="Arial" w:cs="Arial" w:eastAsia="Arial" w:hAnsi="Arial"/>
                <w:sz w:val="14"/>
                <w:szCs w:val="14"/>
                <w:color w:val="auto"/>
              </w:rPr>
              <w:t>Richard A. Meaney</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3/12/2014</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7,025*</w:t>
            </w:r>
          </w:p>
        </w:tc>
        <w:tc>
          <w:tcPr>
            <w:tcW w:w="7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0.78</w:t>
            </w:r>
          </w:p>
        </w:tc>
        <w:tc>
          <w:tcPr>
            <w:tcW w:w="26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2.86</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47.35</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3/12/2014</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7,025**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23.22</w:t>
            </w: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2.82</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50.79</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713,600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3/12/2014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36,730</w:t>
            </w:r>
          </w:p>
        </w:tc>
        <w:tc>
          <w:tcPr>
            <w:tcW w:w="360" w:type="dxa"/>
            <w:vAlign w:val="bottom"/>
          </w:tcPr>
          <w:p>
            <w:pPr>
              <w:spacing w:after="0"/>
              <w:rPr>
                <w:sz w:val="12"/>
                <w:szCs w:val="12"/>
                <w:color w:val="auto"/>
              </w:rPr>
            </w:pP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51.73</w:t>
            </w:r>
          </w:p>
        </w:tc>
        <w:tc>
          <w:tcPr>
            <w:tcW w:w="260" w:type="dxa"/>
            <w:vAlign w:val="bottom"/>
          </w:tcPr>
          <w:p>
            <w:pPr>
              <w:spacing w:after="0"/>
              <w:rPr>
                <w:sz w:val="12"/>
                <w:szCs w:val="12"/>
                <w:color w:val="auto"/>
              </w:rPr>
            </w:pP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24.95</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9.00</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9,395*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9,395**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19.97</w:t>
            </w: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1,055,622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48,720</w:t>
            </w:r>
          </w:p>
        </w:tc>
        <w:tc>
          <w:tcPr>
            <w:tcW w:w="360" w:type="dxa"/>
            <w:vAlign w:val="bottom"/>
          </w:tcPr>
          <w:p>
            <w:pPr>
              <w:spacing w:after="0"/>
              <w:rPr>
                <w:sz w:val="12"/>
                <w:szCs w:val="12"/>
                <w:color w:val="auto"/>
              </w:rPr>
            </w:pP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57.29</w:t>
            </w:r>
          </w:p>
        </w:tc>
        <w:tc>
          <w:tcPr>
            <w:tcW w:w="260" w:type="dxa"/>
            <w:vAlign w:val="bottom"/>
          </w:tcPr>
          <w:p>
            <w:pPr>
              <w:spacing w:after="0"/>
              <w:rPr>
                <w:sz w:val="12"/>
                <w:szCs w:val="12"/>
                <w:color w:val="auto"/>
              </w:rPr>
            </w:pP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25.87</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10.44</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3/9/2016</w:t>
            </w: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11,479*</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3.06</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49.98</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3/9/2016</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11,479**</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25.11</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3.01</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58.95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1,353,374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3/9/2016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44,557</w:t>
            </w:r>
          </w:p>
        </w:tc>
        <w:tc>
          <w:tcPr>
            <w:tcW w:w="36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w w:val="79"/>
              </w:rPr>
              <w:t>54.93</w:t>
            </w:r>
          </w:p>
        </w:tc>
        <w:tc>
          <w:tcPr>
            <w:tcW w:w="260" w:type="dxa"/>
            <w:vAlign w:val="bottom"/>
          </w:tcPr>
          <w:p>
            <w:pPr>
              <w:spacing w:after="0"/>
              <w:rPr>
                <w:sz w:val="14"/>
                <w:szCs w:val="14"/>
                <w:color w:val="auto"/>
              </w:rPr>
            </w:pPr>
          </w:p>
        </w:tc>
        <w:tc>
          <w:tcPr>
            <w:tcW w:w="540" w:type="dxa"/>
            <w:vAlign w:val="bottom"/>
          </w:tcPr>
          <w:p>
            <w:pPr>
              <w:jc w:val="center"/>
              <w:ind w:left="172"/>
              <w:spacing w:after="0"/>
              <w:rPr>
                <w:sz w:val="20"/>
                <w:szCs w:val="20"/>
                <w:color w:val="auto"/>
              </w:rPr>
            </w:pPr>
            <w:r>
              <w:rPr>
                <w:rFonts w:ascii="Arial" w:cs="Arial" w:eastAsia="Arial" w:hAnsi="Arial"/>
                <w:sz w:val="14"/>
                <w:szCs w:val="14"/>
                <w:color w:val="auto"/>
                <w:w w:val="85"/>
              </w:rPr>
              <w:t>34.36</w:t>
            </w:r>
          </w:p>
        </w:tc>
        <w:tc>
          <w:tcPr>
            <w:tcW w:w="2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5.1</w:t>
            </w:r>
          </w:p>
        </w:tc>
        <w:tc>
          <w:tcPr>
            <w:tcW w:w="580" w:type="dxa"/>
            <w:vAlign w:val="bottom"/>
          </w:tcPr>
          <w:p>
            <w:pPr>
              <w:jc w:val="right"/>
              <w:spacing w:after="0"/>
              <w:rPr>
                <w:sz w:val="20"/>
                <w:szCs w:val="20"/>
                <w:color w:val="auto"/>
              </w:rPr>
            </w:pPr>
            <w:r>
              <w:rPr>
                <w:rFonts w:ascii="Arial" w:cs="Arial" w:eastAsia="Arial" w:hAnsi="Arial"/>
                <w:sz w:val="14"/>
                <w:szCs w:val="14"/>
                <w:color w:val="auto"/>
              </w:rPr>
              <w:t>1.41</w:t>
            </w:r>
          </w:p>
        </w:tc>
        <w:tc>
          <w:tcPr>
            <w:tcW w:w="2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3.06</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12.83</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920" w:type="dxa"/>
            <w:vAlign w:val="bottom"/>
            <w:gridSpan w:val="3"/>
          </w:tcPr>
          <w:p>
            <w:pPr>
              <w:spacing w:after="0"/>
              <w:rPr>
                <w:sz w:val="8"/>
                <w:szCs w:val="8"/>
                <w:color w:val="auto"/>
              </w:rPr>
            </w:pPr>
          </w:p>
        </w:tc>
        <w:tc>
          <w:tcPr>
            <w:tcW w:w="1140" w:type="dxa"/>
            <w:vAlign w:val="bottom"/>
            <w:gridSpan w:val="3"/>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11/17/2014</w:t>
            </w: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5,000*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45.98</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11/17/2014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50.35</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22.92</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7.88</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3/11/2015</w:t>
            </w: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3,130*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19.97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351,687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16,240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57.29</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25.87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10.44</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7,216*</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49.98</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7,216**</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25.11</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3.01</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58.95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850,766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28,007</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54.93</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5"/>
              </w:rPr>
              <w:t>34.36</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12.83</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-3481070</wp:posOffset>
            </wp:positionV>
            <wp:extent cx="35179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179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Entries above with single asterisks (*) are time-based RSUs, entries with double asterisks (**) are performance-based RSUs and entries without asterisks are stock options. The grant date fair value of time-based RSUs represents the value of our common stock on the date of grant, reduced by the present value of dividends expected to be paid on our common stock prior to vesting. The grant date fair value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3" w:name="page54"/>
    <w:bookmarkEnd w:id="53"/>
    <w:p>
      <w:pPr>
        <w:ind w:left="452"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performance-based 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of stock options is computed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 Critical Accounting Policies and Estimates — Stock-Based Compensation,” included in our Annual Report on Form 10-K for the year ended October 29, 2016.</w:t>
      </w:r>
    </w:p>
    <w:p>
      <w:pPr>
        <w:spacing w:after="0" w:line="37" w:lineRule="exact"/>
        <w:rPr>
          <w:sz w:val="20"/>
          <w:szCs w:val="20"/>
          <w:color w:val="auto"/>
        </w:rPr>
      </w:pPr>
    </w:p>
    <w:p>
      <w:pPr>
        <w:jc w:val="both"/>
        <w:ind w:left="452" w:right="40" w:hanging="452"/>
        <w:spacing w:after="0" w:line="306"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Reflects the amounts earned under our executive performance incentive plan in fiscal 2016, 2015 and 2014. See “Compensation Discussion and Analysis” above for a discussion of how these amounts were determined under the plan. Mr. Real’s amounts are denominated in euros. We calculate the U.S. dollars equivalent by using the monthly average exchange rate of the two quarters in which the bonus is earned.</w:t>
      </w:r>
    </w:p>
    <w:p>
      <w:pPr>
        <w:spacing w:after="0" w:line="25" w:lineRule="exact"/>
        <w:rPr>
          <w:rFonts w:ascii="Arial" w:cs="Arial" w:eastAsia="Arial" w:hAnsi="Arial"/>
          <w:sz w:val="16"/>
          <w:szCs w:val="16"/>
          <w:color w:val="auto"/>
        </w:rPr>
      </w:pPr>
    </w:p>
    <w:p>
      <w:pPr>
        <w:ind w:left="452" w:right="120" w:hanging="452"/>
        <w:spacing w:after="0" w:line="298"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values shown in the table represent the increase in pension values in fiscal 2014. The increases included are denominated in euros. We calculated the U.S. dollar amount for fiscal 2014 using the exchange rate as of November 1, 2014, or 0.7984 euro per U.S. dollar. In October 2015, the Company converted the benefits provided to active and deferred participants under the Company’s Irish defined benefits pension plan, or DB Plan, to benefits provided under the Company’s Irish defined contribution plan, or Irish DC Plan and terminated the DB Plan.</w:t>
      </w:r>
    </w:p>
    <w:p>
      <w:pPr>
        <w:spacing w:after="0" w:line="31" w:lineRule="exact"/>
        <w:rPr>
          <w:rFonts w:ascii="Arial" w:cs="Arial" w:eastAsia="Arial" w:hAnsi="Arial"/>
          <w:sz w:val="16"/>
          <w:szCs w:val="16"/>
          <w:color w:val="auto"/>
        </w:rPr>
      </w:pPr>
    </w:p>
    <w:p>
      <w:pPr>
        <w:ind w:left="452" w:hanging="452"/>
        <w:spacing w:after="0" w:line="318" w:lineRule="auto"/>
        <w:tabs>
          <w:tab w:leader="none" w:pos="452"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These amounts include lump sum contributions from Analog Devices into individual accounts in the Irish DC Plan in fiscal 2015 for Messrs. Roche and Real in the amount of $61,266 and $1,339,723, respectively. These contributions were made in connection with the conversion of the benefits provided to active and deferred participants under the DB Plan to benefits provided under the Irish DC Plan. The actuarial calculations used to calculate the conversion payments for our participating executive officers were identical to the calculations used for all other active and deferred members. The contributions were made in euros. We calculated the U.S. dollar equivalent by using the average yearly exchange rate, or 0.8801 euro per U.S. dollar for fiscal 2015.</w:t>
      </w:r>
    </w:p>
    <w:p>
      <w:pPr>
        <w:spacing w:after="0" w:line="18" w:lineRule="exact"/>
        <w:rPr>
          <w:rFonts w:ascii="Arial" w:cs="Arial" w:eastAsia="Arial" w:hAnsi="Arial"/>
          <w:sz w:val="15"/>
          <w:szCs w:val="15"/>
          <w:color w:val="auto"/>
        </w:rPr>
      </w:pPr>
    </w:p>
    <w:p>
      <w:pPr>
        <w:ind w:left="452" w:hanging="452"/>
        <w:spacing w:after="0"/>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addition to amounts detailed above in footnote 5, the amounts shown in the “All Other Compensation” column are comprised of the following:</w:t>
      </w:r>
    </w:p>
    <w:p>
      <w:pPr>
        <w:spacing w:after="0" w:line="218"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Company 401(k),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DCP and Irish</w:t>
            </w:r>
          </w:p>
        </w:tc>
        <w:tc>
          <w:tcPr>
            <w:tcW w:w="1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Healthcare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0"/>
              </w:rPr>
              <w:t>Company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0"/>
              </w:rPr>
              <w:t>Fiscal</w:t>
            </w:r>
          </w:p>
        </w:tc>
        <w:tc>
          <w:tcPr>
            <w:tcW w:w="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DC Plan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Service</w:t>
            </w: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Savings</w:t>
            </w:r>
          </w:p>
        </w:tc>
        <w:tc>
          <w:tcPr>
            <w:tcW w:w="16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Relocation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Owned</w:t>
            </w:r>
          </w:p>
        </w:tc>
        <w:tc>
          <w:tcPr>
            <w:tcW w:w="3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Separation</w:t>
            </w:r>
          </w:p>
        </w:tc>
        <w:tc>
          <w:tcPr>
            <w:tcW w:w="0" w:type="dxa"/>
            <w:vAlign w:val="bottom"/>
          </w:tcPr>
          <w:p>
            <w:pPr>
              <w:spacing w:after="0"/>
              <w:rPr>
                <w:sz w:val="1"/>
                <w:szCs w:val="1"/>
                <w:color w:val="auto"/>
              </w:rPr>
            </w:pPr>
          </w:p>
        </w:tc>
      </w:tr>
      <w:tr>
        <w:trPr>
          <w:trHeight w:val="155"/>
        </w:trPr>
        <w:tc>
          <w:tcPr>
            <w:tcW w:w="26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2"/>
              </w:rPr>
              <w:t>Year</w:t>
            </w:r>
          </w:p>
        </w:tc>
        <w:tc>
          <w:tcPr>
            <w:tcW w:w="60" w:type="dxa"/>
            <w:vAlign w:val="bottom"/>
          </w:tcPr>
          <w:p>
            <w:pPr>
              <w:spacing w:after="0"/>
              <w:rPr>
                <w:sz w:val="13"/>
                <w:szCs w:val="13"/>
                <w:color w:val="auto"/>
              </w:rPr>
            </w:pPr>
          </w:p>
        </w:tc>
        <w:tc>
          <w:tcPr>
            <w:tcW w:w="11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Payments(a)</w:t>
            </w:r>
          </w:p>
        </w:tc>
        <w:tc>
          <w:tcPr>
            <w:tcW w:w="160" w:type="dxa"/>
            <w:vAlign w:val="bottom"/>
          </w:tcPr>
          <w:p>
            <w:pPr>
              <w:spacing w:after="0"/>
              <w:rPr>
                <w:sz w:val="13"/>
                <w:szCs w:val="13"/>
                <w:color w:val="auto"/>
              </w:rPr>
            </w:pP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Award(b)</w:t>
            </w: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Award(c)</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Account</w:t>
            </w:r>
          </w:p>
        </w:tc>
        <w:tc>
          <w:tcPr>
            <w:tcW w:w="160" w:type="dxa"/>
            <w:vAlign w:val="bottom"/>
          </w:tcPr>
          <w:p>
            <w:pPr>
              <w:spacing w:after="0"/>
              <w:rPr>
                <w:sz w:val="13"/>
                <w:szCs w:val="13"/>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Expenses(d)</w:t>
            </w:r>
          </w:p>
        </w:tc>
        <w:tc>
          <w:tcPr>
            <w:tcW w:w="1040" w:type="dxa"/>
            <w:vAlign w:val="bottom"/>
            <w:gridSpan w:val="3"/>
          </w:tcPr>
          <w:p>
            <w:pPr>
              <w:ind w:left="160"/>
              <w:spacing w:after="0" w:line="148" w:lineRule="exact"/>
              <w:rPr>
                <w:sz w:val="20"/>
                <w:szCs w:val="20"/>
                <w:color w:val="auto"/>
              </w:rPr>
            </w:pPr>
            <w:r>
              <w:rPr>
                <w:rFonts w:ascii="Arial" w:cs="Arial" w:eastAsia="Arial" w:hAnsi="Arial"/>
                <w:sz w:val="14"/>
                <w:szCs w:val="14"/>
                <w:b w:val="1"/>
                <w:bCs w:val="1"/>
                <w:color w:val="auto"/>
                <w:w w:val="84"/>
              </w:rPr>
              <w:t>Automobiles(e)</w:t>
            </w:r>
          </w:p>
        </w:tc>
        <w:tc>
          <w:tcPr>
            <w:tcW w:w="320" w:type="dxa"/>
            <w:vAlign w:val="bottom"/>
          </w:tcPr>
          <w:p>
            <w:pPr>
              <w:spacing w:after="0"/>
              <w:rPr>
                <w:sz w:val="13"/>
                <w:szCs w:val="13"/>
                <w:color w:val="auto"/>
              </w:rPr>
            </w:pPr>
          </w:p>
        </w:tc>
        <w:tc>
          <w:tcPr>
            <w:tcW w:w="7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6"/>
              </w:rPr>
              <w:t>Payment(f)</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Roche</w:t>
            </w:r>
          </w:p>
        </w:tc>
        <w:tc>
          <w:tcPr>
            <w:tcW w:w="9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66,215</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62,815</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59,508</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4,735</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260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900" w:type="dxa"/>
            <w:vAlign w:val="bottom"/>
            <w:gridSpan w:val="3"/>
          </w:tcPr>
          <w:p>
            <w:pPr>
              <w:jc w:val="right"/>
              <w:ind w:right="320"/>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42,123</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32"/>
              <w:spacing w:after="0"/>
              <w:rPr>
                <w:sz w:val="20"/>
                <w:szCs w:val="20"/>
                <w:color w:val="auto"/>
              </w:rPr>
            </w:pPr>
            <w:r>
              <w:rPr>
                <w:rFonts w:ascii="Arial" w:cs="Arial" w:eastAsia="Arial" w:hAnsi="Arial"/>
                <w:sz w:val="14"/>
                <w:szCs w:val="14"/>
                <w:color w:val="auto"/>
                <w:w w:val="91"/>
              </w:rPr>
              <w:t>1,200</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40,354</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1"/>
              </w:rPr>
              <w:t>1,200</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color w:val="auto"/>
              </w:rPr>
              <w:t>2014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38,523</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32"/>
              <w:spacing w:after="0"/>
              <w:rPr>
                <w:sz w:val="20"/>
                <w:szCs w:val="20"/>
                <w:color w:val="auto"/>
              </w:rPr>
            </w:pPr>
            <w:r>
              <w:rPr>
                <w:rFonts w:ascii="Arial" w:cs="Arial" w:eastAsia="Arial" w:hAnsi="Arial"/>
                <w:sz w:val="14"/>
                <w:szCs w:val="14"/>
                <w:color w:val="auto"/>
                <w:w w:val="91"/>
              </w:rPr>
              <w:t>1,200</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D. Hess</w:t>
            </w:r>
          </w:p>
        </w:tc>
        <w:tc>
          <w:tcPr>
            <w:tcW w:w="9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41,538</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1,200</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37,692</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1,200</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2600" w:type="dxa"/>
            <w:vAlign w:val="bottom"/>
            <w:gridSpan w:val="3"/>
          </w:tcPr>
          <w:p>
            <w:pPr>
              <w:spacing w:after="0"/>
              <w:rPr>
                <w:sz w:val="20"/>
                <w:szCs w:val="20"/>
                <w:color w:val="auto"/>
              </w:rPr>
            </w:pPr>
            <w:r>
              <w:rPr>
                <w:rFonts w:ascii="Arial" w:cs="Arial" w:eastAsia="Arial" w:hAnsi="Arial"/>
                <w:sz w:val="14"/>
                <w:szCs w:val="14"/>
                <w:color w:val="auto"/>
              </w:rPr>
              <w:t>Richard A. Meaney</w:t>
            </w:r>
          </w:p>
        </w:tc>
        <w:tc>
          <w:tcPr>
            <w:tcW w:w="900" w:type="dxa"/>
            <w:vAlign w:val="bottom"/>
            <w:gridSpan w:val="3"/>
          </w:tcPr>
          <w:p>
            <w:pPr>
              <w:jc w:val="right"/>
              <w:ind w:right="320"/>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6,843</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571</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72"/>
              <w:spacing w:after="0"/>
              <w:rPr>
                <w:sz w:val="20"/>
                <w:szCs w:val="20"/>
                <w:color w:val="auto"/>
              </w:rPr>
            </w:pPr>
            <w:r>
              <w:rPr>
                <w:rFonts w:ascii="Arial" w:cs="Arial" w:eastAsia="Arial" w:hAnsi="Arial"/>
                <w:sz w:val="14"/>
                <w:szCs w:val="14"/>
                <w:color w:val="auto"/>
                <w:w w:val="85"/>
              </w:rPr>
              <w:t>—</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27,513</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tcPr>
          <w:p>
            <w:pPr>
              <w:ind w:left="20"/>
              <w:spacing w:after="0"/>
              <w:rPr>
                <w:sz w:val="20"/>
                <w:szCs w:val="20"/>
                <w:color w:val="auto"/>
              </w:rPr>
            </w:pPr>
            <w:r>
              <w:rPr>
                <w:rFonts w:ascii="Arial" w:cs="Arial" w:eastAsia="Arial" w:hAnsi="Arial"/>
                <w:sz w:val="14"/>
                <w:szCs w:val="14"/>
                <w:color w:val="auto"/>
                <w:w w:val="83"/>
              </w:rPr>
              <w:t>3,382,757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27,204</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52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5"/>
              </w:rPr>
              <w:t>6,623</w:t>
            </w:r>
          </w:p>
        </w:tc>
        <w:tc>
          <w:tcPr>
            <w:tcW w:w="3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2,978</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6,268</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color w:val="auto"/>
              </w:rPr>
              <w:t>2014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25,354</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rPr>
                <w:sz w:val="20"/>
                <w:szCs w:val="20"/>
                <w:color w:val="auto"/>
              </w:rPr>
            </w:pPr>
            <w:r>
              <w:rPr>
                <w:rFonts w:ascii="Arial" w:cs="Arial" w:eastAsia="Arial" w:hAnsi="Arial"/>
                <w:sz w:val="14"/>
                <w:szCs w:val="14"/>
                <w:color w:val="auto"/>
              </w:rPr>
              <w:t>2,965</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72"/>
              <w:spacing w:after="0"/>
              <w:rPr>
                <w:sz w:val="20"/>
                <w:szCs w:val="20"/>
                <w:color w:val="auto"/>
              </w:rPr>
            </w:pPr>
            <w:r>
              <w:rPr>
                <w:rFonts w:ascii="Arial" w:cs="Arial" w:eastAsia="Arial" w:hAnsi="Arial"/>
                <w:sz w:val="14"/>
                <w:szCs w:val="14"/>
                <w:color w:val="auto"/>
                <w:w w:val="85"/>
              </w:rPr>
              <w:t>—</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26,000</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28,665</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9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39,177</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41,957</w:t>
            </w:r>
          </w:p>
        </w:tc>
        <w:tc>
          <w:tcPr>
            <w:tcW w:w="4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4,137</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36,545</w:t>
            </w:r>
          </w:p>
        </w:tc>
        <w:tc>
          <w:tcPr>
            <w:tcW w:w="4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892" w:right="760" w:hanging="446"/>
        <w:spacing w:after="0" w:line="268" w:lineRule="auto"/>
        <w:tabs>
          <w:tab w:leader="none" w:pos="8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paid to Messrs. Roche, Zinsner, Hess, and Meaney consist of the Company contribution into 401(k) and DCP accounts up to the permissible IRS limit and the taxable Company contribution in</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32"/>
          </w:cols>
          <w:pgMar w:left="248" w:top="280" w:right="319" w:bottom="1440" w:gutter="0" w:footer="0" w:header="0"/>
        </w:sectPr>
      </w:pPr>
    </w:p>
    <w:bookmarkStart w:id="54" w:name="page55"/>
    <w:bookmarkEnd w:id="54"/>
    <w:p>
      <w:pPr>
        <w:jc w:val="both"/>
        <w:ind w:left="920" w:right="6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excess of IRS limits described under “Retirement and Other Employee Benefits” above. The amount for Mr. Real consists of the Company’s contribution into the Irish DC Plan and the taxable payment to Messrs. Real and Meaney in lieu of its contribution into the Irish DC Plan, as described more fully under “— Retirement and Other Employee Benefits” above.</w:t>
      </w:r>
    </w:p>
    <w:p>
      <w:pPr>
        <w:spacing w:after="0" w:line="59" w:lineRule="exact"/>
        <w:rPr>
          <w:sz w:val="20"/>
          <w:szCs w:val="20"/>
          <w:color w:val="auto"/>
        </w:rPr>
      </w:pPr>
    </w:p>
    <w:p>
      <w:pPr>
        <w:ind w:left="900" w:hanging="446"/>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Paid in connection with our Employee Service Award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Paid in connection with our Employee Cash Award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Amounts paid to Mr. Meaney upon his relocation from Ireland to the United States.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Amounts relate to repairs, gas, tax, insurance, and certain commuting expenses related to their use of Company-owned automobiles.</w:t>
      </w:r>
    </w:p>
    <w:p>
      <w:pPr>
        <w:spacing w:after="0" w:line="113" w:lineRule="exact"/>
        <w:rPr>
          <w:rFonts w:ascii="Arial" w:cs="Arial" w:eastAsia="Arial" w:hAnsi="Arial"/>
          <w:sz w:val="16"/>
          <w:szCs w:val="16"/>
          <w:color w:val="auto"/>
        </w:rPr>
      </w:pPr>
    </w:p>
    <w:p>
      <w:pPr>
        <w:ind w:left="900" w:hanging="446"/>
        <w:spacing w:after="0" w:line="287"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On September 19, 2016, we announced that Mr. Meaney would be leaving the Company at the end of the 2016 calendar year. In connection with Mr. Meaney’s departure from the Company on December 27, 2016, and in exchange for a release of claims in favor of the Company, he received (i) a payment equal to two years of his base salary and bonus at target, (ii) continued coverage under the Company’s group health plans for 12 months following his separation date, and (iii) $16,000 towards independent tax advice. In addition, in consideration of Mr. Meaney’s execution of a non-competition and non-solicitation agreement, as of his separation date, all outstanding stock options, restricted stock units and performance restricted stock units that were scheduled to vest on or before March 31, 2017, accelerated and vested in full. The equity awards subject to performance-based vesting criteria vested as if all applicable performance parameters had been met at target levels. The value of accelerated unvested options is calculated by taking the difference between the closing price of our common stock on NASDAQ on the separation date of December 27, 2016 ($74.313) and the option exercise price and multiplying it by the number of accelerated options. For time- and performance-based RSUs the value represents the closing price of our common stock on December 27, 2016 multiplied by the number of accelerated units.</w:t>
      </w:r>
    </w:p>
    <w:p>
      <w:pPr>
        <w:spacing w:after="0" w:line="41"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Messrs. Hess and Real became executive officers of the Company, effective November 2, 2014, the first day of our fiscal 2015.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2016</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plan-based awards in fiscal 2016 to our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Estimated Future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All Other</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1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7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7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80" w:type="dxa"/>
            <w:vAlign w:val="bottom"/>
            <w:gridSpan w:val="6"/>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Estimated Possible</w:t>
            </w:r>
          </w:p>
        </w:tc>
        <w:tc>
          <w:tcPr>
            <w:tcW w:w="600" w:type="dxa"/>
            <w:vAlign w:val="bottom"/>
          </w:tcPr>
          <w:p>
            <w:pPr>
              <w:spacing w:after="0"/>
              <w:rPr>
                <w:sz w:val="5"/>
                <w:szCs w:val="5"/>
                <w:color w:val="auto"/>
              </w:rPr>
            </w:pPr>
          </w:p>
        </w:tc>
        <w:tc>
          <w:tcPr>
            <w:tcW w:w="1460" w:type="dxa"/>
            <w:vAlign w:val="bottom"/>
            <w:gridSpan w:val="4"/>
            <w:vMerge w:val="restart"/>
          </w:tcPr>
          <w:p>
            <w:pPr>
              <w:jc w:val="center"/>
              <w:ind w:right="532"/>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gridSpan w:val="6"/>
            <w:vMerge w:val="continue"/>
          </w:tcPr>
          <w:p>
            <w:pPr>
              <w:spacing w:after="0"/>
              <w:rPr>
                <w:sz w:val="7"/>
                <w:szCs w:val="7"/>
                <w:color w:val="auto"/>
              </w:rPr>
            </w:pPr>
          </w:p>
        </w:tc>
        <w:tc>
          <w:tcPr>
            <w:tcW w:w="6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Price of</w:t>
            </w:r>
          </w:p>
        </w:tc>
        <w:tc>
          <w:tcPr>
            <w:tcW w:w="7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80" w:type="dxa"/>
            <w:vAlign w:val="bottom"/>
            <w:gridSpan w:val="6"/>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Payouts Under Non-Equity</w:t>
            </w:r>
          </w:p>
        </w:tc>
        <w:tc>
          <w:tcPr>
            <w:tcW w:w="206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gridSpan w:val="6"/>
            <w:vMerge w:val="continue"/>
          </w:tcPr>
          <w:p>
            <w:pPr>
              <w:spacing w:after="0"/>
              <w:rPr>
                <w:sz w:val="7"/>
                <w:szCs w:val="7"/>
                <w:color w:val="auto"/>
              </w:rPr>
            </w:pPr>
          </w:p>
        </w:tc>
        <w:tc>
          <w:tcPr>
            <w:tcW w:w="206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6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rPr>
              <w:t>Option</w:t>
            </w:r>
          </w:p>
        </w:tc>
        <w:tc>
          <w:tcPr>
            <w:tcW w:w="7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8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88"/>
              </w:rPr>
              <w:t>Incentive Plan Awards(1)</w:t>
            </w:r>
          </w:p>
        </w:tc>
        <w:tc>
          <w:tcPr>
            <w:tcW w:w="20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Plan Awards(2)</w:t>
            </w: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80" w:type="dxa"/>
            <w:vAlign w:val="bottom"/>
            <w:gridSpan w:val="6"/>
            <w:vMerge w:val="continue"/>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Shares of Stock</w:t>
            </w: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6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Target</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2"/>
              </w:rPr>
              <w:t>Threshold</w:t>
            </w:r>
          </w:p>
        </w:tc>
        <w:tc>
          <w:tcPr>
            <w:tcW w:w="2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or Units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 Per</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2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Date</w:t>
            </w: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152"/>
              <w:spacing w:after="0" w:line="148"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center"/>
              <w:ind w:left="152"/>
              <w:spacing w:after="0" w:line="148" w:lineRule="exact"/>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220" w:type="dxa"/>
            <w:vAlign w:val="bottom"/>
          </w:tcPr>
          <w:p>
            <w:pPr>
              <w:spacing w:after="0"/>
              <w:rPr>
                <w:sz w:val="12"/>
                <w:szCs w:val="12"/>
                <w:color w:val="auto"/>
              </w:rPr>
            </w:pPr>
          </w:p>
        </w:tc>
        <w:tc>
          <w:tcPr>
            <w:tcW w:w="7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5"/>
              </w:rPr>
              <w:t>Share)(5)</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Vincent Roche</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1,241,538</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3,724,614</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3/9/2016</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32,796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65,592</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1,933,367(6)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3/9/2016</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32,796</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1,639,144(7)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3/9/2016</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127,305</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54.93</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1,633,514(8)</w:t>
            </w:r>
          </w:p>
        </w:tc>
        <w:tc>
          <w:tcPr>
            <w:tcW w:w="0" w:type="dxa"/>
            <w:vAlign w:val="bottom"/>
          </w:tcPr>
          <w:p>
            <w:pPr>
              <w:spacing w:after="0"/>
              <w:rPr>
                <w:sz w:val="1"/>
                <w:szCs w:val="1"/>
                <w:color w:val="auto"/>
              </w:rPr>
            </w:pPr>
          </w:p>
        </w:tc>
      </w:tr>
      <w:tr>
        <w:trPr>
          <w:trHeight w:val="138"/>
        </w:trPr>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David A. Zinsner</w:t>
            </w:r>
          </w:p>
        </w:tc>
        <w:tc>
          <w:tcPr>
            <w:tcW w:w="120" w:type="dxa"/>
            <w:vAlign w:val="bottom"/>
          </w:tcPr>
          <w:p>
            <w:pPr>
              <w:spacing w:after="0"/>
              <w:rPr>
                <w:sz w:val="11"/>
                <w:szCs w:val="11"/>
                <w:color w:val="auto"/>
              </w:rPr>
            </w:pPr>
          </w:p>
        </w:tc>
        <w:tc>
          <w:tcPr>
            <w:tcW w:w="74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N/A</w:t>
            </w:r>
          </w:p>
        </w:tc>
        <w:tc>
          <w:tcPr>
            <w:tcW w:w="80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526,238</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1,578,714</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3/9/2016</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13,119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26,238</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773,382(6)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3/9/2016</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13,119</w:t>
            </w:r>
          </w:p>
        </w:tc>
        <w:tc>
          <w:tcPr>
            <w:tcW w:w="2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655,688(7)</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3/9/2016</w:t>
            </w:r>
          </w:p>
        </w:tc>
        <w:tc>
          <w:tcPr>
            <w:tcW w:w="80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50,922</w:t>
            </w:r>
          </w:p>
        </w:tc>
        <w:tc>
          <w:tcPr>
            <w:tcW w:w="22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54.93</w:t>
            </w: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653,406(8)</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D. Hess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519,231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1,557,693</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3/9/2016</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13,119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26,238</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773,382(6)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3/9/2016</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13,119</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655,688(7)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3/9/2016</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50,922</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54.93</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653,406(8)</w:t>
            </w:r>
          </w:p>
        </w:tc>
        <w:tc>
          <w:tcPr>
            <w:tcW w:w="0" w:type="dxa"/>
            <w:vAlign w:val="bottom"/>
          </w:tcPr>
          <w:p>
            <w:pPr>
              <w:spacing w:after="0"/>
              <w:rPr>
                <w:sz w:val="1"/>
                <w:szCs w:val="1"/>
                <w:color w:val="auto"/>
              </w:rPr>
            </w:pPr>
          </w:p>
        </w:tc>
      </w:tr>
      <w:tr>
        <w:trPr>
          <w:trHeight w:val="138"/>
        </w:trPr>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Richard A. Meaney</w:t>
            </w:r>
          </w:p>
        </w:tc>
        <w:tc>
          <w:tcPr>
            <w:tcW w:w="120" w:type="dxa"/>
            <w:vAlign w:val="bottom"/>
          </w:tcPr>
          <w:p>
            <w:pPr>
              <w:spacing w:after="0"/>
              <w:rPr>
                <w:sz w:val="11"/>
                <w:szCs w:val="11"/>
                <w:color w:val="auto"/>
              </w:rPr>
            </w:pPr>
          </w:p>
        </w:tc>
        <w:tc>
          <w:tcPr>
            <w:tcW w:w="74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N/A</w:t>
            </w:r>
          </w:p>
        </w:tc>
        <w:tc>
          <w:tcPr>
            <w:tcW w:w="80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469,288</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1,407,864</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3/9/2016</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11,479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22,958</w:t>
            </w:r>
          </w:p>
        </w:tc>
        <w:tc>
          <w:tcPr>
            <w:tcW w:w="22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676,702(6)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3/9/2016</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11,479</w:t>
            </w:r>
          </w:p>
        </w:tc>
        <w:tc>
          <w:tcPr>
            <w:tcW w:w="2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573,720(7)</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3/9/2016</w:t>
            </w:r>
          </w:p>
        </w:tc>
        <w:tc>
          <w:tcPr>
            <w:tcW w:w="80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44,557</w:t>
            </w:r>
          </w:p>
        </w:tc>
        <w:tc>
          <w:tcPr>
            <w:tcW w:w="22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54.93</w:t>
            </w: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571,733(8)</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300,806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902,418</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3/9/2016</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7,216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14,432</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425,393(6)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3/9/2016</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7,216</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360,655(7)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3/9/2016</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28,007</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54.93</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359,372(8)</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5" w:name="page56"/>
    <w:bookmarkEnd w:id="55"/>
    <w:p>
      <w:pPr>
        <w:ind w:left="452" w:right="80" w:hanging="452"/>
        <w:spacing w:after="0" w:line="306" w:lineRule="auto"/>
        <w:tabs>
          <w:tab w:leader="none" w:pos="452"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 amounts shown in the threshold, target and maximum columns reflect the minimum, target and maximum amounts payable under our executive performance incentive plan, respectively. Amounts in the maximum column above reflect 300% of the executive’s target bonus, which is the cap under the plan. The actual amounts earned in fiscal 2016 are reflected in the Summary Compensation Table above and were as follows:</w:t>
      </w:r>
    </w:p>
    <w:p>
      <w:pPr>
        <w:spacing w:after="0" w:line="130"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Actual Payout under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40" w:type="dxa"/>
            <w:vAlign w:val="bottom"/>
            <w:vMerge w:val="restart"/>
          </w:tcPr>
          <w:p>
            <w:pPr>
              <w:spacing w:after="0"/>
              <w:rPr>
                <w:sz w:val="12"/>
                <w:szCs w:val="12"/>
                <w:color w:val="auto"/>
              </w:rPr>
            </w:pPr>
          </w:p>
        </w:tc>
        <w:tc>
          <w:tcPr>
            <w:tcW w:w="3860" w:type="dxa"/>
            <w:vAlign w:val="bottom"/>
            <w:gridSpan w:val="4"/>
          </w:tcPr>
          <w:p>
            <w:pPr>
              <w:jc w:val="center"/>
              <w:ind w:left="2336"/>
              <w:spacing w:after="0" w:line="149" w:lineRule="exact"/>
              <w:rPr>
                <w:sz w:val="20"/>
                <w:szCs w:val="20"/>
                <w:color w:val="auto"/>
              </w:rPr>
            </w:pPr>
            <w:r>
              <w:rPr>
                <w:rFonts w:ascii="Arial" w:cs="Arial" w:eastAsia="Arial" w:hAnsi="Arial"/>
                <w:sz w:val="14"/>
                <w:szCs w:val="14"/>
                <w:b w:val="1"/>
                <w:bCs w:val="1"/>
                <w:color w:val="auto"/>
                <w:w w:val="89"/>
              </w:rPr>
              <w:t>Non-Equity Incentive</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Plans for Fiscal 2016</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2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1,050,092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282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443,663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28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282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396,837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Real</w:t>
            </w:r>
          </w:p>
        </w:tc>
        <w:tc>
          <w:tcPr>
            <w:tcW w:w="28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52" w:right="20"/>
        <w:spacing w:after="0" w:line="268" w:lineRule="auto"/>
        <w:rPr>
          <w:sz w:val="20"/>
          <w:szCs w:val="20"/>
          <w:color w:val="auto"/>
        </w:rPr>
      </w:pPr>
      <w:r>
        <w:rPr>
          <w:rFonts w:ascii="Arial" w:cs="Arial" w:eastAsia="Arial" w:hAnsi="Arial"/>
          <w:sz w:val="18"/>
          <w:szCs w:val="18"/>
          <w:color w:val="auto"/>
        </w:rPr>
        <w:t>See “— Compensation Discussion and Analysis” above for a discussion of how these amounts were determined under our executive performance incentive plan. These amounts are included in the Summary Compensation Table.</w:t>
      </w:r>
    </w:p>
    <w:p>
      <w:pPr>
        <w:spacing w:after="0" w:line="51" w:lineRule="exact"/>
        <w:rPr>
          <w:sz w:val="20"/>
          <w:szCs w:val="20"/>
          <w:color w:val="auto"/>
        </w:rPr>
      </w:pPr>
    </w:p>
    <w:p>
      <w:pPr>
        <w:ind w:left="452" w:right="80" w:hanging="452"/>
        <w:spacing w:after="0" w:line="298"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performance-based RSUs granted under our 2006 Stock Incentive Plan. Performance-based RSUs have both a market condition and a service condition and vest, so long as the executive continues to be employed with us, after the applicable three-year performance period. The number of shares of the Company’s common stock to be issued upon vesting of performance-based RSUs will range from 0% to 200% of the target amount, based on the comparison of the Company’s total shareholder return (TSR) to the median TSR of a specified peer group over a three-year period.</w:t>
      </w:r>
    </w:p>
    <w:p>
      <w:pPr>
        <w:spacing w:after="0" w:line="31" w:lineRule="exact"/>
        <w:rPr>
          <w:rFonts w:ascii="Arial" w:cs="Arial" w:eastAsia="Arial" w:hAnsi="Arial"/>
          <w:sz w:val="16"/>
          <w:szCs w:val="16"/>
          <w:color w:val="auto"/>
        </w:rPr>
      </w:pPr>
    </w:p>
    <w:p>
      <w:pPr>
        <w:ind w:left="452" w:right="160" w:hanging="452"/>
        <w:spacing w:after="0" w:line="332"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time-based RSUs granted under our 2006 Stock Incentive Plan. The time-based RSUs vest, so long as the executive continues to be employed with us, in one installment on the third anniversary of the grant date. Dividends are not payable on unvested RSUs.</w:t>
      </w:r>
    </w:p>
    <w:p>
      <w:pPr>
        <w:spacing w:after="0" w:line="4" w:lineRule="exact"/>
        <w:rPr>
          <w:rFonts w:ascii="Arial" w:cs="Arial" w:eastAsia="Arial" w:hAnsi="Arial"/>
          <w:sz w:val="16"/>
          <w:szCs w:val="16"/>
          <w:color w:val="auto"/>
        </w:rPr>
      </w:pPr>
    </w:p>
    <w:p>
      <w:pPr>
        <w:ind w:left="452" w:right="660" w:hanging="452"/>
        <w:spacing w:after="0" w:line="332"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stock options granted under our 2006 Stock Incentive Plan. These options become exercisable, so long as the executive continues to be employed with us, in five equal annual installments on each of the first, second, third, fourth and fifth anniversaries of the grant date.</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90" w:lineRule="exact"/>
        <w:rPr>
          <w:rFonts w:ascii="Arial" w:cs="Arial" w:eastAsia="Arial" w:hAnsi="Arial"/>
          <w:sz w:val="18"/>
          <w:szCs w:val="18"/>
          <w:color w:val="auto"/>
        </w:rPr>
      </w:pPr>
    </w:p>
    <w:p>
      <w:pPr>
        <w:ind w:left="452" w:hanging="452"/>
        <w:spacing w:after="0" w:line="253"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amount does not represent the actual amount paid to or realized by the executives for these awards during the fiscal year. This amount represents the grant date fair value of the performance-based RSUs. The grant date fair value of the performance-based 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performance-based RSU awards granted to Messrs. Roche, Zinsner, Hess, Meaney and Real on March 9, 2016 was $58.95.</w:t>
      </w:r>
    </w:p>
    <w:p>
      <w:pPr>
        <w:spacing w:after="0" w:line="66" w:lineRule="exact"/>
        <w:rPr>
          <w:rFonts w:ascii="Arial" w:cs="Arial" w:eastAsia="Arial" w:hAnsi="Arial"/>
          <w:sz w:val="18"/>
          <w:szCs w:val="18"/>
          <w:color w:val="auto"/>
        </w:rPr>
      </w:pPr>
    </w:p>
    <w:p>
      <w:pPr>
        <w:ind w:left="452" w:right="60" w:hanging="452"/>
        <w:spacing w:after="0" w:line="298"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time-based RSUs. The grant date fair of the time-based RSUs is the value of our common stock on the date of grant, reduced by the present value of dividends expected to be paid on our common stock prior to vesting. The grant date fair value per share of the time-based RSU awards granted to Messrs. Roche, Zinsner, Hess, Meaney and Real on March 9, 2016 was $49.98.</w:t>
      </w:r>
    </w:p>
    <w:p>
      <w:pPr>
        <w:spacing w:after="0" w:line="31" w:lineRule="exact"/>
        <w:rPr>
          <w:rFonts w:ascii="Arial" w:cs="Arial" w:eastAsia="Arial" w:hAnsi="Arial"/>
          <w:sz w:val="16"/>
          <w:szCs w:val="16"/>
          <w:color w:val="auto"/>
        </w:rPr>
      </w:pPr>
    </w:p>
    <w:p>
      <w:pPr>
        <w:ind w:left="452" w:right="100" w:hanging="452"/>
        <w:spacing w:after="0" w:line="256"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 date fair value of these stock options was $12.83 per share and was computed using a Black-Scholes valuation methodology. We estimated the full grant date fair value of these options using the following assumptions: 1.41% risk free interest rate; 3.06% dividend yield; 34.36% expected volatility; and a 5.1-year expected life. The grant date fair value is generally the amount that we would expense in our financial statements over the award’s service period, but does not include a reduction for forfeitures.</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92"/>
          </w:cols>
          <w:pgMar w:left="248" w:top="428"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2016</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and time-based and performance-based RSUs that have not vested for each of our NEOs as of October 29, 2016: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82"/>
              </w:rPr>
              <w:t>Stock Awards</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Equity</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Incentive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Plan</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Market</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Unearned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Value of</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Shares,</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Shares</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Units, or</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or Units of</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Rights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That Have</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Option</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or Units of Stock</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Not</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Have Not</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 (#)</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Options (#)</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8"/>
        </w:trPr>
        <w:tc>
          <w:tcPr>
            <w:tcW w:w="25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12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5"/>
              </w:rPr>
              <w:t>Unexercisable(1)</w:t>
            </w: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 xml:space="preserve">Price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Date(2)</w:t>
            </w:r>
          </w:p>
        </w:tc>
        <w:tc>
          <w:tcPr>
            <w:tcW w:w="13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Vested (#)(3)</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2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30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Vincent Roche</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1/4/2011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32,130</w:t>
            </w: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37.52</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1/4/2021</w:t>
            </w: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ind w:left="420"/>
              <w:spacing w:after="0" w:line="136"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3/15/2012</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58,888</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14,722</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3/15/2022</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10/15/2012</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115,200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10/15/2022</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6/17/2013</w:t>
            </w:r>
          </w:p>
        </w:tc>
        <w:tc>
          <w:tcPr>
            <w:tcW w:w="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61,614</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41,076</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45.95</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6/17/2023</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3/12/2014</w:t>
            </w:r>
          </w:p>
        </w:tc>
        <w:tc>
          <w:tcPr>
            <w:tcW w:w="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58,760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88,140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51.73</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3/12/2024</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28,100</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1,785,193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28,100</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1,785,193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32,482</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129,928</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57.29</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3/11/2025</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31,315</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1,989,442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31,315</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1,989,442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127,305</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54.93</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3/9/2026</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32,796</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2,083,530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32,796</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2,083,530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58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1/4/2011</w:t>
            </w: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12,066</w:t>
            </w: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37.52</w:t>
            </w:r>
          </w:p>
        </w:tc>
        <w:tc>
          <w:tcPr>
            <w:tcW w:w="26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1/4/2021</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3/15/2012</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44,166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14,722</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39.79</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3/15/2022</w:t>
            </w: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3/12/2013</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51,450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41,160</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46.48</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3/12/2023</w:t>
            </w: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3/12/2014</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29,380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44,070</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51.73</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3/12/2024</w:t>
            </w: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14,050</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892,597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14,050</w:t>
            </w:r>
          </w:p>
        </w:tc>
        <w:tc>
          <w:tcPr>
            <w:tcW w:w="3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892,597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12,994</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51,976</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57.29</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3/11/2025</w:t>
            </w: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12,525</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795,713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12,525</w:t>
            </w:r>
          </w:p>
        </w:tc>
        <w:tc>
          <w:tcPr>
            <w:tcW w:w="3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795,713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3/9/2016</w:t>
            </w:r>
          </w:p>
        </w:tc>
        <w:tc>
          <w:tcPr>
            <w:tcW w:w="200" w:type="dxa"/>
            <w:vAlign w:val="bottom"/>
          </w:tcPr>
          <w:p>
            <w:pPr>
              <w:spacing w:after="0"/>
              <w:rPr>
                <w:sz w:val="14"/>
                <w:szCs w:val="14"/>
                <w:color w:val="auto"/>
              </w:rPr>
            </w:pPr>
          </w:p>
        </w:tc>
        <w:tc>
          <w:tcPr>
            <w:tcW w:w="9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50,922</w:t>
            </w: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54.93</w:t>
            </w:r>
          </w:p>
        </w:tc>
        <w:tc>
          <w:tcPr>
            <w:tcW w:w="2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w w:val="91"/>
              </w:rPr>
              <w:t>03/09/2026</w:t>
            </w: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13,119</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833,450</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13,119</w:t>
            </w:r>
          </w:p>
        </w:tc>
        <w:tc>
          <w:tcPr>
            <w:tcW w:w="580" w:type="dxa"/>
            <w:vAlign w:val="bottom"/>
          </w:tcPr>
          <w:p>
            <w:pPr>
              <w:jc w:val="right"/>
              <w:spacing w:after="0"/>
              <w:rPr>
                <w:sz w:val="20"/>
                <w:szCs w:val="20"/>
                <w:color w:val="auto"/>
              </w:rPr>
            </w:pPr>
            <w:r>
              <w:rPr>
                <w:rFonts w:ascii="Arial" w:cs="Arial" w:eastAsia="Arial" w:hAnsi="Arial"/>
                <w:sz w:val="14"/>
                <w:szCs w:val="14"/>
                <w:color w:val="auto"/>
              </w:rPr>
              <w:t>833,450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94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D. Hess</w:t>
            </w: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7/25/2014</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43,215</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2,745,449</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6,496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25,984</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57.29</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3/11/2025</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6,265</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398,015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6,265</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3/9/2016</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50,922</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54.93</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3/9/2026</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13,119</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833,450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13,119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580" w:type="dxa"/>
            <w:vAlign w:val="bottom"/>
            <w:gridSpan w:val="3"/>
          </w:tcPr>
          <w:p>
            <w:pPr>
              <w:spacing w:after="0"/>
              <w:rPr>
                <w:sz w:val="20"/>
                <w:szCs w:val="20"/>
                <w:color w:val="auto"/>
              </w:rPr>
            </w:pPr>
            <w:r>
              <w:rPr>
                <w:rFonts w:ascii="Arial" w:cs="Arial" w:eastAsia="Arial" w:hAnsi="Arial"/>
                <w:sz w:val="14"/>
                <w:szCs w:val="14"/>
                <w:color w:val="auto"/>
              </w:rPr>
              <w:t>Richard A. Meaney(6)</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1/5/2010</w:t>
            </w: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20,020</w:t>
            </w: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31.62</w:t>
            </w:r>
          </w:p>
        </w:tc>
        <w:tc>
          <w:tcPr>
            <w:tcW w:w="26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1/5/2020</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1/4/2011</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21,200</w:t>
            </w: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37.52</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1/4/2021</w:t>
            </w: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3/15/2012</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15,480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3,870</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39.79</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3/15/2022</w:t>
            </w: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10/15/2012</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28,800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7,200</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10/15/2022</w:t>
            </w: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3/12/2013</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10,290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6,860</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46.48</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3/12/2023</w:t>
            </w: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9/16/2013</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7,104</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4,736</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48.30</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9/16/2023</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3/12/2014</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14,692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22,038</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51.73</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3/12/2024</w:t>
            </w:r>
          </w:p>
        </w:tc>
        <w:tc>
          <w:tcPr>
            <w:tcW w:w="13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7,025</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446,298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7,025</w:t>
            </w:r>
          </w:p>
        </w:tc>
        <w:tc>
          <w:tcPr>
            <w:tcW w:w="3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446,298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9,744</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38,976</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57.29</w:t>
            </w:r>
          </w:p>
        </w:tc>
        <w:tc>
          <w:tcPr>
            <w:tcW w:w="2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3/11/2025</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3/9/2016</w:t>
            </w:r>
          </w:p>
        </w:tc>
        <w:tc>
          <w:tcPr>
            <w:tcW w:w="200" w:type="dxa"/>
            <w:vAlign w:val="bottom"/>
          </w:tcPr>
          <w:p>
            <w:pPr>
              <w:spacing w:after="0"/>
              <w:rPr>
                <w:sz w:val="14"/>
                <w:szCs w:val="14"/>
                <w:color w:val="auto"/>
              </w:rPr>
            </w:pPr>
          </w:p>
        </w:tc>
        <w:tc>
          <w:tcPr>
            <w:tcW w:w="9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44,557</w:t>
            </w: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54.93</w:t>
            </w:r>
          </w:p>
        </w:tc>
        <w:tc>
          <w:tcPr>
            <w:tcW w:w="2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3/9/2026</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94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1/5/2010</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17,500</w:t>
            </w: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31.62</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1/5/2020</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1/4/2011</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18,020</w:t>
            </w: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37.52</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1/4/2021</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3/15/2012</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14,704</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3/15/2022</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3/12/2013</w:t>
            </w:r>
          </w:p>
        </w:tc>
        <w:tc>
          <w:tcPr>
            <w:tcW w:w="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11,190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46.48</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3/12/2023</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3/12/2014</w:t>
            </w:r>
          </w:p>
        </w:tc>
        <w:tc>
          <w:tcPr>
            <w:tcW w:w="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7,580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11,370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51.73</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3/12/2024</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3,625</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230,296</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11/17/2014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6,000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50.35</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11/17/2024</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5,000</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317,650</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3,248</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12,992</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57.29</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3/11/2025</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3,130</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198,849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3,130</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198,849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28,007</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54.93</w:t>
            </w: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3/9/2026</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7,216</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458,432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7,216</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458,432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7" w:name="page58"/>
    <w:bookmarkEnd w:id="57"/>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 unexercisable options held by these officers vest, subject to continued employment, as follows: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Vincent</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David A.</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Rick D.</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Richard A.</w:t>
            </w: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Peter</w:t>
            </w:r>
          </w:p>
        </w:tc>
        <w:tc>
          <w:tcPr>
            <w:tcW w:w="0" w:type="dxa"/>
            <w:vAlign w:val="bottom"/>
          </w:tcPr>
          <w:p>
            <w:pPr>
              <w:spacing w:after="0"/>
              <w:rPr>
                <w:sz w:val="1"/>
                <w:szCs w:val="1"/>
                <w:color w:val="auto"/>
              </w:rPr>
            </w:pPr>
          </w:p>
        </w:tc>
      </w:tr>
      <w:tr>
        <w:trPr>
          <w:trHeight w:val="148"/>
        </w:trPr>
        <w:tc>
          <w:tcPr>
            <w:tcW w:w="40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rPr>
              <w:t>Vest Date</w:t>
            </w:r>
          </w:p>
        </w:tc>
        <w:tc>
          <w:tcPr>
            <w:tcW w:w="10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Roche</w:t>
            </w:r>
          </w:p>
        </w:tc>
        <w:tc>
          <w:tcPr>
            <w:tcW w:w="10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Zinsner</w:t>
            </w:r>
          </w:p>
        </w:tc>
        <w:tc>
          <w:tcPr>
            <w:tcW w:w="102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Hess</w:t>
            </w:r>
          </w:p>
        </w:tc>
        <w:tc>
          <w:tcPr>
            <w:tcW w:w="11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Meaney</w:t>
            </w:r>
          </w:p>
        </w:tc>
        <w:tc>
          <w:tcPr>
            <w:tcW w:w="6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Real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3/15/2012</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3/15/2017</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83"/>
              </w:rPr>
              <w:t>14,722</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14,722</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3,870</w:t>
            </w: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84"/>
              </w:rPr>
              <w:t>3,676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000" w:type="dxa"/>
            <w:vAlign w:val="bottom"/>
            <w:gridSpan w:val="3"/>
          </w:tcPr>
          <w:p>
            <w:pPr>
              <w:spacing w:after="0"/>
              <w:rPr>
                <w:sz w:val="20"/>
                <w:szCs w:val="20"/>
                <w:color w:val="auto"/>
              </w:rPr>
            </w:pPr>
            <w:r>
              <w:rPr>
                <w:rFonts w:ascii="Arial" w:cs="Arial" w:eastAsia="Arial" w:hAnsi="Arial"/>
                <w:sz w:val="18"/>
                <w:szCs w:val="18"/>
                <w:color w:val="auto"/>
              </w:rPr>
              <w:t>10/15/2012</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10/15/2017</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28,800</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7,200</w:t>
            </w:r>
          </w:p>
        </w:tc>
        <w:tc>
          <w:tcPr>
            <w:tcW w:w="420" w:type="dxa"/>
            <w:vAlign w:val="bottom"/>
          </w:tcPr>
          <w:p>
            <w:pPr>
              <w:spacing w:after="0"/>
              <w:rPr>
                <w:sz w:val="24"/>
                <w:szCs w:val="24"/>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3/12/2013</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3/12/2017</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3/12/2018</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000" w:type="dxa"/>
            <w:vAlign w:val="bottom"/>
            <w:gridSpan w:val="3"/>
          </w:tcPr>
          <w:p>
            <w:pPr>
              <w:spacing w:after="0"/>
              <w:rPr>
                <w:sz w:val="20"/>
                <w:szCs w:val="20"/>
                <w:color w:val="auto"/>
              </w:rPr>
            </w:pPr>
            <w:r>
              <w:rPr>
                <w:rFonts w:ascii="Arial" w:cs="Arial" w:eastAsia="Arial" w:hAnsi="Arial"/>
                <w:sz w:val="18"/>
                <w:szCs w:val="18"/>
                <w:color w:val="auto"/>
              </w:rPr>
              <w:t>6/17/2013</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6/17/2017</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20,538</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6/17/2018</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20,538</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9/16/2013</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9/16/2017</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9/16/2018</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000" w:type="dxa"/>
            <w:vAlign w:val="bottom"/>
            <w:gridSpan w:val="3"/>
          </w:tcPr>
          <w:p>
            <w:pPr>
              <w:spacing w:after="0"/>
              <w:rPr>
                <w:sz w:val="20"/>
                <w:szCs w:val="20"/>
                <w:color w:val="auto"/>
              </w:rPr>
            </w:pPr>
            <w:r>
              <w:rPr>
                <w:rFonts w:ascii="Arial" w:cs="Arial" w:eastAsia="Arial" w:hAnsi="Arial"/>
                <w:sz w:val="18"/>
                <w:szCs w:val="18"/>
                <w:color w:val="auto"/>
              </w:rPr>
              <w:t>3/12/2014</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3/12/2017</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29,380</w:t>
            </w:r>
          </w:p>
        </w:tc>
        <w:tc>
          <w:tcPr>
            <w:tcW w:w="620" w:type="dxa"/>
            <w:vAlign w:val="bottom"/>
          </w:tcPr>
          <w:p>
            <w:pPr>
              <w:jc w:val="right"/>
              <w:spacing w:after="0"/>
              <w:rPr>
                <w:sz w:val="20"/>
                <w:szCs w:val="20"/>
                <w:color w:val="auto"/>
              </w:rPr>
            </w:pPr>
            <w:r>
              <w:rPr>
                <w:rFonts w:ascii="Arial" w:cs="Arial" w:eastAsia="Arial" w:hAnsi="Arial"/>
                <w:sz w:val="18"/>
                <w:szCs w:val="18"/>
                <w:color w:val="auto"/>
              </w:rPr>
              <w:t>14,690</w:t>
            </w:r>
          </w:p>
        </w:tc>
        <w:tc>
          <w:tcPr>
            <w:tcW w:w="40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7,346</w:t>
            </w:r>
          </w:p>
        </w:tc>
        <w:tc>
          <w:tcPr>
            <w:tcW w:w="42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3,790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3/12/2018</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29,380</w:t>
            </w:r>
          </w:p>
        </w:tc>
        <w:tc>
          <w:tcPr>
            <w:tcW w:w="620" w:type="dxa"/>
            <w:vAlign w:val="bottom"/>
          </w:tcPr>
          <w:p>
            <w:pPr>
              <w:jc w:val="right"/>
              <w:spacing w:after="0"/>
              <w:rPr>
                <w:sz w:val="20"/>
                <w:szCs w:val="20"/>
                <w:color w:val="auto"/>
              </w:rPr>
            </w:pPr>
            <w:r>
              <w:rPr>
                <w:rFonts w:ascii="Arial" w:cs="Arial" w:eastAsia="Arial" w:hAnsi="Arial"/>
                <w:sz w:val="18"/>
                <w:szCs w:val="18"/>
                <w:color w:val="auto"/>
              </w:rPr>
              <w:t>14,690</w:t>
            </w:r>
          </w:p>
        </w:tc>
        <w:tc>
          <w:tcPr>
            <w:tcW w:w="4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7,346</w:t>
            </w:r>
          </w:p>
        </w:tc>
        <w:tc>
          <w:tcPr>
            <w:tcW w:w="42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3/12/2019</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29,380</w:t>
            </w:r>
          </w:p>
        </w:tc>
        <w:tc>
          <w:tcPr>
            <w:tcW w:w="620" w:type="dxa"/>
            <w:vAlign w:val="bottom"/>
          </w:tcPr>
          <w:p>
            <w:pPr>
              <w:jc w:val="right"/>
              <w:spacing w:after="0"/>
              <w:rPr>
                <w:sz w:val="20"/>
                <w:szCs w:val="20"/>
                <w:color w:val="auto"/>
              </w:rPr>
            </w:pPr>
            <w:r>
              <w:rPr>
                <w:rFonts w:ascii="Arial" w:cs="Arial" w:eastAsia="Arial" w:hAnsi="Arial"/>
                <w:sz w:val="18"/>
                <w:szCs w:val="18"/>
                <w:color w:val="auto"/>
              </w:rPr>
              <w:t>14,690</w:t>
            </w:r>
          </w:p>
        </w:tc>
        <w:tc>
          <w:tcPr>
            <w:tcW w:w="4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7,346</w:t>
            </w:r>
          </w:p>
        </w:tc>
        <w:tc>
          <w:tcPr>
            <w:tcW w:w="42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11/17/2014</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11/17/2016</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11/17/2017</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11/17/2018</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11/17/2019</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000" w:type="dxa"/>
            <w:vAlign w:val="bottom"/>
            <w:gridSpan w:val="3"/>
          </w:tcPr>
          <w:p>
            <w:pPr>
              <w:spacing w:after="0"/>
              <w:rPr>
                <w:sz w:val="20"/>
                <w:szCs w:val="20"/>
                <w:color w:val="auto"/>
              </w:rPr>
            </w:pPr>
            <w:r>
              <w:rPr>
                <w:rFonts w:ascii="Arial" w:cs="Arial" w:eastAsia="Arial" w:hAnsi="Arial"/>
                <w:sz w:val="18"/>
                <w:szCs w:val="18"/>
                <w:color w:val="auto"/>
              </w:rPr>
              <w:t>3/11/2015</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3/11/2017</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32,482</w:t>
            </w:r>
          </w:p>
        </w:tc>
        <w:tc>
          <w:tcPr>
            <w:tcW w:w="620" w:type="dxa"/>
            <w:vAlign w:val="bottom"/>
          </w:tcPr>
          <w:p>
            <w:pPr>
              <w:jc w:val="right"/>
              <w:spacing w:after="0"/>
              <w:rPr>
                <w:sz w:val="20"/>
                <w:szCs w:val="20"/>
                <w:color w:val="auto"/>
              </w:rPr>
            </w:pPr>
            <w:r>
              <w:rPr>
                <w:rFonts w:ascii="Arial" w:cs="Arial" w:eastAsia="Arial" w:hAnsi="Arial"/>
                <w:sz w:val="18"/>
                <w:szCs w:val="18"/>
                <w:color w:val="auto"/>
              </w:rPr>
              <w:t>12,994</w:t>
            </w:r>
          </w:p>
        </w:tc>
        <w:tc>
          <w:tcPr>
            <w:tcW w:w="4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6,496</w:t>
            </w:r>
          </w:p>
        </w:tc>
        <w:tc>
          <w:tcPr>
            <w:tcW w:w="740" w:type="dxa"/>
            <w:vAlign w:val="bottom"/>
          </w:tcPr>
          <w:p>
            <w:pPr>
              <w:jc w:val="right"/>
              <w:spacing w:after="0"/>
              <w:rPr>
                <w:sz w:val="20"/>
                <w:szCs w:val="20"/>
                <w:color w:val="auto"/>
              </w:rPr>
            </w:pPr>
            <w:r>
              <w:rPr>
                <w:rFonts w:ascii="Arial" w:cs="Arial" w:eastAsia="Arial" w:hAnsi="Arial"/>
                <w:sz w:val="18"/>
                <w:szCs w:val="18"/>
                <w:color w:val="auto"/>
              </w:rPr>
              <w:t>9,744</w:t>
            </w:r>
          </w:p>
        </w:tc>
        <w:tc>
          <w:tcPr>
            <w:tcW w:w="42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3,248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3/11/2018</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32,482</w:t>
            </w:r>
          </w:p>
        </w:tc>
        <w:tc>
          <w:tcPr>
            <w:tcW w:w="620" w:type="dxa"/>
            <w:vAlign w:val="bottom"/>
          </w:tcPr>
          <w:p>
            <w:pPr>
              <w:jc w:val="right"/>
              <w:spacing w:after="0"/>
              <w:rPr>
                <w:sz w:val="20"/>
                <w:szCs w:val="20"/>
                <w:color w:val="auto"/>
              </w:rPr>
            </w:pPr>
            <w:r>
              <w:rPr>
                <w:rFonts w:ascii="Arial" w:cs="Arial" w:eastAsia="Arial" w:hAnsi="Arial"/>
                <w:sz w:val="18"/>
                <w:szCs w:val="18"/>
                <w:color w:val="auto"/>
              </w:rPr>
              <w:t>12,994</w:t>
            </w:r>
          </w:p>
        </w:tc>
        <w:tc>
          <w:tcPr>
            <w:tcW w:w="4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6,496</w:t>
            </w:r>
          </w:p>
        </w:tc>
        <w:tc>
          <w:tcPr>
            <w:tcW w:w="740" w:type="dxa"/>
            <w:vAlign w:val="bottom"/>
          </w:tcPr>
          <w:p>
            <w:pPr>
              <w:jc w:val="right"/>
              <w:spacing w:after="0"/>
              <w:rPr>
                <w:sz w:val="20"/>
                <w:szCs w:val="20"/>
                <w:color w:val="auto"/>
              </w:rPr>
            </w:pPr>
            <w:r>
              <w:rPr>
                <w:rFonts w:ascii="Arial" w:cs="Arial" w:eastAsia="Arial" w:hAnsi="Arial"/>
                <w:sz w:val="18"/>
                <w:szCs w:val="18"/>
                <w:color w:val="auto"/>
              </w:rPr>
              <w:t>9,744</w:t>
            </w:r>
          </w:p>
        </w:tc>
        <w:tc>
          <w:tcPr>
            <w:tcW w:w="42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3/11/2019</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32,482</w:t>
            </w:r>
          </w:p>
        </w:tc>
        <w:tc>
          <w:tcPr>
            <w:tcW w:w="620" w:type="dxa"/>
            <w:vAlign w:val="bottom"/>
          </w:tcPr>
          <w:p>
            <w:pPr>
              <w:jc w:val="right"/>
              <w:spacing w:after="0"/>
              <w:rPr>
                <w:sz w:val="20"/>
                <w:szCs w:val="20"/>
                <w:color w:val="auto"/>
              </w:rPr>
            </w:pPr>
            <w:r>
              <w:rPr>
                <w:rFonts w:ascii="Arial" w:cs="Arial" w:eastAsia="Arial" w:hAnsi="Arial"/>
                <w:sz w:val="18"/>
                <w:szCs w:val="18"/>
                <w:color w:val="auto"/>
              </w:rPr>
              <w:t>12,994</w:t>
            </w:r>
          </w:p>
        </w:tc>
        <w:tc>
          <w:tcPr>
            <w:tcW w:w="4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6,496</w:t>
            </w:r>
          </w:p>
        </w:tc>
        <w:tc>
          <w:tcPr>
            <w:tcW w:w="740" w:type="dxa"/>
            <w:vAlign w:val="bottom"/>
          </w:tcPr>
          <w:p>
            <w:pPr>
              <w:jc w:val="right"/>
              <w:spacing w:after="0"/>
              <w:rPr>
                <w:sz w:val="20"/>
                <w:szCs w:val="20"/>
                <w:color w:val="auto"/>
              </w:rPr>
            </w:pPr>
            <w:r>
              <w:rPr>
                <w:rFonts w:ascii="Arial" w:cs="Arial" w:eastAsia="Arial" w:hAnsi="Arial"/>
                <w:sz w:val="18"/>
                <w:szCs w:val="18"/>
                <w:color w:val="auto"/>
              </w:rPr>
              <w:t>9,744</w:t>
            </w:r>
          </w:p>
        </w:tc>
        <w:tc>
          <w:tcPr>
            <w:tcW w:w="42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3/11/2020</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32,482</w:t>
            </w:r>
          </w:p>
        </w:tc>
        <w:tc>
          <w:tcPr>
            <w:tcW w:w="620" w:type="dxa"/>
            <w:vAlign w:val="bottom"/>
          </w:tcPr>
          <w:p>
            <w:pPr>
              <w:jc w:val="right"/>
              <w:spacing w:after="0"/>
              <w:rPr>
                <w:sz w:val="20"/>
                <w:szCs w:val="20"/>
                <w:color w:val="auto"/>
              </w:rPr>
            </w:pPr>
            <w:r>
              <w:rPr>
                <w:rFonts w:ascii="Arial" w:cs="Arial" w:eastAsia="Arial" w:hAnsi="Arial"/>
                <w:sz w:val="18"/>
                <w:szCs w:val="18"/>
                <w:color w:val="auto"/>
              </w:rPr>
              <w:t>12,994</w:t>
            </w:r>
          </w:p>
        </w:tc>
        <w:tc>
          <w:tcPr>
            <w:tcW w:w="4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6,496</w:t>
            </w:r>
          </w:p>
        </w:tc>
        <w:tc>
          <w:tcPr>
            <w:tcW w:w="740" w:type="dxa"/>
            <w:vAlign w:val="bottom"/>
          </w:tcPr>
          <w:p>
            <w:pPr>
              <w:jc w:val="right"/>
              <w:spacing w:after="0"/>
              <w:rPr>
                <w:sz w:val="20"/>
                <w:szCs w:val="20"/>
                <w:color w:val="auto"/>
              </w:rPr>
            </w:pPr>
            <w:r>
              <w:rPr>
                <w:rFonts w:ascii="Arial" w:cs="Arial" w:eastAsia="Arial" w:hAnsi="Arial"/>
                <w:sz w:val="18"/>
                <w:szCs w:val="18"/>
                <w:color w:val="auto"/>
              </w:rPr>
              <w:t>9,744</w:t>
            </w:r>
          </w:p>
        </w:tc>
        <w:tc>
          <w:tcPr>
            <w:tcW w:w="42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3/9/2016</w:t>
            </w:r>
          </w:p>
        </w:tc>
        <w:tc>
          <w:tcPr>
            <w:tcW w:w="33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3/9/2017</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25,461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5,601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3/9/2018</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25,461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5,601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3/9/2019</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25,461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5,602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3/9/2020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25,461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5,601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3/9/2021</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25,461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5,602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expiration date of each stock option award is ten years after its grant date.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time-based RSUs granted vest in one installment on the third anniversary of the grant date.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market value was calculated based on $63.53, the closing price per share of our common stock on October 29, 2016.</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if any, earned under the performance-based RSU award will vest in one installment fourteen days after the third anniversary of the grant date.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September 19, 2016, we announced that Mr. Meaney would be leaving the Company at the end of the 2016 calendar year. In connection with</w:t>
      </w:r>
    </w:p>
    <w:p>
      <w:pPr>
        <w:spacing w:after="0" w:line="38" w:lineRule="exact"/>
        <w:rPr>
          <w:rFonts w:ascii="Arial" w:cs="Arial" w:eastAsia="Arial" w:hAnsi="Arial"/>
          <w:sz w:val="16"/>
          <w:szCs w:val="16"/>
          <w:color w:val="auto"/>
        </w:rPr>
      </w:pPr>
    </w:p>
    <w:p>
      <w:pPr>
        <w:jc w:val="both"/>
        <w:ind w:left="452" w:right="140"/>
        <w:spacing w:after="0" w:line="254" w:lineRule="auto"/>
        <w:rPr>
          <w:rFonts w:ascii="Arial" w:cs="Arial" w:eastAsia="Arial" w:hAnsi="Arial"/>
          <w:sz w:val="16"/>
          <w:szCs w:val="16"/>
          <w:color w:val="auto"/>
        </w:rPr>
      </w:pPr>
      <w:r>
        <w:rPr>
          <w:rFonts w:ascii="Arial" w:cs="Arial" w:eastAsia="Arial" w:hAnsi="Arial"/>
          <w:sz w:val="18"/>
          <w:szCs w:val="18"/>
          <w:color w:val="auto"/>
        </w:rPr>
        <w:t>Mr. Meany’s separation on December 27, 2016, in exchange for a non-competittion agreement, all outstanding stock options, restricted stock units and performance restricted stock units that were scheduled to vest on or before March 31, 2017, accelerated and vested in full. The equity awards subject to performance-based vesting criteria vested as if all applicable performance parameters had been met at target levels. All other outstanding and unvested equity awards were forfeited.</w:t>
      </w:r>
    </w:p>
    <w:p>
      <w:pPr>
        <w:spacing w:after="0" w:line="130"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12"/>
          </w:cols>
          <w:pgMar w:left="248" w:top="428"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During Fiscal 2016</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contains information about the exercise of stock options by, and time-based RSU awards that vested for, each of our NEOs during our fiscal year ended October 29, 2016:</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8"/>
              </w:rPr>
              <w:t>Option Awards</w:t>
            </w:r>
          </w:p>
        </w:tc>
        <w:tc>
          <w:tcPr>
            <w:tcW w:w="8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202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940" w:type="dxa"/>
            <w:vAlign w:val="bottom"/>
          </w:tcPr>
          <w:p>
            <w:pPr>
              <w:spacing w:after="0"/>
              <w:rPr>
                <w:sz w:val="11"/>
                <w:szCs w:val="11"/>
                <w:color w:val="auto"/>
              </w:rPr>
            </w:pPr>
          </w:p>
        </w:tc>
        <w:tc>
          <w:tcPr>
            <w:tcW w:w="202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Officer Name</w:t>
            </w:r>
          </w:p>
        </w:tc>
        <w:tc>
          <w:tcPr>
            <w:tcW w:w="200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Acquired</w:t>
            </w:r>
          </w:p>
        </w:tc>
        <w:tc>
          <w:tcPr>
            <w:tcW w:w="182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w w:val="96"/>
              </w:rPr>
              <w:t>on Exercise</w:t>
            </w:r>
          </w:p>
        </w:tc>
        <w:tc>
          <w:tcPr>
            <w:tcW w:w="20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Acquired</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48"/>
        </w:trPr>
        <w:tc>
          <w:tcPr>
            <w:tcW w:w="3700" w:type="dxa"/>
            <w:vAlign w:val="bottom"/>
            <w:gridSpan w:val="3"/>
            <w:vMerge w:val="continue"/>
          </w:tcPr>
          <w:p>
            <w:pPr>
              <w:spacing w:after="0"/>
              <w:rPr>
                <w:sz w:val="12"/>
                <w:szCs w:val="12"/>
                <w:color w:val="auto"/>
              </w:rPr>
            </w:pPr>
          </w:p>
        </w:tc>
        <w:tc>
          <w:tcPr>
            <w:tcW w:w="200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3"/>
              </w:rPr>
              <w:t>on Exercise</w:t>
            </w:r>
          </w:p>
        </w:tc>
        <w:tc>
          <w:tcPr>
            <w:tcW w:w="88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($)(1)</w:t>
            </w:r>
          </w:p>
        </w:tc>
        <w:tc>
          <w:tcPr>
            <w:tcW w:w="940" w:type="dxa"/>
            <w:vAlign w:val="bottom"/>
          </w:tcPr>
          <w:p>
            <w:pPr>
              <w:spacing w:after="0"/>
              <w:rPr>
                <w:sz w:val="12"/>
                <w:szCs w:val="12"/>
                <w:color w:val="auto"/>
              </w:rPr>
            </w:pPr>
          </w:p>
        </w:tc>
        <w:tc>
          <w:tcPr>
            <w:tcW w:w="202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3"/>
              </w:rPr>
              <w:t>on Vesting</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1060" w:type="dxa"/>
            <w:vAlign w:val="bottom"/>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18,265</w:t>
            </w: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1,022,657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700" w:type="dxa"/>
            <w:vAlign w:val="bottom"/>
            <w:gridSpan w:val="3"/>
          </w:tcPr>
          <w:p>
            <w:pPr>
              <w:spacing w:after="0"/>
              <w:rPr>
                <w:sz w:val="20"/>
                <w:szCs w:val="20"/>
                <w:color w:val="auto"/>
              </w:rPr>
            </w:pPr>
            <w:r>
              <w:rPr>
                <w:rFonts w:ascii="Arial" w:cs="Arial" w:eastAsia="Arial" w:hAnsi="Arial"/>
                <w:sz w:val="18"/>
                <w:szCs w:val="18"/>
                <w:color w:val="auto"/>
              </w:rPr>
              <w:t>David A. Zinsner</w:t>
            </w: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940" w:type="dxa"/>
            <w:vAlign w:val="bottom"/>
          </w:tcPr>
          <w:p>
            <w:pPr>
              <w:spacing w:after="0"/>
              <w:rPr>
                <w:sz w:val="24"/>
                <w:szCs w:val="24"/>
                <w:color w:val="auto"/>
              </w:rPr>
            </w:pPr>
          </w:p>
        </w:tc>
        <w:tc>
          <w:tcPr>
            <w:tcW w:w="1820" w:type="dxa"/>
            <w:vAlign w:val="bottom"/>
            <w:gridSpan w:val="2"/>
          </w:tcPr>
          <w:p>
            <w:pPr>
              <w:jc w:val="right"/>
              <w:ind w:right="940"/>
              <w:spacing w:after="0"/>
              <w:rPr>
                <w:sz w:val="20"/>
                <w:szCs w:val="20"/>
                <w:color w:val="auto"/>
              </w:rPr>
            </w:pPr>
            <w:r>
              <w:rPr>
                <w:rFonts w:ascii="Arial" w:cs="Arial" w:eastAsia="Arial" w:hAnsi="Arial"/>
                <w:sz w:val="18"/>
                <w:szCs w:val="18"/>
                <w:color w:val="auto"/>
              </w:rPr>
              <w:t>402,144</w:t>
            </w:r>
          </w:p>
        </w:tc>
        <w:tc>
          <w:tcPr>
            <w:tcW w:w="1060" w:type="dxa"/>
            <w:vAlign w:val="bottom"/>
          </w:tcPr>
          <w:p>
            <w:pPr>
              <w:jc w:val="right"/>
              <w:spacing w:after="0"/>
              <w:rPr>
                <w:sz w:val="20"/>
                <w:szCs w:val="20"/>
                <w:color w:val="auto"/>
              </w:rPr>
            </w:pPr>
            <w:r>
              <w:rPr>
                <w:rFonts w:ascii="Arial" w:cs="Arial" w:eastAsia="Arial" w:hAnsi="Arial"/>
                <w:sz w:val="18"/>
                <w:szCs w:val="18"/>
                <w:color w:val="auto"/>
              </w:rPr>
              <w:t>17,855</w:t>
            </w:r>
          </w:p>
        </w:tc>
        <w:tc>
          <w:tcPr>
            <w:tcW w:w="9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993,988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55,390</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700" w:type="dxa"/>
            <w:vAlign w:val="bottom"/>
            <w:gridSpan w:val="3"/>
          </w:tcPr>
          <w:p>
            <w:pPr>
              <w:spacing w:after="0"/>
              <w:rPr>
                <w:sz w:val="20"/>
                <w:szCs w:val="20"/>
                <w:color w:val="auto"/>
              </w:rPr>
            </w:pPr>
            <w:r>
              <w:rPr>
                <w:rFonts w:ascii="Arial" w:cs="Arial" w:eastAsia="Arial" w:hAnsi="Arial"/>
                <w:sz w:val="18"/>
                <w:szCs w:val="18"/>
                <w:color w:val="auto"/>
              </w:rPr>
              <w:t>Richard A. Meaney</w:t>
            </w: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5,300</w:t>
            </w:r>
          </w:p>
        </w:tc>
        <w:tc>
          <w:tcPr>
            <w:tcW w:w="9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309,885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Real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9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289,700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Value realized represents the difference between the closing price per share of our common stock on the date of exercise and the exercise price per share, multiplied by the number of shares acquired on exercise.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 Before January 1, 2005, participants could also defer gains on stock options and restricted stock awards that were granted before July 23, 1997.</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and as otherwise required by relevant tax regulations.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59" w:name="page60"/>
    <w:bookmarkEnd w:id="59"/>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Real was not eligible to participate in the DCP in fiscal 2016 because it is available only to U.S. taxpayers. Mr. Meaney ceased eligibility upon his relocation to Ireland in January 2016. The following table shows the non-qualified deferred compensation activity for Messrs. Roche, Zinsner, Hess and Meaney during fiscal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2016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Aggregate</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Executive</w:t>
            </w: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Analog Devices</w:t>
            </w: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Earnings</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6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in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79"/>
              </w:rPr>
              <w:t>in</w:t>
            </w: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in</w:t>
            </w: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Last</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Last</w:t>
            </w: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Last Fiscal</w:t>
            </w: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0"/>
              </w:rPr>
              <w:t>Fiscal</w:t>
            </w:r>
          </w:p>
        </w:tc>
        <w:tc>
          <w:tcPr>
            <w:tcW w:w="17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Aggregate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Last</w:t>
            </w:r>
          </w:p>
        </w:tc>
        <w:tc>
          <w:tcPr>
            <w:tcW w:w="0" w:type="dxa"/>
            <w:vAlign w:val="bottom"/>
          </w:tcPr>
          <w:p>
            <w:pPr>
              <w:spacing w:after="0"/>
              <w:rPr>
                <w:sz w:val="1"/>
                <w:szCs w:val="1"/>
                <w:color w:val="auto"/>
              </w:rPr>
            </w:pPr>
          </w:p>
        </w:tc>
      </w:tr>
      <w:tr>
        <w:trPr>
          <w:trHeight w:val="14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Year ($)</w:t>
            </w:r>
          </w:p>
        </w:tc>
        <w:tc>
          <w:tcPr>
            <w:tcW w:w="17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34"/>
        </w:trPr>
        <w:tc>
          <w:tcPr>
            <w:tcW w:w="4260" w:type="dxa"/>
            <w:vAlign w:val="bottom"/>
            <w:gridSpan w:val="3"/>
            <w:vMerge w:val="continue"/>
          </w:tcPr>
          <w:p>
            <w:pPr>
              <w:spacing w:after="0"/>
              <w:rPr>
                <w:sz w:val="11"/>
                <w:szCs w:val="11"/>
                <w:color w:val="auto"/>
              </w:rPr>
            </w:pPr>
          </w:p>
        </w:tc>
        <w:tc>
          <w:tcPr>
            <w:tcW w:w="8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740" w:type="dxa"/>
            <w:vAlign w:val="bottom"/>
          </w:tcPr>
          <w:p>
            <w:pPr>
              <w:spacing w:after="0"/>
              <w:rPr>
                <w:sz w:val="11"/>
                <w:szCs w:val="11"/>
                <w:color w:val="auto"/>
              </w:rPr>
            </w:pPr>
          </w:p>
        </w:tc>
        <w:tc>
          <w:tcPr>
            <w:tcW w:w="8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($)(1)</w:t>
            </w:r>
          </w:p>
        </w:tc>
        <w:tc>
          <w:tcPr>
            <w:tcW w:w="760" w:type="dxa"/>
            <w:vAlign w:val="bottom"/>
          </w:tcPr>
          <w:p>
            <w:pPr>
              <w:spacing w:after="0"/>
              <w:rPr>
                <w:sz w:val="11"/>
                <w:szCs w:val="11"/>
                <w:color w:val="auto"/>
              </w:rPr>
            </w:pPr>
          </w:p>
        </w:tc>
        <w:tc>
          <w:tcPr>
            <w:tcW w:w="6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(2)</w:t>
            </w:r>
          </w:p>
        </w:tc>
        <w:tc>
          <w:tcPr>
            <w:tcW w:w="760" w:type="dxa"/>
            <w:vAlign w:val="bottom"/>
          </w:tcPr>
          <w:p>
            <w:pPr>
              <w:spacing w:after="0"/>
              <w:rPr>
                <w:sz w:val="11"/>
                <w:szCs w:val="11"/>
                <w:color w:val="auto"/>
              </w:rPr>
            </w:pPr>
          </w:p>
        </w:tc>
        <w:tc>
          <w:tcPr>
            <w:tcW w:w="1700" w:type="dxa"/>
            <w:vAlign w:val="bottom"/>
            <w:gridSpan w:val="2"/>
          </w:tcPr>
          <w:p>
            <w:pPr>
              <w:jc w:val="center"/>
              <w:ind w:right="760"/>
              <w:spacing w:after="0" w:line="114" w:lineRule="exact"/>
              <w:rPr>
                <w:sz w:val="20"/>
                <w:szCs w:val="20"/>
                <w:color w:val="auto"/>
              </w:rPr>
            </w:pPr>
            <w:r>
              <w:rPr>
                <w:rFonts w:ascii="Arial" w:cs="Arial" w:eastAsia="Arial" w:hAnsi="Arial"/>
                <w:sz w:val="12"/>
                <w:szCs w:val="12"/>
                <w:b w:val="1"/>
                <w:bCs w:val="1"/>
                <w:color w:val="auto"/>
              </w:rPr>
              <w:t xml:space="preserve">Distributions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860" w:type="dxa"/>
            <w:vAlign w:val="bottom"/>
            <w:gridSpan w:val="2"/>
          </w:tcPr>
          <w:p>
            <w:pPr>
              <w:jc w:val="center"/>
              <w:ind w:right="80"/>
              <w:spacing w:after="0" w:line="114" w:lineRule="exact"/>
              <w:rPr>
                <w:sz w:val="20"/>
                <w:szCs w:val="20"/>
                <w:color w:val="auto"/>
              </w:rPr>
            </w:pPr>
            <w:r>
              <w:rPr>
                <w:rFonts w:ascii="Arial" w:cs="Arial" w:eastAsia="Arial" w:hAnsi="Arial"/>
                <w:sz w:val="12"/>
                <w:szCs w:val="12"/>
                <w:b w:val="1"/>
                <w:bCs w:val="1"/>
                <w:color w:val="auto"/>
              </w:rPr>
              <w:t>End ($)(3)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Borders>
              <w:bottom w:val="single" w:sz="8" w:color="CCEEFF"/>
            </w:tcBorders>
            <w:shd w:val="clear" w:color="auto" w:fill="000000"/>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67,385</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5,391</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56,088</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1,889,970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6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760" w:type="dxa"/>
            <w:vAlign w:val="bottom"/>
          </w:tcPr>
          <w:p>
            <w:pPr>
              <w:spacing w:after="0"/>
              <w:rPr>
                <w:sz w:val="18"/>
                <w:szCs w:val="18"/>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82,067</w:t>
            </w: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2,077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16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760" w:type="dxa"/>
            <w:vAlign w:val="bottom"/>
          </w:tcPr>
          <w:p>
            <w:pPr>
              <w:spacing w:after="0"/>
              <w:rPr>
                <w:sz w:val="19"/>
                <w:szCs w:val="19"/>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amounts are excluded from the Summary Compensation Table above in accordance with SEC regulations, as we did not pay above-market earnings on deferred compensation in fiscal 2016.</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Of the amounts in this column, the following amounts have also been reported in the Summary Compensation Table for fiscal 2015 and 2014:</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940" w:type="dxa"/>
            <w:vAlign w:val="bottom"/>
            <w:gridSpan w:val="2"/>
          </w:tcPr>
          <w:p>
            <w:pPr>
              <w:jc w:val="center"/>
              <w:ind w:left="1446"/>
              <w:spacing w:after="0"/>
              <w:rPr>
                <w:sz w:val="20"/>
                <w:szCs w:val="20"/>
                <w:color w:val="auto"/>
              </w:rPr>
            </w:pPr>
            <w:r>
              <w:rPr>
                <w:rFonts w:ascii="Arial" w:cs="Arial" w:eastAsia="Arial" w:hAnsi="Arial"/>
                <w:sz w:val="14"/>
                <w:szCs w:val="14"/>
                <w:b w:val="1"/>
                <w:bCs w:val="1"/>
                <w:color w:val="auto"/>
                <w:w w:val="86"/>
              </w:rPr>
              <w:t>Previously Reported for</w:t>
            </w:r>
          </w:p>
        </w:tc>
        <w:tc>
          <w:tcPr>
            <w:tcW w:w="2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Previously Reported for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6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 2015</w:t>
            </w:r>
          </w:p>
        </w:tc>
        <w:tc>
          <w:tcPr>
            <w:tcW w:w="1340" w:type="dxa"/>
            <w:vAlign w:val="bottom"/>
          </w:tcPr>
          <w:p>
            <w:pPr>
              <w:spacing w:after="0"/>
              <w:rPr>
                <w:sz w:val="12"/>
                <w:szCs w:val="12"/>
                <w:color w:val="auto"/>
              </w:rPr>
            </w:pPr>
          </w:p>
        </w:tc>
        <w:tc>
          <w:tcPr>
            <w:tcW w:w="148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Fiscal 2014</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940" w:type="dxa"/>
            <w:vAlign w:val="bottom"/>
            <w:gridSpan w:val="2"/>
          </w:tcPr>
          <w:p>
            <w:pPr>
              <w:jc w:val="center"/>
              <w:ind w:left="1446"/>
              <w:spacing w:after="0" w:line="148" w:lineRule="exact"/>
              <w:rPr>
                <w:sz w:val="20"/>
                <w:szCs w:val="20"/>
                <w:color w:val="auto"/>
              </w:rPr>
            </w:pPr>
            <w:r>
              <w:rPr>
                <w:rFonts w:ascii="Arial" w:cs="Arial" w:eastAsia="Arial" w:hAnsi="Arial"/>
                <w:sz w:val="14"/>
                <w:szCs w:val="14"/>
                <w:b w:val="1"/>
                <w:bCs w:val="1"/>
                <w:color w:val="auto"/>
                <w:w w:val="81"/>
              </w:rPr>
              <w:t>($)</w:t>
            </w:r>
          </w:p>
        </w:tc>
        <w:tc>
          <w:tcPr>
            <w:tcW w:w="2720" w:type="dxa"/>
            <w:vAlign w:val="bottom"/>
            <w:gridSpan w:val="2"/>
          </w:tcPr>
          <w:p>
            <w:pPr>
              <w:jc w:val="right"/>
              <w:ind w:right="53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15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1,092,730</w:t>
            </w:r>
          </w:p>
        </w:tc>
        <w:tc>
          <w:tcPr>
            <w:tcW w:w="13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540" w:type="dxa"/>
            <w:vAlign w:val="bottom"/>
          </w:tcPr>
          <w:p>
            <w:pPr>
              <w:spacing w:after="0"/>
              <w:rPr>
                <w:sz w:val="18"/>
                <w:szCs w:val="18"/>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22,846</w:t>
            </w:r>
          </w:p>
        </w:tc>
        <w:tc>
          <w:tcPr>
            <w:tcW w:w="1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154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26,585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 Retention Agreements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entered into change in control retention agreements with each of our executive officers (other than Mr. Hess) and other key employees. These agreements provide for severance benefits if any of the following occurs:</w:t>
      </w:r>
    </w:p>
    <w:p>
      <w:pPr>
        <w:spacing w:after="0" w:line="51" w:lineRule="exact"/>
        <w:rPr>
          <w:sz w:val="20"/>
          <w:szCs w:val="20"/>
          <w:color w:val="auto"/>
        </w:rPr>
      </w:pPr>
    </w:p>
    <w:p>
      <w:pPr>
        <w:ind w:left="900" w:right="60" w:hanging="325"/>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50" w:lineRule="exact"/>
        <w:rPr>
          <w:rFonts w:ascii="Arial" w:cs="Arial" w:eastAsia="Arial" w:hAnsi="Arial"/>
          <w:sz w:val="18"/>
          <w:szCs w:val="18"/>
          <w:color w:val="auto"/>
        </w:rPr>
      </w:pPr>
    </w:p>
    <w:p>
      <w:pPr>
        <w:ind w:left="900" w:right="760" w:hanging="325"/>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our change in control retention agreements, a “change in control” occurs when:</w:t>
      </w:r>
    </w:p>
    <w:p>
      <w:pPr>
        <w:spacing w:after="0" w:line="9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person or entity becomes the beneficial owner of 30% or more of the combined voting power of our outstanding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shareholders approve specified mergers of ADI with another entity;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ADI’s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0" w:name="page61"/>
    <w:bookmarkEnd w:id="6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agreements provide for the following severance benefits in the event of termination following a change in control approved by the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84" w:lineRule="exact"/>
        <w:rPr>
          <w:sz w:val="20"/>
          <w:szCs w:val="20"/>
          <w:color w:val="auto"/>
        </w:rPr>
      </w:pPr>
    </w:p>
    <w:p>
      <w:pPr>
        <w:ind w:left="900" w:hanging="325"/>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200% (299% in the case of certain employees who are parties to the agreements, including each of our NEOs) of the total cash bonuses paid or awarded to him or her in the four fiscal quarters preceding his or her termination;</w:t>
      </w:r>
    </w:p>
    <w:p>
      <w:pPr>
        <w:spacing w:after="0" w:line="62"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Committee eliminated this provision from any new employee retention agreements.</w:t>
      </w:r>
    </w:p>
    <w:p>
      <w:pPr>
        <w:spacing w:after="0" w:line="116"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Hess’ Employment Agreement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connection with our acquisition of Hittite, we entered into an employment agreement with Mr. Hess that provides for severance benefits if any of the following occurs:</w:t>
      </w:r>
    </w:p>
    <w:p>
      <w:pPr>
        <w:spacing w:after="0" w:line="51" w:lineRule="exact"/>
        <w:rPr>
          <w:sz w:val="20"/>
          <w:szCs w:val="20"/>
          <w:color w:val="auto"/>
        </w:rPr>
      </w:pPr>
    </w:p>
    <w:p>
      <w:pPr>
        <w:ind w:left="900" w:right="98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the agreement), we terminate Mr. Hess’ employment for any reason other than “misconduct” (as defined in the agreement) or Mr. Hess’ death or disability;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within 24 months after a change in control, Mr. Hess terminates his employment for “good reason” (as defined in the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Mr. Hess’ employment agreement, a “change in control” occurs:</w:t>
      </w:r>
    </w:p>
    <w:p>
      <w:pPr>
        <w:spacing w:after="0" w:line="9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when any person or entity becomes the beneficial owner of 50% or more of the combined voting power of our outstanding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the closing of specified mergers of ADI with another entity;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our shareholders approve a plan of liquidation;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the closing of the sale of all, or substantially all, of ADI’s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transactions described above may not be treated as a change in control where necessary for compliance with Section 409A of the Internal Revenue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61" w:name="page62"/>
    <w:bookmarkEnd w:id="61"/>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Hess’ employment agreement provides for the following severance benefits in the event of termination following a change in control, conditioned on his execution and delivery of a release of all potential claims against us:</w:t>
      </w:r>
    </w:p>
    <w:p>
      <w:pPr>
        <w:spacing w:after="0" w:line="51" w:lineRule="exact"/>
        <w:rPr>
          <w:sz w:val="20"/>
          <w:szCs w:val="20"/>
          <w:color w:val="auto"/>
        </w:rPr>
      </w:pPr>
    </w:p>
    <w:p>
      <w:pPr>
        <w:ind w:left="900" w:right="360" w:hanging="325"/>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annual base salary, plus a lump sum payment in an amount equal to the excess, if any, of 299% of Mr. Hess’ annual base salary (as of the date of termination or the date of the change of control, whichever is higher) over the amount equal to Mr. Hess’ annual base salary;</w:t>
      </w:r>
    </w:p>
    <w:p>
      <w:pPr>
        <w:spacing w:after="0" w:line="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target cash bonus for the year in which the termination occurred, plus a lump sum payment of the excess, if any, of (x) 299% of the aggregate cash bonuses paid or awarded to Mr. Hess for the four fiscal quarters preceding the effective date of termination, over (y) the amount equal to the product of Mr. Hess’ target cash incentive bonus for the year in which termination occurs, multiplied by the sum of 1.0 plus a fraction equal to the quotient of the number of days during such year in which he was employed by us, divided by 365;</w:t>
      </w:r>
    </w:p>
    <w:p>
      <w:pPr>
        <w:spacing w:after="0" w:line="31"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all legal fees (excluding taxes) incurred by Mr. Hess as a result of such termination (including all such fees and expenses, if any, incurred in disputing such termination or seeking to obtain or enforce any right or benefit provided by the employment agreement or in connection with tax audit or proceeding to the extent attributable to the application of Section 4999 of the Internal Revenue Code to any payment or benefit provided under the agreement); and</w:t>
      </w:r>
    </w:p>
    <w:p>
      <w:pPr>
        <w:spacing w:after="0" w:line="6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 except where continued coverage may result in penalties.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Hess’ Employment Agreement</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Pursuant to Mr. Hess’ employment agreement and in addition to the change in control severance benefits that Mr. Hess may be entitled to as described above under “Change in Control Benefits — Mr. Hess’ Employment Agreement:</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terminate Mr. Hess’ employment for a reason other than “misconduct” (as defined in the agreement) or his death or disability;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Mr. Hess terminates his employment for “good reason” (as defined in the agreement);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Mr. Hess resigns voluntarily at any time after the second anniversary of the closing date of our acquisition of Hittite,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then, conditioned on his execution and delivery of a release of all potential claims against us, Mr. Hess will be entitled to receive a payment equal to:</w:t>
      </w:r>
    </w:p>
    <w:p>
      <w:pPr>
        <w:spacing w:after="0" w:line="113"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Hess’ annual base salary, plus</w:t>
      </w:r>
    </w:p>
    <w:p>
      <w:pPr>
        <w:spacing w:after="0" w:line="90"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product of Mr. Hess’ target cash incentive bonus for the year in which termination of employment occurs, multiplied by the sum of 1.0 plus a fraction equal to the quotient of the number of days during such year in which he was employed by us, divided by 365, plus</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difference between the cost of COBRA continuation coverage for Mr. Hess and any dependent who received health insurance coverage prior to such termination for one year and any premium contribution amount applicable to him as of such termination.</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in the event of Mr. Hess’ involuntary termination (other than for misconduct) or Mr. Hess’ resignation with good reason, the remaining unvested portion of the equity awards we granted in replacement of Hittite awards in connection with our acquisition of Hittite will be accelerated such that all such awards are fully vested.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Meaney’s Separation Letter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19, 2016 we announced that Mr. Meaney would be leaving the Company at the end of the 2016 calendar year. In connection with</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Meaney’s separation from the Company, we entered into a Separation Letter Agreement that provided for the following severance benefits in exchange for a release of claims in favor of the Company:</w:t>
      </w:r>
    </w:p>
    <w:p>
      <w:pPr>
        <w:spacing w:after="0" w:line="57"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lump sum payment equal to two years’ base salary based on an annual base salary of $465,000 and two years’ bonus at target, plus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continuation of health insurance benefits for one year, plus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$16,000 towards obtaining independent tax advice.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in consideration of Mr. Meaney’s execution of a non-competition and non-solicitation agreement, as of his separation date, all outstanding stock options, time-based RSUs and performance-based RSUs that were scheduled to vest on or before March 31, 2017, accelerated and vested in full. The equity awards subject to performance-based vesting criteria vested as if all applicable performance parameters had been met at target levels. All other outstanding and unvested equity awards were forfeited.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Payments upon a change in control for our NEOs (other than Mr. Hess) are calculated based upon the change-in-control retention agreements described above under “Change in Control Benefits — Change in Control Retention Agreements” and, in the case of Mr. Hess, his employment agreement described above under “Change in Control Benefits — Mr. Hess’ Employment Agreement.” Under our 2006 Stock Incentive Plan, in the event of a change in control, all of our employees, including our NEOs, if they remain employed by ADI, would have one-half of the shares of common stock subject to their then-outstanding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 (as defined in the plan).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a change in control approved by the Board of Directors (for all executive officers other than Mr. Hess) or a change in control in the case of Mr. Hess, if we terminate an executive officer’s employment for cause (or “misconduct” in the case of Mr. Hess) or if the executive officer terminates his or her employment other than for good reason (in the case of Mr. Hess, before the second anniversary of the closing date of our acquisition of Hittite),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(other than Mr. Hess) terminates in a situation that does not involve a change in control, the officer is entitled to receive the same benefits as any other terminating employee. This applies regardless of the reason for termination. Mr. Hess is entitled to severance benefits in specified circumstances following the termination of his employment that does not involve a change in control, as described above in “— Severance Benefits — Mr. Hess’ Employment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63" w:name="page64"/>
    <w:bookmarkEnd w:id="63"/>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tables quantify the amounts that would be payable to the NEOs named in the Summary Compensation Table upon termination of their employment. The amounts shown assume that the terminations were effective on the last day of our fiscal year, or October 29, 2016. The tables do not include the accumulated benefit under our DCP that would be paid to our NEOs described above under “Non-Qualified Deferred Compensation Plan,” or any other employee benefits, except to the extent that the officer is entitled to an additional benefit as a result of the termination. In addition, the tables do not include the value of vested but unexercised stock options held by each executive as of October 29, 2016. The actual amounts that would be paid out would depend on which options were exercised and, therefore, can only be determined at the time of the executive officer’s termination of employment.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Termination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by us for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any reason</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other than</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Misconduct</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by us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or by</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the Named</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Cause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Executive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Pursuant to</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60" w:type="dxa"/>
            <w:vAlign w:val="bottom"/>
            <w:gridSpan w:val="14"/>
          </w:tcPr>
          <w:p>
            <w:pPr>
              <w:jc w:val="right"/>
              <w:spacing w:after="0" w:line="149" w:lineRule="exact"/>
              <w:rPr>
                <w:sz w:val="20"/>
                <w:szCs w:val="20"/>
                <w:color w:val="auto"/>
              </w:rPr>
            </w:pPr>
            <w:r>
              <w:rPr>
                <w:rFonts w:ascii="Arial" w:cs="Arial" w:eastAsia="Arial" w:hAnsi="Arial"/>
                <w:sz w:val="14"/>
                <w:szCs w:val="14"/>
                <w:b w:val="1"/>
                <w:bCs w:val="1"/>
                <w:color w:val="auto"/>
                <w:w w:val="99"/>
              </w:rPr>
              <w:t>Termination by us without Cause or by the Named Executive Officer with</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Officer for</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Mutual</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8"/>
          </w:tcPr>
          <w:p>
            <w:pPr>
              <w:jc w:val="right"/>
              <w:ind w:right="355"/>
              <w:spacing w:after="0"/>
              <w:rPr>
                <w:sz w:val="20"/>
                <w:szCs w:val="20"/>
                <w:color w:val="auto"/>
              </w:rPr>
            </w:pPr>
            <w:r>
              <w:rPr>
                <w:rFonts w:ascii="Arial" w:cs="Arial" w:eastAsia="Arial" w:hAnsi="Arial"/>
                <w:sz w:val="14"/>
                <w:szCs w:val="14"/>
                <w:b w:val="1"/>
                <w:bCs w:val="1"/>
                <w:color w:val="auto"/>
                <w:w w:val="92"/>
              </w:rPr>
              <w:t>Good Reason Following a Change in Control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Good Reason</w:t>
            </w: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Agreement</w:t>
            </w: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Vincent</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David A.</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8"/>
              </w:rPr>
              <w:t>Rick D.</w:t>
            </w: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Richard A.</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5"/>
              <w:spacing w:after="0" w:line="129" w:lineRule="exact"/>
              <w:rPr>
                <w:sz w:val="20"/>
                <w:szCs w:val="20"/>
                <w:color w:val="auto"/>
              </w:rPr>
            </w:pPr>
            <w:r>
              <w:rPr>
                <w:rFonts w:ascii="Arial" w:cs="Arial" w:eastAsia="Arial" w:hAnsi="Arial"/>
                <w:sz w:val="14"/>
                <w:szCs w:val="14"/>
                <w:b w:val="1"/>
                <w:bCs w:val="1"/>
                <w:color w:val="auto"/>
                <w:w w:val="88"/>
              </w:rPr>
              <w:t>Rick D.</w:t>
            </w: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4"/>
              <w:spacing w:after="0" w:line="129" w:lineRule="exact"/>
              <w:rPr>
                <w:sz w:val="20"/>
                <w:szCs w:val="20"/>
                <w:color w:val="auto"/>
              </w:rPr>
            </w:pPr>
            <w:r>
              <w:rPr>
                <w:rFonts w:ascii="Arial" w:cs="Arial" w:eastAsia="Arial" w:hAnsi="Arial"/>
                <w:sz w:val="14"/>
                <w:szCs w:val="14"/>
                <w:b w:val="1"/>
                <w:bCs w:val="1"/>
                <w:color w:val="auto"/>
                <w:w w:val="91"/>
              </w:rPr>
              <w:t>Richard 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Roche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Zinsner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77"/>
              </w:rPr>
              <w:t>Hess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Meaney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Peter Real</w:t>
            </w: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7"/>
              </w:rPr>
              <w:t>Hess</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Meaney</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(1)(2)(3)(4)(5)(6)</w:t>
            </w:r>
          </w:p>
        </w:tc>
        <w:tc>
          <w:tcPr>
            <w:tcW w:w="160" w:type="dxa"/>
            <w:vAlign w:val="bottom"/>
          </w:tcPr>
          <w:p>
            <w:pPr>
              <w:spacing w:after="0"/>
              <w:rPr>
                <w:sz w:val="14"/>
                <w:szCs w:val="14"/>
                <w:color w:val="auto"/>
              </w:rPr>
            </w:pPr>
          </w:p>
        </w:tc>
        <w:tc>
          <w:tcPr>
            <w:tcW w:w="112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3"/>
              </w:rPr>
              <w:t>(1)(2)(3)(4)(5)(6)</w:t>
            </w:r>
          </w:p>
        </w:tc>
        <w:tc>
          <w:tcPr>
            <w:tcW w:w="160" w:type="dxa"/>
            <w:vAlign w:val="bottom"/>
          </w:tcPr>
          <w:p>
            <w:pPr>
              <w:spacing w:after="0"/>
              <w:rPr>
                <w:sz w:val="14"/>
                <w:szCs w:val="14"/>
                <w:color w:val="auto"/>
              </w:rPr>
            </w:pPr>
          </w:p>
        </w:tc>
        <w:tc>
          <w:tcPr>
            <w:tcW w:w="106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1"/>
              </w:rPr>
              <w:t>(1)(2)(3)(4)(5)</w:t>
            </w:r>
          </w:p>
        </w:tc>
        <w:tc>
          <w:tcPr>
            <w:tcW w:w="114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3"/>
              </w:rPr>
              <w:t>(1)(2)(3)(4)(5)</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(1)(2)(3)(4)(5)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5"/>
              <w:spacing w:after="0"/>
              <w:rPr>
                <w:sz w:val="20"/>
                <w:szCs w:val="20"/>
                <w:color w:val="auto"/>
              </w:rPr>
            </w:pPr>
            <w:r>
              <w:rPr>
                <w:rFonts w:ascii="Arial" w:cs="Arial" w:eastAsia="Arial" w:hAnsi="Arial"/>
                <w:sz w:val="14"/>
                <w:szCs w:val="14"/>
                <w:b w:val="1"/>
                <w:bCs w:val="1"/>
                <w:color w:val="auto"/>
                <w:w w:val="87"/>
              </w:rPr>
              <w:t>(3)(7)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
              <w:spacing w:after="0"/>
              <w:rPr>
                <w:sz w:val="20"/>
                <w:szCs w:val="20"/>
                <w:color w:val="auto"/>
              </w:rPr>
            </w:pPr>
            <w:r>
              <w:rPr>
                <w:rFonts w:ascii="Arial" w:cs="Arial" w:eastAsia="Arial" w:hAnsi="Arial"/>
                <w:sz w:val="14"/>
                <w:szCs w:val="14"/>
                <w:b w:val="1"/>
                <w:bCs w:val="1"/>
                <w:color w:val="auto"/>
                <w:w w:val="93"/>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Severance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2,535,520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1,599,650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1,516,067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1,390,350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1,345,500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Cash Bonus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3,671,187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1,565,673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3,384,818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1,358,691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856,353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930,000</w:t>
            </w: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Value of Accelerated Vesting of Stock</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16,452,708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7,377,083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5,808,449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2,849,387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2,745,449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1,505,607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Value of Medical and Other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37,752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38,856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6,888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18,853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17,150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Excise Tax Gross Up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6,543,523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29,240,690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10,581,262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10,747,038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3,746,505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5,058,128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4,014,302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3,382,757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33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Cash severance based upon a multiplier of 299% of the executive officer’s base salary (other than Mr. Hess). For Mr. Hess the amount is equal to his annual base salary plus a lump sum payment in an amount equal to the excess of 299% of his annual base salary over his annual base salary.</w:t>
      </w:r>
    </w:p>
    <w:p>
      <w:pPr>
        <w:spacing w:after="0" w:line="4" w:lineRule="exact"/>
        <w:rPr>
          <w:rFonts w:ascii="Arial" w:cs="Arial" w:eastAsia="Arial" w:hAnsi="Arial"/>
          <w:sz w:val="16"/>
          <w:szCs w:val="16"/>
          <w:color w:val="auto"/>
        </w:rPr>
      </w:pPr>
    </w:p>
    <w:p>
      <w:pPr>
        <w:ind w:left="460" w:right="220" w:hanging="452"/>
        <w:spacing w:after="0" w:line="25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bonus based upon a multiplier of 299% of the sum of the executive officer’s total cash bonuses awarded to him in the four fiscal quarters preceding termination (other than Mr. Hess). For Mr. Hess, the amount is equal to his target bonus for the year in which the termination occurred plus a lump sum payment in an amount equal to the excess of 299% of his total cash bonuses awarded to him for the four fiscal quarters preceding termination over his target cash bonus for the year in which termination occurs.</w:t>
      </w:r>
    </w:p>
    <w:p>
      <w:pPr>
        <w:spacing w:after="0" w:line="62"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value of accelerated unvested options as of October 29, 2016 is calculated by taking the difference between the closing price of our common stock on NASDAQ on the last trading day of the fiscal year ($63.53 on October 29, 2016) and the option exercise price and multiplying it by the number of accelerated options. For time-based RSUs the value represents the closing price of our common stock on the last trading day of the fiscal year multiplied by the number of accelerated units. For performance-based RSUs, the number of accelerated units assumes vesting at the target level.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4" w:name="page65"/>
    <w:bookmarkEnd w:id="64"/>
    <w:p>
      <w:pPr>
        <w:ind w:left="460" w:right="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October 29, 2016, upon termination by us without cause or by the NEO for good reason after a change in control event, the officer would be entitled to acceleration of vesting of all outstanding unvested stock options or RSUs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1"/>
              </w:rPr>
              <w:t>Number of</w:t>
            </w: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8"/>
              </w:rPr>
              <w:t>Number of</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Unvested Option</w:t>
            </w: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Unvested Time-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Unvested Performance-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Awards that</w:t>
            </w:r>
          </w:p>
        </w:tc>
        <w:tc>
          <w:tcPr>
            <w:tcW w:w="21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Based RSUs that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Based RSUs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4"/>
              </w:rPr>
              <w:t>Accelerate upon</w:t>
            </w: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Accelerate upon</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Accelerate upon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Termination After</w:t>
            </w:r>
          </w:p>
        </w:tc>
        <w:tc>
          <w:tcPr>
            <w:tcW w:w="21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Termination After</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Termination After a</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00" w:type="dxa"/>
            <w:vAlign w:val="bottom"/>
            <w:vMerge w:val="restart"/>
          </w:tcPr>
          <w:p>
            <w:pPr>
              <w:spacing w:after="0"/>
              <w:rPr>
                <w:sz w:val="12"/>
                <w:szCs w:val="12"/>
                <w:color w:val="auto"/>
              </w:rPr>
            </w:pPr>
          </w:p>
        </w:tc>
        <w:tc>
          <w:tcPr>
            <w:tcW w:w="21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a Change in</w:t>
            </w:r>
          </w:p>
        </w:tc>
        <w:tc>
          <w:tcPr>
            <w:tcW w:w="21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a Change in</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Change in Control at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216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8"/>
              </w:rPr>
              <w:t>Control</w:t>
            </w:r>
          </w:p>
        </w:tc>
        <w:tc>
          <w:tcPr>
            <w:tcW w:w="2180" w:type="dxa"/>
            <w:vAlign w:val="bottom"/>
            <w:gridSpan w:val="2"/>
          </w:tcPr>
          <w:p>
            <w:pPr>
              <w:jc w:val="center"/>
              <w:ind w:right="1100"/>
              <w:spacing w:after="0" w:line="148" w:lineRule="exact"/>
              <w:rPr>
                <w:sz w:val="20"/>
                <w:szCs w:val="20"/>
                <w:color w:val="auto"/>
              </w:rPr>
            </w:pPr>
            <w:r>
              <w:rPr>
                <w:rFonts w:ascii="Arial" w:cs="Arial" w:eastAsia="Arial" w:hAnsi="Arial"/>
                <w:sz w:val="14"/>
                <w:szCs w:val="14"/>
                <w:b w:val="1"/>
                <w:bCs w:val="1"/>
                <w:color w:val="auto"/>
                <w:w w:val="88"/>
              </w:rPr>
              <w:t>Control</w:t>
            </w:r>
          </w:p>
        </w:tc>
        <w:tc>
          <w:tcPr>
            <w:tcW w:w="14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Target Achievement</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429,971</w:t>
            </w:r>
          </w:p>
        </w:tc>
        <w:tc>
          <w:tcPr>
            <w:tcW w:w="1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92,211</w:t>
            </w:r>
          </w:p>
        </w:tc>
        <w:tc>
          <w:tcPr>
            <w:tcW w:w="1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92,211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202,850</w:t>
            </w:r>
          </w:p>
        </w:tc>
        <w:tc>
          <w:tcPr>
            <w:tcW w:w="2180" w:type="dxa"/>
            <w:vAlign w:val="bottom"/>
            <w:gridSpan w:val="2"/>
          </w:tcPr>
          <w:p>
            <w:pPr>
              <w:jc w:val="right"/>
              <w:ind w:right="1120"/>
              <w:spacing w:after="0"/>
              <w:rPr>
                <w:sz w:val="20"/>
                <w:szCs w:val="20"/>
                <w:color w:val="auto"/>
              </w:rPr>
            </w:pPr>
            <w:r>
              <w:rPr>
                <w:rFonts w:ascii="Arial" w:cs="Arial" w:eastAsia="Arial" w:hAnsi="Arial"/>
                <w:sz w:val="18"/>
                <w:szCs w:val="18"/>
                <w:color w:val="auto"/>
              </w:rPr>
              <w:t>39,694</w:t>
            </w:r>
          </w:p>
        </w:tc>
        <w:tc>
          <w:tcPr>
            <w:tcW w:w="1360" w:type="dxa"/>
            <w:vAlign w:val="bottom"/>
          </w:tcPr>
          <w:p>
            <w:pPr>
              <w:jc w:val="right"/>
              <w:spacing w:after="0"/>
              <w:rPr>
                <w:sz w:val="20"/>
                <w:szCs w:val="20"/>
                <w:color w:val="auto"/>
              </w:rPr>
            </w:pPr>
            <w:r>
              <w:rPr>
                <w:rFonts w:ascii="Arial" w:cs="Arial" w:eastAsia="Arial" w:hAnsi="Arial"/>
                <w:sz w:val="18"/>
                <w:szCs w:val="18"/>
                <w:color w:val="auto"/>
              </w:rPr>
              <w:t>39,694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76,906</w:t>
            </w:r>
          </w:p>
        </w:tc>
        <w:tc>
          <w:tcPr>
            <w:tcW w:w="21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62,599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33,301</w:t>
            </w:r>
          </w:p>
        </w:tc>
        <w:tc>
          <w:tcPr>
            <w:tcW w:w="2180" w:type="dxa"/>
            <w:vAlign w:val="bottom"/>
            <w:gridSpan w:val="2"/>
          </w:tcPr>
          <w:p>
            <w:pPr>
              <w:jc w:val="right"/>
              <w:ind w:right="1120"/>
              <w:spacing w:after="0"/>
              <w:rPr>
                <w:sz w:val="20"/>
                <w:szCs w:val="20"/>
                <w:color w:val="auto"/>
              </w:rPr>
            </w:pPr>
            <w:r>
              <w:rPr>
                <w:rFonts w:ascii="Arial" w:cs="Arial" w:eastAsia="Arial" w:hAnsi="Arial"/>
                <w:sz w:val="18"/>
                <w:szCs w:val="18"/>
                <w:color w:val="auto"/>
              </w:rPr>
              <w:t>7,025</w:t>
            </w:r>
          </w:p>
        </w:tc>
        <w:tc>
          <w:tcPr>
            <w:tcW w:w="1360" w:type="dxa"/>
            <w:vAlign w:val="bottom"/>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Real</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87,507</w:t>
            </w:r>
          </w:p>
        </w:tc>
        <w:tc>
          <w:tcPr>
            <w:tcW w:w="21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18,971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6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 continuation for 24 months after a termination in connection with a change in control. The annual benefit costs for each executive are: $18,876 for Mr. Roche, $19,428 for Mr. Zinsner, $18,852 for Mr. Hess, $$1,150 for Mr. Meaney and $3,444 for Mr. Real.</w:t>
      </w:r>
    </w:p>
    <w:p>
      <w:pPr>
        <w:spacing w:after="0" w:line="59" w:lineRule="exact"/>
        <w:rPr>
          <w:rFonts w:ascii="Arial" w:cs="Arial" w:eastAsia="Arial" w:hAnsi="Arial"/>
          <w:sz w:val="18"/>
          <w:szCs w:val="18"/>
          <w:color w:val="auto"/>
        </w:rPr>
      </w:pPr>
    </w:p>
    <w:p>
      <w:pPr>
        <w:ind w:left="460" w:right="160" w:hanging="452"/>
        <w:spacing w:after="0" w:line="253"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calculating the excise tax gross-up amounts, we take into account the officer’s earnings from ADI for the prior five years. We include the change-in-control cash severance and bonus, valuations of unvested stock options that become vested upon a change-in-control (using the fiscal 2016 year-end closing stock price), valuations of time-based and performance-based RSUs that become vested upon a change-in-control (using the fiscal 2016 year-end closing stock price), and our estimated cost of medical and other benefits. Whether the officer will receive a gross-up amount will depend primarily on the officer’s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66" w:lineRule="exact"/>
        <w:rPr>
          <w:rFonts w:ascii="Arial" w:cs="Arial" w:eastAsia="Arial" w:hAnsi="Arial"/>
          <w:sz w:val="18"/>
          <w:szCs w:val="18"/>
          <w:color w:val="auto"/>
        </w:rPr>
      </w:pPr>
    </w:p>
    <w:p>
      <w:pPr>
        <w:ind w:left="460" w:right="220" w:hanging="452"/>
        <w:spacing w:after="0" w:line="323"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Under the terms of his employment agreement, if Mr. Hess is terminated by us for any reason other than Misconduct, Mr. Hess will be entitled cash severance equal to his annual base salary; a cash bonus equal to his target cash incentive bonus for the year in which termination of employment occurs; acceleration of the vesting of 43,215 unvested time-based RSUs that were granted to him in connection with our acquisition of Hittite in replacement of Hittite equity awards; and the reimbursement for the difference between the cost of COBRA coverage and Mr. Hess’s annual premium for one year.</w:t>
      </w:r>
    </w:p>
    <w:p>
      <w:pPr>
        <w:spacing w:after="0" w:line="16" w:lineRule="exact"/>
        <w:rPr>
          <w:rFonts w:ascii="Arial" w:cs="Arial" w:eastAsia="Arial" w:hAnsi="Arial"/>
          <w:sz w:val="15"/>
          <w:szCs w:val="15"/>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September 19, 2016, we announced that Mr. Meaney would be leaving the Company at the end of the 2016 calendar year. In connection with</w:t>
      </w:r>
    </w:p>
    <w:p>
      <w:pPr>
        <w:spacing w:after="0" w:line="38" w:lineRule="exact"/>
        <w:rPr>
          <w:rFonts w:ascii="Arial" w:cs="Arial" w:eastAsia="Arial" w:hAnsi="Arial"/>
          <w:sz w:val="16"/>
          <w:szCs w:val="16"/>
          <w:color w:val="auto"/>
        </w:rPr>
      </w:pPr>
    </w:p>
    <w:p>
      <w:pPr>
        <w:ind w:left="460"/>
        <w:spacing w:after="0" w:line="253" w:lineRule="auto"/>
        <w:rPr>
          <w:rFonts w:ascii="Arial" w:cs="Arial" w:eastAsia="Arial" w:hAnsi="Arial"/>
          <w:sz w:val="16"/>
          <w:szCs w:val="16"/>
          <w:color w:val="auto"/>
        </w:rPr>
      </w:pPr>
      <w:r>
        <w:rPr>
          <w:rFonts w:ascii="Arial" w:cs="Arial" w:eastAsia="Arial" w:hAnsi="Arial"/>
          <w:sz w:val="18"/>
          <w:szCs w:val="18"/>
          <w:color w:val="auto"/>
        </w:rPr>
        <w:t>Mr. Meaney’s separation from the Company, we entered into a Separation Letter Agreement that provides for severance benefits, as described above in “— Severance Benefits — Mr. Meaney’s Separation Letter Agreement.” The value of accelerated unvested options is calculated by taking the difference between the closing price of our common stock on NASDAQ on the separation date of December 27, 2016 ($74.31) and the option exercise price and multiplying it by the number of accelerated options. For time- and performance-based RSUs the value represents the closing price of our common stock on December 27, 2016 multiplied by the number of accelerated units.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Program Description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All stock options have a term of ten years, and for employees, generally vest in five equal installments on each of the first, second, third, fourth and fifth</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80" w:right="299" w:bottom="1440" w:gutter="0" w:footer="0" w:header="0"/>
        </w:sectPr>
      </w:pPr>
    </w:p>
    <w:bookmarkStart w:id="65" w:name="page66"/>
    <w:bookmarkEnd w:id="65"/>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anniversaries of the date of grant, subject to full or partial acceleration upon death, disability or a change in control. The 2006 Stock Incentive Plan does not permit us to grant options at exercise prices that are below the fair market value of our common stock on the date of grant. Generally, our employee time-based RSUs vest in full on the third anniversary of the grant date. Our performance-based RSUs have three year performance periods under which the number of shares of ADI common stock received following vesting, if any, will be based on ADI’s TSR performance measured against the median TSR of a comparator group of companies over the three-year period. Our RSUs are subject to full or partial acceleration upon death, disability or a change in control.</w:t>
      </w:r>
    </w:p>
    <w:p>
      <w:pPr>
        <w:spacing w:after="0" w:line="1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can make equity award grants to executive officers and directors only from shareholder-approved plans after the Compensation Committee reviews and approves the grants. All members of the Compensation Committee are independent directors, as defined by the NASDAQ Rules.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provides information as of October 29, 2016 about the securities which are either already issued, or authorized for future issuance, under our 2006 Stock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9"/>
              </w:rPr>
              <w:t>(b)</w:t>
            </w:r>
          </w:p>
        </w:tc>
        <w:tc>
          <w:tcPr>
            <w:tcW w:w="2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 Securities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Future Issuance 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480" w:type="dxa"/>
            <w:vAlign w:val="bottom"/>
          </w:tcPr>
          <w:p>
            <w:pPr>
              <w:spacing w:after="0"/>
              <w:rPr>
                <w:sz w:val="12"/>
                <w:szCs w:val="12"/>
                <w:color w:val="auto"/>
              </w:rPr>
            </w:pPr>
          </w:p>
        </w:tc>
        <w:tc>
          <w:tcPr>
            <w:tcW w:w="294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7"/>
              </w:rPr>
              <w:t>Weighted-Average Exercise</w:t>
            </w:r>
          </w:p>
        </w:tc>
        <w:tc>
          <w:tcPr>
            <w:tcW w:w="2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2820" w:type="dxa"/>
            <w:vAlign w:val="bottom"/>
            <w:vMerge w:val="restart"/>
          </w:tcPr>
          <w:p>
            <w:pPr>
              <w:spacing w:after="0"/>
              <w:rPr>
                <w:sz w:val="12"/>
                <w:szCs w:val="12"/>
                <w:color w:val="auto"/>
              </w:rPr>
            </w:pPr>
          </w:p>
        </w:tc>
        <w:tc>
          <w:tcPr>
            <w:tcW w:w="22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480" w:type="dxa"/>
            <w:vAlign w:val="bottom"/>
          </w:tcPr>
          <w:p>
            <w:pPr>
              <w:spacing w:after="0"/>
              <w:rPr>
                <w:sz w:val="12"/>
                <w:szCs w:val="12"/>
                <w:color w:val="auto"/>
              </w:rPr>
            </w:pPr>
          </w:p>
        </w:tc>
        <w:tc>
          <w:tcPr>
            <w:tcW w:w="294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7"/>
              </w:rPr>
              <w:t>Price of Outstanding Options,</w:t>
            </w: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(Excluding Securities Reflected</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224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38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181"/>
        </w:trPr>
        <w:tc>
          <w:tcPr>
            <w:tcW w:w="37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5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by shareholders</w:t>
            </w:r>
          </w:p>
        </w:tc>
        <w:tc>
          <w:tcPr>
            <w:tcW w:w="2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14,394,336(1)</w:t>
            </w: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7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44.43(2)</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14,817,763(3)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2,689,905 RSUs that were outstanding on October 29,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excludes RSUs, which do not have an exercise price.</w:t>
      </w:r>
    </w:p>
    <w:p>
      <w:pPr>
        <w:spacing w:after="0" w:line="90"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2006 Stock Incentive Plan, which was approved by shareholders in March 2014, allows for the issuance of 34 million shares of our common stock, plus any shares that were subject to outstanding options under our 1998 Stock Option Plan and our 2001 Broad-Based Stock Option Plan as of January 23, 2006 that are subsequently terminated or expire without being exercised. Shares not issued as a result of a net settlement, used to pay withholding tax on options or stock appreciation rights, or surrendered but not issued as new awards under a shareholder approved option exchange program are not available for use under the plan.</w:t>
      </w:r>
    </w:p>
    <w:p>
      <w:pPr>
        <w:spacing w:after="0" w:line="2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Employee Service Award Program</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Employee Service Award Program is designed to recognize and thank employees for their long-term working relationship with ADI. All regular employees other than executive officers are eligible to receive these awards in the form of shares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NASDAQ on a specified date. The shares awarded are issued under our 2006 Stock Incentive Plan. Our Board of Directors may terminate, amend or suspend the program at any time at its discretion.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96" w:lineRule="exact"/>
        <w:rPr>
          <w:sz w:val="20"/>
          <w:szCs w:val="20"/>
          <w:color w:val="auto"/>
        </w:rPr>
      </w:pPr>
    </w:p>
    <w:p>
      <w:pPr>
        <w:ind w:right="680" w:firstLine="456"/>
        <w:spacing w:after="0" w:line="335" w:lineRule="auto"/>
        <w:rPr>
          <w:sz w:val="20"/>
          <w:szCs w:val="20"/>
          <w:color w:val="auto"/>
        </w:rPr>
      </w:pPr>
      <w:r>
        <w:rPr>
          <w:rFonts w:ascii="Arial" w:cs="Arial" w:eastAsia="Arial" w:hAnsi="Arial"/>
          <w:sz w:val="15"/>
          <w:szCs w:val="15"/>
          <w:color w:val="auto"/>
        </w:rPr>
        <w:t>During fiscal 2016, Messrs. Novich and Beyer and Dr. Su served as members of our Compensation Committee. No member of our Compensation Committee was at any time during fiscal 2016, or formerly, an officer or employee of ADI or any subsidiary of ADI. No member of our Compensation Committee had any relationship with us during fiscal 2016 requiring disclosure under Item 404 of Regulation S-K under the Exchange Act.</w:t>
      </w:r>
    </w:p>
    <w:p>
      <w:pPr>
        <w:spacing w:after="0" w:line="8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During fiscal 2016,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Neil Novich, </w:t>
      </w:r>
      <w:r>
        <w:rPr>
          <w:rFonts w:ascii="Arial" w:cs="Arial" w:eastAsia="Arial" w:hAnsi="Arial"/>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 Beyer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Lisa T. Su</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4" w:right="2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4 — RATIFICATION OF SELECTION OF INDEPENDENT REGISTERED PUBLIC ACCOUNTING FIRM</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Audit Committee is directly responsible for the appointment, compensation, retention and oversight of the Company’s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 of the Company and our shareholders.</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the 2017 fiscal year. Ernst &amp; Young LLP, or its predecessor firms, has served as our independent registered public accounting firm continuously since 1965. In accordance with SEC rules and Ernst &amp; Young LLP policies, the firm’s lead engagement partner rotates every five years. Our Audit Committee and its Chairman are directly involved in the selection of Ernst &amp; Young LLP’s lead engagement partner. The Audit Committee also has the sole authority to approve all engagement fees paid to our independent registered public accounting firm.</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Audit Committee and the Board of Directors believe that the continued retention of Ernst &amp; Young LLP as our independent registered public accounting firm is in the best interest of the Company and our shareholders, and we are asking our shareholders to ratify the selection of Ernst &amp; Young LLP as our independent registered public accounting firm for the 2017 fiscal year.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 of the Company and our shareholders.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They will have the opportunity to make a statement if they desire to do so and will also be available to respond to appropriate questions from shareholders.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2017 fiscal year.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 their judgment on such matters.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VOTING</w:t>
      </w:r>
    </w:p>
    <w:p>
      <w:pPr>
        <w:spacing w:after="0" w:line="1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Notice or proxy card. Proxies submitted over the Internet or by telephone must be received by 11:59 p.m. Eastern Time on March 7, 2017.</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shares you own are held in “street name” by a bank, broker or other nominee, your bank, broker or other nominee will provide a vote instruction form to you with this proxy statement, which you may use to direct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8" w:name="page69"/>
    <w:bookmarkEnd w:id="68"/>
    <w:p>
      <w:pPr>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how your shares will be voted. </w:t>
      </w:r>
      <w:r>
        <w:rPr>
          <w:rFonts w:ascii="Arial" w:cs="Arial" w:eastAsia="Arial" w:hAnsi="Arial"/>
          <w:sz w:val="18"/>
          <w:szCs w:val="18"/>
          <w:b w:val="1"/>
          <w:bCs w:val="1"/>
          <w:color w:val="auto"/>
        </w:rPr>
        <w:t>You must instruct your bank, broker or other nominee how to vote with respect to the election of directors, the “say 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pay” advisory vote and the “say on frequency” advisory vote; your bank, broker or other nominee cannot exercise its discretion to vote on these matters on your behalf. </w:t>
      </w:r>
      <w:r>
        <w:rPr>
          <w:rFonts w:ascii="Arial" w:cs="Arial" w:eastAsia="Arial" w:hAnsi="Arial"/>
          <w:sz w:val="18"/>
          <w:szCs w:val="18"/>
          <w:color w:val="auto"/>
        </w:rPr>
        <w:t>Many banks and brokers also offer the option of voting over the Internet or by telephone, instructions for which would be provided by your bank</w:t>
      </w:r>
      <w:r>
        <w:rPr>
          <w:rFonts w:ascii="Arial" w:cs="Arial" w:eastAsia="Arial" w:hAnsi="Arial"/>
          <w:sz w:val="18"/>
          <w:szCs w:val="18"/>
          <w:b w:val="1"/>
          <w:bCs w:val="1"/>
          <w:color w:val="auto"/>
        </w:rPr>
        <w:t xml:space="preserve"> </w:t>
      </w:r>
      <w:r>
        <w:rPr>
          <w:rFonts w:ascii="Arial" w:cs="Arial" w:eastAsia="Arial" w:hAnsi="Arial"/>
          <w:sz w:val="18"/>
          <w:szCs w:val="18"/>
          <w:color w:val="auto"/>
        </w:rPr>
        <w:t>or broker on your vote instruction form.</w:t>
      </w:r>
    </w:p>
    <w:p>
      <w:pPr>
        <w:spacing w:after="0" w:line="136" w:lineRule="exact"/>
        <w:rPr>
          <w:sz w:val="20"/>
          <w:szCs w:val="20"/>
          <w:color w:val="auto"/>
        </w:rPr>
      </w:pPr>
    </w:p>
    <w:p>
      <w:pPr>
        <w:jc w:val="both"/>
        <w:ind w:right="100" w:firstLine="456"/>
        <w:spacing w:after="0" w:line="301" w:lineRule="auto"/>
        <w:rPr>
          <w:sz w:val="20"/>
          <w:szCs w:val="20"/>
          <w:color w:val="auto"/>
        </w:rPr>
      </w:pPr>
      <w:r>
        <w:rPr>
          <w:rFonts w:ascii="Arial" w:cs="Arial" w:eastAsia="Arial" w:hAnsi="Arial"/>
          <w:sz w:val="16"/>
          <w:szCs w:val="16"/>
          <w:b w:val="1"/>
          <w:bCs w:val="1"/>
          <w:color w:val="auto"/>
        </w:rPr>
        <w:t>We hope that shareholders will attend the Annual Meeting. Whether or not you plan to attend, we urge you to vote your shares over the Internet or by telephone, or complete, date, sign and return the proxy card in the accompanying postage-prepaid envelope if you received a printed proxy card. A prompt response will greatly facilitate arrangements for the Annual Meeting and your cooperation will be appreciated. Shareholders who attend the Annual Meeting may vote their stock personally even though they have previously sent in their proxies.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74" w:right="299" w:bottom="1440" w:gutter="0" w:footer="0" w:header="0"/>
        </w:sectPr>
      </w:pPr>
    </w:p>
    <w:bookmarkStart w:id="69" w:name="page70"/>
    <w:bookmarkEnd w:id="69"/>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Reconciliation of Net Cash Flows Provided by Operating Activities to Free Cash Flows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80" w:type="dxa"/>
            <w:vAlign w:val="bottom"/>
            <w:gridSpan w:val="6"/>
          </w:tcPr>
          <w:p>
            <w:pPr>
              <w:ind w:left="5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6"/>
              </w:rPr>
              <w:t>FY 16</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90"/>
              </w:rPr>
              <w:t>FY 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Oct. 29,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Oct.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0" w:type="dxa"/>
            <w:vAlign w:val="bottom"/>
            <w:gridSpan w:val="2"/>
          </w:tcPr>
          <w:p>
            <w:pPr>
              <w:jc w:val="center"/>
              <w:ind w:left="1517"/>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$1,280,895</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907,798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 of revenue</w:t>
            </w: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1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Pension conversion payments</w:t>
            </w:r>
          </w:p>
        </w:tc>
        <w:tc>
          <w:tcPr>
            <w:tcW w:w="160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Adjusted cash flows from operations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$1,280,895</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1,131,470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(127,397)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(153,960)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1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1,153,498</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 of revenue</w:t>
            </w:r>
          </w:p>
        </w:tc>
        <w:tc>
          <w:tcPr>
            <w:tcW w:w="1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gridSpan w:val="2"/>
            <w:vMerge w:val="continue"/>
          </w:tcPr>
          <w:p>
            <w:pPr>
              <w:spacing w:after="0"/>
              <w:rPr>
                <w:sz w:val="18"/>
                <w:szCs w:val="18"/>
                <w:color w:val="auto"/>
              </w:rPr>
            </w:pPr>
          </w:p>
        </w:tc>
        <w:tc>
          <w:tcPr>
            <w:tcW w:w="2860" w:type="dxa"/>
            <w:vAlign w:val="bottom"/>
            <w:gridSpan w:val="3"/>
          </w:tcPr>
          <w:p>
            <w:pPr>
              <w:jc w:val="right"/>
              <w:ind w:right="320"/>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Non-GAAP financial measures included in this Proxy Statement, including free cash flow and free cash flow margin, are financial measures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Management uses non-GAAP measures internally to evaluate the Company’s operating performance from continuing operations against past periods and to budget and allocate resources in future periods. Management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item is excluded from our calculation of Non-GAAP free cash flow:</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Pension Conversion Payments: </w:t>
      </w:r>
      <w:r>
        <w:rPr>
          <w:rFonts w:ascii="Arial" w:cs="Arial" w:eastAsia="Arial" w:hAnsi="Arial"/>
          <w:sz w:val="18"/>
          <w:szCs w:val="18"/>
          <w:color w:val="auto"/>
        </w:rPr>
        <w:t>In the fourth quarter of fiscal 2015, the Company made payments as a result of the conversion of the benefits provided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the Company’s Irish defined benefit pension plan to benefits provided under the Company’s Irish defined contribution plan including settlement charges, legal, accounting and other professional fees. We excluded these payments from our non-GAAP free cash flow measure because they relate to a specific transaction and are not reflective of our ongoing financial performance.</w:t>
      </w:r>
    </w:p>
    <w:p>
      <w:pPr>
        <w:spacing w:after="0" w:line="143"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Analog Devices believes that non-GAAP measures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when excluding certain items, is not necessarily an indication of the results of operations that may be expected in the future, or that the Company will not, in fact, record such items in future periods.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consider our non-GAAP financial measures in conjunction with the corresponding GAAP measures.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0" w:name="page71"/>
    <w:bookmarkEnd w:id="70"/>
    <w:tbl>
      <w:tblPr>
        <w:tblLayout w:type="fixed"/>
        <w:tblInd w:w="3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w:t>
            </w:r>
          </w:p>
        </w:tc>
        <w:tc>
          <w:tcPr>
            <w:tcW w:w="0" w:type="dxa"/>
            <w:vAlign w:val="bottom"/>
          </w:tcPr>
          <w:p>
            <w:pPr>
              <w:spacing w:after="0"/>
              <w:rPr>
                <w:sz w:val="1"/>
                <w:szCs w:val="1"/>
                <w:color w:val="auto"/>
              </w:rPr>
            </w:pPr>
          </w:p>
        </w:tc>
      </w:tr>
      <w:tr>
        <w:trPr>
          <w:trHeight w:val="145"/>
        </w:trPr>
        <w:tc>
          <w:tcPr>
            <w:tcW w:w="4000" w:type="dxa"/>
            <w:vAlign w:val="bottom"/>
          </w:tcPr>
          <w:p>
            <w:pPr>
              <w:spacing w:after="0"/>
              <w:rPr>
                <w:sz w:val="12"/>
                <w:szCs w:val="12"/>
                <w:color w:val="auto"/>
              </w:rPr>
            </w:pPr>
          </w:p>
        </w:tc>
        <w:tc>
          <w:tcPr>
            <w:tcW w:w="6900" w:type="dxa"/>
            <w:vAlign w:val="bottom"/>
            <w:gridSpan w:val="3"/>
          </w:tcPr>
          <w:p>
            <w:pPr>
              <w:ind w:left="1460"/>
              <w:spacing w:after="0" w:line="145"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ANALOG DEVICES, INC.</w:t>
            </w: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2"/>
              </w:rPr>
              <w:t xml:space="preserve">electronically via e-mail or the Internet. </w:t>
            </w:r>
            <w:r>
              <w:rPr>
                <w:rFonts w:ascii="Arial" w:cs="Arial" w:eastAsia="Arial" w:hAnsi="Arial"/>
                <w:sz w:val="14"/>
                <w:szCs w:val="14"/>
                <w:b w:val="1"/>
                <w:bCs w:val="1"/>
                <w:color w:val="auto"/>
                <w:w w:val="92"/>
              </w:rPr>
              <w:t>To sign up for electronic delivery, please follow the</w:t>
            </w:r>
          </w:p>
        </w:tc>
        <w:tc>
          <w:tcPr>
            <w:tcW w:w="0" w:type="dxa"/>
            <w:vAlign w:val="bottom"/>
          </w:tcPr>
          <w:p>
            <w:pPr>
              <w:spacing w:after="0"/>
              <w:rPr>
                <w:sz w:val="1"/>
                <w:szCs w:val="1"/>
                <w:color w:val="auto"/>
              </w:rPr>
            </w:pPr>
          </w:p>
        </w:tc>
      </w:tr>
      <w:tr>
        <w:trPr>
          <w:trHeight w:val="95"/>
        </w:trPr>
        <w:tc>
          <w:tcPr>
            <w:tcW w:w="4000" w:type="dxa"/>
            <w:vAlign w:val="bottom"/>
            <w:vMerge w:val="continue"/>
          </w:tcPr>
          <w:p>
            <w:pPr>
              <w:spacing w:after="0"/>
              <w:rPr>
                <w:sz w:val="8"/>
                <w:szCs w:val="8"/>
                <w:color w:val="auto"/>
              </w:rPr>
            </w:pPr>
          </w:p>
        </w:tc>
        <w:tc>
          <w:tcPr>
            <w:tcW w:w="6900" w:type="dxa"/>
            <w:vAlign w:val="bottom"/>
            <w:gridSpan w:val="3"/>
            <w:vMerge w:val="restart"/>
          </w:tcPr>
          <w:p>
            <w:pPr>
              <w:ind w:left="1460"/>
              <w:spacing w:after="0" w:line="149" w:lineRule="exact"/>
              <w:rPr>
                <w:sz w:val="20"/>
                <w:szCs w:val="20"/>
                <w:color w:val="auto"/>
              </w:rPr>
            </w:pPr>
            <w:r>
              <w:rPr>
                <w:rFonts w:ascii="Arial" w:cs="Arial" w:eastAsia="Arial" w:hAnsi="Arial"/>
                <w:sz w:val="14"/>
                <w:szCs w:val="14"/>
                <w:b w:val="1"/>
                <w:bCs w:val="1"/>
                <w:color w:val="auto"/>
                <w:w w:val="97"/>
              </w:rPr>
              <w:t>instructions above to vote using the Internet and, when prompted, indicate that you</w:t>
            </w:r>
          </w:p>
        </w:tc>
        <w:tc>
          <w:tcPr>
            <w:tcW w:w="0" w:type="dxa"/>
            <w:vAlign w:val="bottom"/>
          </w:tcPr>
          <w:p>
            <w:pPr>
              <w:spacing w:after="0"/>
              <w:rPr>
                <w:sz w:val="1"/>
                <w:szCs w:val="1"/>
                <w:color w:val="auto"/>
              </w:rPr>
            </w:pPr>
          </w:p>
        </w:tc>
      </w:tr>
      <w:tr>
        <w:trPr>
          <w:trHeight w:val="54"/>
        </w:trPr>
        <w:tc>
          <w:tcPr>
            <w:tcW w:w="400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P.O. BOX 9106</w:t>
            </w:r>
          </w:p>
        </w:tc>
        <w:tc>
          <w:tcPr>
            <w:tcW w:w="6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000" w:type="dxa"/>
            <w:vAlign w:val="bottom"/>
            <w:vMerge w:val="continue"/>
          </w:tcPr>
          <w:p>
            <w:pPr>
              <w:spacing w:after="0"/>
              <w:rPr>
                <w:sz w:val="8"/>
                <w:szCs w:val="8"/>
                <w:color w:val="auto"/>
              </w:rPr>
            </w:pPr>
          </w:p>
        </w:tc>
        <w:tc>
          <w:tcPr>
            <w:tcW w:w="6900" w:type="dxa"/>
            <w:vAlign w:val="bottom"/>
            <w:gridSpan w:val="3"/>
            <w:vMerge w:val="restart"/>
          </w:tcPr>
          <w:p>
            <w:pPr>
              <w:ind w:left="1460"/>
              <w:spacing w:after="0"/>
              <w:rPr>
                <w:sz w:val="20"/>
                <w:szCs w:val="20"/>
                <w:color w:val="auto"/>
              </w:rPr>
            </w:pPr>
            <w:r>
              <w:rPr>
                <w:rFonts w:ascii="Arial" w:cs="Arial" w:eastAsia="Arial" w:hAnsi="Arial"/>
                <w:sz w:val="14"/>
                <w:szCs w:val="14"/>
                <w:b w:val="1"/>
                <w:bCs w:val="1"/>
                <w:color w:val="auto"/>
              </w:rPr>
              <w:t>agree to receive or access proxy materials electronically in future years.</w:t>
            </w:r>
          </w:p>
        </w:tc>
        <w:tc>
          <w:tcPr>
            <w:tcW w:w="0" w:type="dxa"/>
            <w:vAlign w:val="bottom"/>
          </w:tcPr>
          <w:p>
            <w:pPr>
              <w:spacing w:after="0"/>
              <w:rPr>
                <w:sz w:val="1"/>
                <w:szCs w:val="1"/>
                <w:color w:val="auto"/>
              </w:rPr>
            </w:pPr>
          </w:p>
        </w:tc>
      </w:tr>
      <w:tr>
        <w:trPr>
          <w:trHeight w:val="92"/>
        </w:trPr>
        <w:tc>
          <w:tcPr>
            <w:tcW w:w="400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ATTN: INVESTOR RELATIONS DEPT.</w:t>
            </w:r>
          </w:p>
        </w:tc>
        <w:tc>
          <w:tcPr>
            <w:tcW w:w="6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4000" w:type="dxa"/>
            <w:vAlign w:val="bottom"/>
            <w:vMerge w:val="continue"/>
          </w:tcPr>
          <w:p>
            <w:pPr>
              <w:spacing w:after="0"/>
              <w:rPr>
                <w:sz w:val="4"/>
                <w:szCs w:val="4"/>
                <w:color w:val="auto"/>
              </w:rPr>
            </w:pPr>
          </w:p>
        </w:tc>
        <w:tc>
          <w:tcPr>
            <w:tcW w:w="30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b w:val="1"/>
                <w:bCs w:val="1"/>
                <w:color w:val="auto"/>
              </w:rPr>
              <w:t>ONE TECHNOLOGY WAY</w:t>
            </w:r>
          </w:p>
        </w:tc>
        <w:tc>
          <w:tcPr>
            <w:tcW w:w="302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VOTE BY INTERNET -</w:t>
            </w:r>
          </w:p>
        </w:tc>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89"/>
              </w:rPr>
              <w:t>www.proxyvote.com</w:t>
            </w: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line="125" w:lineRule="exact"/>
              <w:rPr>
                <w:sz w:val="20"/>
                <w:szCs w:val="20"/>
                <w:color w:val="auto"/>
              </w:rPr>
            </w:pPr>
            <w:r>
              <w:rPr>
                <w:rFonts w:ascii="Arial" w:cs="Arial" w:eastAsia="Arial" w:hAnsi="Arial"/>
                <w:sz w:val="14"/>
                <w:szCs w:val="14"/>
                <w:b w:val="1"/>
                <w:bCs w:val="1"/>
                <w:color w:val="auto"/>
              </w:rPr>
              <w:t>NORWOOD, MA 02062-9106</w:t>
            </w:r>
          </w:p>
        </w:tc>
        <w:tc>
          <w:tcPr>
            <w:tcW w:w="3020" w:type="dxa"/>
            <w:vAlign w:val="bottom"/>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00" w:type="dxa"/>
            <w:vAlign w:val="bottom"/>
          </w:tcPr>
          <w:p>
            <w:pPr>
              <w:spacing w:after="0"/>
              <w:rPr>
                <w:sz w:val="10"/>
                <w:szCs w:val="10"/>
                <w:color w:val="auto"/>
              </w:rPr>
            </w:pPr>
          </w:p>
        </w:tc>
        <w:tc>
          <w:tcPr>
            <w:tcW w:w="6900" w:type="dxa"/>
            <w:vAlign w:val="bottom"/>
            <w:gridSpan w:val="3"/>
          </w:tcPr>
          <w:p>
            <w:pPr>
              <w:ind w:left="1460"/>
              <w:spacing w:after="0" w:line="123" w:lineRule="exact"/>
              <w:rPr>
                <w:sz w:val="20"/>
                <w:szCs w:val="20"/>
                <w:color w:val="auto"/>
              </w:rPr>
            </w:pPr>
            <w:r>
              <w:rPr>
                <w:rFonts w:ascii="Arial" w:cs="Arial" w:eastAsia="Arial" w:hAnsi="Arial"/>
                <w:sz w:val="14"/>
                <w:szCs w:val="14"/>
                <w:color w:val="auto"/>
                <w:w w:val="95"/>
              </w:rPr>
              <w:t>Use the Internet to transmit your voting instructions and for electronic delivery of information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4"/>
              </w:rPr>
              <w:t>up until 11:59 P.M. Eastern Time on March 7, 2017. Have your proxy card in hand when you</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rPr>
              <w:t>access the web site and follow the instructions to obtain your records and to create an</w:t>
            </w: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color w:val="auto"/>
              </w:rPr>
              <w:t>electronic voting instruction form.</w:t>
            </w:r>
          </w:p>
        </w:tc>
        <w:tc>
          <w:tcPr>
            <w:tcW w:w="0" w:type="dxa"/>
            <w:vAlign w:val="bottom"/>
          </w:tcPr>
          <w:p>
            <w:pPr>
              <w:spacing w:after="0"/>
              <w:rPr>
                <w:sz w:val="1"/>
                <w:szCs w:val="1"/>
                <w:color w:val="auto"/>
              </w:rPr>
            </w:pPr>
          </w:p>
        </w:tc>
      </w:tr>
      <w:tr>
        <w:trPr>
          <w:trHeight w:val="331"/>
        </w:trPr>
        <w:tc>
          <w:tcPr>
            <w:tcW w:w="4000" w:type="dxa"/>
            <w:vAlign w:val="bottom"/>
          </w:tcPr>
          <w:p>
            <w:pPr>
              <w:spacing w:after="0"/>
              <w:rPr>
                <w:sz w:val="24"/>
                <w:szCs w:val="24"/>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4"/>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9"/>
              </w:rPr>
              <w:t>Time on March 7, 2017. Have your proxy card in hand when you call and then follow the</w:t>
            </w: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color w:val="auto"/>
              </w:rPr>
              <w:t>instructions.</w:t>
            </w:r>
          </w:p>
        </w:tc>
        <w:tc>
          <w:tcPr>
            <w:tcW w:w="0" w:type="dxa"/>
            <w:vAlign w:val="bottom"/>
          </w:tcPr>
          <w:p>
            <w:pPr>
              <w:spacing w:after="0"/>
              <w:rPr>
                <w:sz w:val="1"/>
                <w:szCs w:val="1"/>
                <w:color w:val="auto"/>
              </w:rPr>
            </w:pPr>
          </w:p>
        </w:tc>
      </w:tr>
      <w:tr>
        <w:trPr>
          <w:trHeight w:val="331"/>
        </w:trPr>
        <w:tc>
          <w:tcPr>
            <w:tcW w:w="4000" w:type="dxa"/>
            <w:vAlign w:val="bottom"/>
          </w:tcPr>
          <w:p>
            <w:pPr>
              <w:spacing w:after="0"/>
              <w:rPr>
                <w:sz w:val="24"/>
                <w:szCs w:val="24"/>
                <w:color w:val="auto"/>
              </w:rPr>
            </w:pPr>
          </w:p>
        </w:tc>
        <w:tc>
          <w:tcPr>
            <w:tcW w:w="6900" w:type="dxa"/>
            <w:vAlign w:val="bottom"/>
            <w:gridSpan w:val="3"/>
          </w:tcPr>
          <w:p>
            <w:pPr>
              <w:ind w:left="146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900" w:type="dxa"/>
            <w:vAlign w:val="bottom"/>
            <w:gridSpan w:val="3"/>
          </w:tcPr>
          <w:p>
            <w:pPr>
              <w:ind w:left="1460"/>
              <w:spacing w:after="0" w:line="149" w:lineRule="exact"/>
              <w:rPr>
                <w:sz w:val="20"/>
                <w:szCs w:val="20"/>
                <w:color w:val="auto"/>
              </w:rPr>
            </w:pPr>
            <w:r>
              <w:rPr>
                <w:rFonts w:ascii="Arial" w:cs="Arial" w:eastAsia="Arial" w:hAnsi="Arial"/>
                <w:sz w:val="14"/>
                <w:szCs w:val="14"/>
                <w:color w:val="auto"/>
                <w:w w:val="96"/>
              </w:rPr>
              <w:t>provided or return it to Vote Processing, c/o Broadridge, 51 Mercedes Way, Edgewood, NY</w:t>
            </w: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3020" w:type="dxa"/>
            <w:vAlign w:val="bottom"/>
          </w:tcPr>
          <w:p>
            <w:pPr>
              <w:ind w:left="1460"/>
              <w:spacing w:after="0"/>
              <w:rPr>
                <w:sz w:val="20"/>
                <w:szCs w:val="20"/>
                <w:color w:val="auto"/>
              </w:rPr>
            </w:pPr>
            <w:r>
              <w:rPr>
                <w:rFonts w:ascii="Arial" w:cs="Arial" w:eastAsia="Arial" w:hAnsi="Arial"/>
                <w:sz w:val="14"/>
                <w:szCs w:val="14"/>
                <w:color w:val="auto"/>
              </w:rPr>
              <w:t>11717.</w:t>
            </w:r>
          </w:p>
        </w:tc>
        <w:tc>
          <w:tcPr>
            <w:tcW w:w="12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389255</wp:posOffset>
            </wp:positionH>
            <wp:positionV relativeFrom="page">
              <wp:posOffset>217805</wp:posOffset>
            </wp:positionV>
            <wp:extent cx="1397635"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397635" cy="41148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00" w:type="dxa"/>
            <w:vAlign w:val="bottom"/>
          </w:tcPr>
          <w:p>
            <w:pPr>
              <w:ind w:left="6940"/>
              <w:spacing w:after="0"/>
              <w:rPr>
                <w:sz w:val="20"/>
                <w:szCs w:val="20"/>
                <w:color w:val="auto"/>
              </w:rPr>
            </w:pPr>
            <w:r>
              <w:rPr>
                <w:rFonts w:ascii="Arial" w:cs="Arial" w:eastAsia="Arial" w:hAnsi="Arial"/>
                <w:sz w:val="14"/>
                <w:szCs w:val="14"/>
                <w:color w:val="auto"/>
              </w:rPr>
              <w:t>E16116-P85056</w:t>
            </w:r>
          </w:p>
        </w:tc>
        <w:tc>
          <w:tcPr>
            <w:tcW w:w="322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43"/>
        </w:trPr>
        <w:tc>
          <w:tcPr>
            <w:tcW w:w="8200" w:type="dxa"/>
            <w:vAlign w:val="bottom"/>
            <w:vMerge w:val="restart"/>
          </w:tcPr>
          <w:p>
            <w:pPr>
              <w:ind w:left="35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2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49"/>
        </w:trPr>
        <w:tc>
          <w:tcPr>
            <w:tcW w:w="8200" w:type="dxa"/>
            <w:vAlign w:val="bottom"/>
            <w:vMerge w:val="continue"/>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76465" cy="42919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6465" cy="4291965"/>
                    </a:xfrm>
                    <a:prstGeom prst="rect">
                      <a:avLst/>
                    </a:prstGeom>
                    <a:noFill/>
                  </pic:spPr>
                </pic:pic>
              </a:graphicData>
            </a:graphic>
          </wp:anchor>
        </w:drawing>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ANALOG DEVICES, INC.</w:t>
      </w:r>
    </w:p>
    <w:p>
      <w:pPr>
        <w:spacing w:after="0" w:line="123" w:lineRule="exact"/>
        <w:rPr>
          <w:sz w:val="20"/>
          <w:szCs w:val="20"/>
          <w:color w:val="auto"/>
        </w:rPr>
      </w:pPr>
    </w:p>
    <w:p>
      <w:pPr>
        <w:ind w:left="320" w:right="1880"/>
        <w:spacing w:after="0" w:line="297" w:lineRule="auto"/>
        <w:rPr>
          <w:sz w:val="20"/>
          <w:szCs w:val="20"/>
          <w:color w:val="auto"/>
        </w:rPr>
      </w:pPr>
      <w:r>
        <w:rPr>
          <w:rFonts w:ascii="Arial" w:cs="Arial" w:eastAsia="Arial" w:hAnsi="Arial"/>
          <w:sz w:val="13"/>
          <w:szCs w:val="13"/>
          <w:color w:val="auto"/>
        </w:rPr>
        <w:t xml:space="preserve">The shares represented by this proxy when properly executed will be voted in the manner directed by the undersigned shareholder. </w:t>
      </w:r>
      <w:r>
        <w:rPr>
          <w:rFonts w:ascii="Arial" w:cs="Arial" w:eastAsia="Arial" w:hAnsi="Arial"/>
          <w:sz w:val="13"/>
          <w:szCs w:val="13"/>
          <w:b w:val="1"/>
          <w:bCs w:val="1"/>
          <w:color w:val="auto"/>
        </w:rPr>
        <w:t>If no direction is made, this</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proxy will be voted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the election of each of the nominees for Director,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Proposals 2 and 4, and every </w:t>
      </w:r>
      <w:r>
        <w:rPr>
          <w:rFonts w:ascii="Arial" w:cs="Arial" w:eastAsia="Arial" w:hAnsi="Arial"/>
          <w:sz w:val="13"/>
          <w:szCs w:val="13"/>
          <w:b w:val="1"/>
          <w:bCs w:val="1"/>
          <w:u w:val="single" w:color="auto"/>
          <w:color w:val="auto"/>
        </w:rPr>
        <w:t>1 Year</w:t>
      </w:r>
      <w:r>
        <w:rPr>
          <w:rFonts w:ascii="Arial" w:cs="Arial" w:eastAsia="Arial" w:hAnsi="Arial"/>
          <w:sz w:val="13"/>
          <w:szCs w:val="13"/>
          <w:b w:val="1"/>
          <w:bCs w:val="1"/>
          <w:color w:val="auto"/>
        </w:rPr>
        <w:t xml:space="preserve"> on Proposal 3.</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and 4, and every </w:t>
      </w:r>
      <w:r>
        <w:rPr>
          <w:rFonts w:ascii="Arial" w:cs="Arial" w:eastAsia="Arial" w:hAnsi="Arial"/>
          <w:sz w:val="14"/>
          <w:szCs w:val="14"/>
          <w:b w:val="1"/>
          <w:bCs w:val="1"/>
          <w:u w:val="single" w:color="auto"/>
          <w:color w:val="auto"/>
        </w:rPr>
        <w:t>1 Year</w:t>
      </w:r>
      <w:r>
        <w:rPr>
          <w:rFonts w:ascii="Arial" w:cs="Arial" w:eastAsia="Arial" w:hAnsi="Arial"/>
          <w:sz w:val="14"/>
          <w:szCs w:val="14"/>
          <w:b w:val="1"/>
          <w:bCs w:val="1"/>
          <w:color w:val="auto"/>
        </w:rPr>
        <w:t xml:space="preserve"> on Proposal 3.</w:t>
      </w:r>
    </w:p>
    <w:p>
      <w:pPr>
        <w:spacing w:after="0" w:line="46" w:lineRule="exact"/>
        <w:rPr>
          <w:sz w:val="20"/>
          <w:szCs w:val="20"/>
          <w:color w:val="auto"/>
        </w:rPr>
      </w:pPr>
    </w:p>
    <w:p>
      <w:pPr>
        <w:ind w:left="620" w:right="6240" w:hanging="301"/>
        <w:spacing w:after="0" w:line="253" w:lineRule="auto"/>
        <w:tabs>
          <w:tab w:leader="none" w:pos="6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 elect the following nine nominees to our Board of Directors, each for a term expiring at the next Annual Meeting of Shareholders.</w:t>
      </w:r>
    </w:p>
    <w:p>
      <w:pPr>
        <w:sectPr>
          <w:pgSz w:w="11900" w:h="16838" w:orient="portrait"/>
          <w:cols w:equalWidth="0" w:num="1">
            <w:col w:w="11420"/>
          </w:cols>
          <w:pgMar w:left="240" w:top="419" w:right="239" w:bottom="1440" w:gutter="0" w:footer="0" w:header="0"/>
        </w:sectPr>
      </w:pPr>
    </w:p>
    <w:p>
      <w:pPr>
        <w:spacing w:after="0" w:line="197"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Nominees</w:t>
      </w:r>
    </w:p>
    <w:p>
      <w:pPr>
        <w:spacing w:after="0" w:line="100"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4"/>
          <w:szCs w:val="14"/>
          <w:color w:val="auto"/>
        </w:rPr>
        <w:t>1a.</w:t>
        <w:tab/>
        <w:t>Ray Stata</w:t>
      </w:r>
    </w:p>
    <w:p>
      <w:pPr>
        <w:spacing w:after="0" w:line="123"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4"/>
          <w:szCs w:val="14"/>
          <w:color w:val="auto"/>
        </w:rPr>
        <w:t>1b.</w:t>
      </w:r>
      <w:r>
        <w:rPr>
          <w:sz w:val="20"/>
          <w:szCs w:val="20"/>
          <w:color w:val="auto"/>
        </w:rPr>
        <w:tab/>
      </w:r>
      <w:r>
        <w:rPr>
          <w:rFonts w:ascii="Arial" w:cs="Arial" w:eastAsia="Arial" w:hAnsi="Arial"/>
          <w:sz w:val="12"/>
          <w:szCs w:val="12"/>
          <w:color w:val="auto"/>
        </w:rPr>
        <w:t>Vincent Roche</w:t>
      </w:r>
    </w:p>
    <w:p>
      <w:pPr>
        <w:spacing w:after="0" w:line="123"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4"/>
          <w:szCs w:val="14"/>
          <w:color w:val="auto"/>
        </w:rPr>
        <w:t>1c.</w:t>
        <w:tab/>
        <w:t>James A. Champy</w:t>
      </w:r>
    </w:p>
    <w:p>
      <w:pPr>
        <w:spacing w:after="0" w:line="123"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4"/>
          <w:szCs w:val="14"/>
          <w:color w:val="auto"/>
        </w:rPr>
        <w:t>1d.</w:t>
      </w:r>
      <w:r>
        <w:rPr>
          <w:sz w:val="20"/>
          <w:szCs w:val="20"/>
          <w:color w:val="auto"/>
        </w:rPr>
        <w:tab/>
      </w:r>
      <w:r>
        <w:rPr>
          <w:rFonts w:ascii="Arial" w:cs="Arial" w:eastAsia="Arial" w:hAnsi="Arial"/>
          <w:sz w:val="12"/>
          <w:szCs w:val="12"/>
          <w:color w:val="auto"/>
        </w:rPr>
        <w:t>Bruce R. Evans</w:t>
      </w:r>
    </w:p>
    <w:p>
      <w:pPr>
        <w:spacing w:after="0" w:line="123"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4"/>
          <w:szCs w:val="14"/>
          <w:color w:val="auto"/>
        </w:rPr>
        <w:t>1e.</w:t>
        <w:tab/>
        <w:t>Edward H. Frank</w:t>
      </w:r>
    </w:p>
    <w:p>
      <w:pPr>
        <w:spacing w:after="0" w:line="123"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4"/>
          <w:szCs w:val="14"/>
          <w:color w:val="auto"/>
        </w:rPr>
        <w:t>1f.</w:t>
        <w:tab/>
        <w:t>Mark M. Little</w:t>
      </w:r>
    </w:p>
    <w:p>
      <w:pPr>
        <w:spacing w:after="0" w:line="123"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4"/>
          <w:szCs w:val="14"/>
          <w:color w:val="auto"/>
        </w:rPr>
        <w:t>1g.</w:t>
      </w:r>
      <w:r>
        <w:rPr>
          <w:sz w:val="20"/>
          <w:szCs w:val="20"/>
          <w:color w:val="auto"/>
        </w:rPr>
        <w:tab/>
      </w:r>
      <w:r>
        <w:rPr>
          <w:rFonts w:ascii="Arial" w:cs="Arial" w:eastAsia="Arial" w:hAnsi="Arial"/>
          <w:sz w:val="13"/>
          <w:szCs w:val="13"/>
          <w:color w:val="auto"/>
        </w:rPr>
        <w:t>Neil Novich</w:t>
      </w:r>
    </w:p>
    <w:p>
      <w:pPr>
        <w:spacing w:after="0" w:line="123"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4"/>
          <w:szCs w:val="14"/>
          <w:color w:val="auto"/>
        </w:rPr>
        <w:t>1h.</w:t>
      </w:r>
      <w:r>
        <w:rPr>
          <w:sz w:val="20"/>
          <w:szCs w:val="20"/>
          <w:color w:val="auto"/>
        </w:rPr>
        <w:tab/>
      </w:r>
      <w:r>
        <w:rPr>
          <w:rFonts w:ascii="Arial" w:cs="Arial" w:eastAsia="Arial" w:hAnsi="Arial"/>
          <w:sz w:val="13"/>
          <w:szCs w:val="13"/>
          <w:color w:val="auto"/>
        </w:rPr>
        <w:t>Kenton J. Sicchitano</w:t>
      </w:r>
    </w:p>
    <w:p>
      <w:pPr>
        <w:spacing w:after="0" w:line="123"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4"/>
          <w:szCs w:val="14"/>
          <w:color w:val="auto"/>
        </w:rPr>
        <w:t>1i.</w:t>
        <w:tab/>
        <w:t>Lisa T. Su</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For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Abstain</w:t>
            </w:r>
          </w:p>
        </w:tc>
      </w:tr>
      <w:tr>
        <w:trPr>
          <w:trHeight w:val="286"/>
        </w:trPr>
        <w:tc>
          <w:tcPr>
            <w:tcW w:w="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6"/>
          </w:tcPr>
          <w:p>
            <w:pPr>
              <w:spacing w:after="0"/>
              <w:rPr>
                <w:sz w:val="20"/>
                <w:szCs w:val="20"/>
                <w:color w:val="auto"/>
              </w:rPr>
            </w:pPr>
            <w:r>
              <w:rPr>
                <w:rFonts w:ascii="Arial" w:cs="Arial" w:eastAsia="Arial" w:hAnsi="Arial"/>
                <w:sz w:val="14"/>
                <w:szCs w:val="14"/>
                <w:b w:val="1"/>
                <w:bCs w:val="1"/>
                <w:color w:val="auto"/>
                <w:w w:val="96"/>
              </w:rPr>
              <w:t>The Board of Directors recommends a vote FOR Proposal</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19"/>
        </w:trPr>
        <w:tc>
          <w:tcPr>
            <w:tcW w:w="3260" w:type="dxa"/>
            <w:vAlign w:val="bottom"/>
            <w:gridSpan w:val="5"/>
          </w:tcPr>
          <w:p>
            <w:pPr>
              <w:spacing w:after="0"/>
              <w:rPr>
                <w:sz w:val="20"/>
                <w:szCs w:val="20"/>
                <w:color w:val="auto"/>
              </w:rPr>
            </w:pPr>
            <w:r>
              <w:rPr>
                <w:rFonts w:ascii="Arial" w:cs="Arial" w:eastAsia="Arial" w:hAnsi="Arial"/>
                <w:sz w:val="14"/>
                <w:szCs w:val="14"/>
                <w:color w:val="auto"/>
                <w:w w:val="96"/>
              </w:rPr>
              <w:t>2)   To approve, by non-binding “say-on-pay” vote, the</w:t>
            </w:r>
          </w:p>
        </w:tc>
        <w:tc>
          <w:tcPr>
            <w:tcW w:w="460" w:type="dxa"/>
            <w:vAlign w:val="bottom"/>
          </w:tcPr>
          <w:p>
            <w:pPr>
              <w:spacing w:after="0"/>
              <w:rPr>
                <w:sz w:val="19"/>
                <w:szCs w:val="19"/>
                <w:color w:val="auto"/>
              </w:rPr>
            </w:pP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3260" w:type="dxa"/>
            <w:vAlign w:val="bottom"/>
            <w:gridSpan w:val="5"/>
          </w:tcPr>
          <w:p>
            <w:pPr>
              <w:ind w:left="300"/>
              <w:spacing w:after="0" w:line="143" w:lineRule="exact"/>
              <w:rPr>
                <w:sz w:val="20"/>
                <w:szCs w:val="20"/>
                <w:color w:val="auto"/>
              </w:rPr>
            </w:pPr>
            <w:r>
              <w:rPr>
                <w:rFonts w:ascii="Arial" w:cs="Arial" w:eastAsia="Arial" w:hAnsi="Arial"/>
                <w:sz w:val="14"/>
                <w:szCs w:val="14"/>
                <w:color w:val="auto"/>
                <w:w w:val="95"/>
              </w:rPr>
              <w:t>compensation of our named executive officers, as</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6"/>
          </w:tcPr>
          <w:p>
            <w:pPr>
              <w:ind w:left="300"/>
              <w:spacing w:after="0" w:line="149" w:lineRule="exact"/>
              <w:rPr>
                <w:sz w:val="20"/>
                <w:szCs w:val="20"/>
                <w:color w:val="auto"/>
              </w:rPr>
            </w:pPr>
            <w:r>
              <w:rPr>
                <w:rFonts w:ascii="Arial" w:cs="Arial" w:eastAsia="Arial" w:hAnsi="Arial"/>
                <w:sz w:val="14"/>
                <w:szCs w:val="14"/>
                <w:color w:val="auto"/>
                <w:w w:val="96"/>
              </w:rPr>
              <w:t>described in the Compensation Discussion and Analysis,</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5"/>
          </w:tcPr>
          <w:p>
            <w:pPr>
              <w:ind w:left="300"/>
              <w:spacing w:after="0" w:line="149" w:lineRule="exact"/>
              <w:rPr>
                <w:sz w:val="20"/>
                <w:szCs w:val="20"/>
                <w:color w:val="auto"/>
              </w:rPr>
            </w:pPr>
            <w:r>
              <w:rPr>
                <w:rFonts w:ascii="Arial" w:cs="Arial" w:eastAsia="Arial" w:hAnsi="Arial"/>
                <w:sz w:val="14"/>
                <w:szCs w:val="14"/>
                <w:color w:val="auto"/>
                <w:w w:val="93"/>
              </w:rPr>
              <w:t>executive compensation tables and accompanying</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60" w:type="dxa"/>
            <w:vAlign w:val="bottom"/>
            <w:gridSpan w:val="5"/>
          </w:tcPr>
          <w:p>
            <w:pPr>
              <w:ind w:left="300"/>
              <w:spacing w:after="0"/>
              <w:rPr>
                <w:sz w:val="20"/>
                <w:szCs w:val="20"/>
                <w:color w:val="auto"/>
              </w:rPr>
            </w:pPr>
            <w:r>
              <w:rPr>
                <w:rFonts w:ascii="Arial" w:cs="Arial" w:eastAsia="Arial" w:hAnsi="Arial"/>
                <w:sz w:val="14"/>
                <w:szCs w:val="14"/>
                <w:color w:val="auto"/>
              </w:rPr>
              <w:t>narrative disclosures in our proxy statement.</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3260" w:type="dxa"/>
            <w:vAlign w:val="bottom"/>
            <w:gridSpan w:val="5"/>
          </w:tcPr>
          <w:p>
            <w:pPr>
              <w:spacing w:after="0"/>
              <w:rPr>
                <w:sz w:val="20"/>
                <w:szCs w:val="20"/>
                <w:color w:val="auto"/>
              </w:rPr>
            </w:pPr>
            <w:r>
              <w:rPr>
                <w:rFonts w:ascii="Arial" w:cs="Arial" w:eastAsia="Arial" w:hAnsi="Arial"/>
                <w:sz w:val="14"/>
                <w:szCs w:val="14"/>
                <w:b w:val="1"/>
                <w:bCs w:val="1"/>
                <w:color w:val="auto"/>
              </w:rPr>
              <w:t>The Board of Directors recommends a vote for</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1 Year</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2 Years</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3 Years</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58"/>
        </w:trPr>
        <w:tc>
          <w:tcPr>
            <w:tcW w:w="326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every 1 Year on Proposal 3.</w:t>
            </w:r>
          </w:p>
        </w:tc>
        <w:tc>
          <w:tcPr>
            <w:tcW w:w="4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line="20" w:lineRule="exact"/>
              <w:rPr>
                <w:sz w:val="1"/>
                <w:szCs w:val="1"/>
                <w:color w:val="auto"/>
              </w:rPr>
            </w:pPr>
          </w:p>
        </w:tc>
      </w:tr>
      <w:tr>
        <w:trPr>
          <w:trHeight w:val="237"/>
        </w:trPr>
        <w:tc>
          <w:tcPr>
            <w:tcW w:w="3260" w:type="dxa"/>
            <w:vAlign w:val="bottom"/>
            <w:gridSpan w:val="5"/>
          </w:tcPr>
          <w:p>
            <w:pPr>
              <w:spacing w:after="0"/>
              <w:rPr>
                <w:sz w:val="20"/>
                <w:szCs w:val="20"/>
                <w:color w:val="auto"/>
              </w:rPr>
            </w:pPr>
            <w:r>
              <w:rPr>
                <w:rFonts w:ascii="Arial" w:cs="Arial" w:eastAsia="Arial" w:hAnsi="Arial"/>
                <w:sz w:val="14"/>
                <w:szCs w:val="14"/>
                <w:color w:val="auto"/>
              </w:rPr>
              <w:t>3)   To vote on a non-binding proposal regarding the</w:t>
            </w:r>
          </w:p>
        </w:tc>
        <w:tc>
          <w:tcPr>
            <w:tcW w:w="4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3260" w:type="dxa"/>
            <w:vAlign w:val="bottom"/>
            <w:gridSpan w:val="5"/>
          </w:tcPr>
          <w:p>
            <w:pPr>
              <w:ind w:left="300"/>
              <w:spacing w:after="0" w:line="143" w:lineRule="exact"/>
              <w:rPr>
                <w:sz w:val="20"/>
                <w:szCs w:val="20"/>
                <w:color w:val="auto"/>
              </w:rPr>
            </w:pPr>
            <w:r>
              <w:rPr>
                <w:rFonts w:ascii="Arial" w:cs="Arial" w:eastAsia="Arial" w:hAnsi="Arial"/>
                <w:sz w:val="14"/>
                <w:szCs w:val="14"/>
                <w:color w:val="auto"/>
              </w:rPr>
              <w:t>frequency of future advisory votes on the</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5"/>
          </w:tcPr>
          <w:p>
            <w:pPr>
              <w:ind w:left="300"/>
              <w:spacing w:after="0" w:line="149" w:lineRule="exact"/>
              <w:rPr>
                <w:sz w:val="20"/>
                <w:szCs w:val="20"/>
                <w:color w:val="auto"/>
              </w:rPr>
            </w:pPr>
            <w:r>
              <w:rPr>
                <w:rFonts w:ascii="Arial" w:cs="Arial" w:eastAsia="Arial" w:hAnsi="Arial"/>
                <w:sz w:val="14"/>
                <w:szCs w:val="14"/>
                <w:color w:val="auto"/>
              </w:rPr>
              <w:t>compensation of our named executive officers</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60" w:type="dxa"/>
            <w:vAlign w:val="bottom"/>
            <w:gridSpan w:val="5"/>
          </w:tcPr>
          <w:p>
            <w:pPr>
              <w:ind w:left="300"/>
              <w:spacing w:after="0"/>
              <w:rPr>
                <w:sz w:val="20"/>
                <w:szCs w:val="20"/>
                <w:color w:val="auto"/>
              </w:rPr>
            </w:pPr>
            <w:r>
              <w:rPr>
                <w:rFonts w:ascii="Arial" w:cs="Arial" w:eastAsia="Arial" w:hAnsi="Arial"/>
                <w:sz w:val="14"/>
                <w:szCs w:val="14"/>
                <w:color w:val="auto"/>
              </w:rPr>
              <w:t>(every 1 Year, 2 Years or 3 Years).</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3720" w:type="dxa"/>
            <w:vAlign w:val="bottom"/>
            <w:gridSpan w:val="6"/>
          </w:tcPr>
          <w:p>
            <w:pPr>
              <w:spacing w:after="0"/>
              <w:rPr>
                <w:sz w:val="20"/>
                <w:szCs w:val="20"/>
                <w:color w:val="auto"/>
              </w:rPr>
            </w:pPr>
            <w:r>
              <w:rPr>
                <w:rFonts w:ascii="Arial" w:cs="Arial" w:eastAsia="Arial" w:hAnsi="Arial"/>
                <w:sz w:val="14"/>
                <w:szCs w:val="14"/>
                <w:b w:val="1"/>
                <w:bCs w:val="1"/>
                <w:color w:val="auto"/>
                <w:w w:val="96"/>
              </w:rPr>
              <w:t>The Board of Directors recommends a vote FOR Proposal</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20"/>
                <w:szCs w:val="20"/>
                <w:color w:val="auto"/>
              </w:rPr>
            </w:pPr>
            <w:r>
              <w:rPr>
                <w:rFonts w:ascii="Arial" w:cs="Arial" w:eastAsia="Arial" w:hAnsi="Arial"/>
                <w:sz w:val="14"/>
                <w:szCs w:val="14"/>
                <w:b w:val="1"/>
                <w:bCs w:val="1"/>
                <w:color w:val="auto"/>
              </w:rPr>
              <w:t>4.</w:t>
            </w:r>
          </w:p>
        </w:tc>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19"/>
        </w:trPr>
        <w:tc>
          <w:tcPr>
            <w:tcW w:w="3720" w:type="dxa"/>
            <w:vAlign w:val="bottom"/>
            <w:gridSpan w:val="6"/>
          </w:tcPr>
          <w:p>
            <w:pPr>
              <w:spacing w:after="0"/>
              <w:rPr>
                <w:sz w:val="20"/>
                <w:szCs w:val="20"/>
                <w:color w:val="auto"/>
              </w:rPr>
            </w:pPr>
            <w:r>
              <w:rPr>
                <w:rFonts w:ascii="Arial" w:cs="Arial" w:eastAsia="Arial" w:hAnsi="Arial"/>
                <w:sz w:val="14"/>
                <w:szCs w:val="14"/>
                <w:color w:val="auto"/>
              </w:rPr>
              <w:t>4)   To ratify the selection of Ernst &amp; Young LLP as our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5"/>
        </w:trPr>
        <w:tc>
          <w:tcPr>
            <w:tcW w:w="3720" w:type="dxa"/>
            <w:vAlign w:val="bottom"/>
            <w:gridSpan w:val="6"/>
          </w:tcPr>
          <w:p>
            <w:pPr>
              <w:ind w:left="300"/>
              <w:spacing w:after="0" w:line="155" w:lineRule="exact"/>
              <w:rPr>
                <w:sz w:val="20"/>
                <w:szCs w:val="20"/>
                <w:color w:val="auto"/>
              </w:rPr>
            </w:pPr>
            <w:r>
              <w:rPr>
                <w:rFonts w:ascii="Arial" w:cs="Arial" w:eastAsia="Arial" w:hAnsi="Arial"/>
                <w:sz w:val="14"/>
                <w:szCs w:val="14"/>
                <w:color w:val="auto"/>
              </w:rPr>
              <w:t>independent registered public accounting firm for the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4"/>
          <w:szCs w:val="14"/>
          <w:color w:val="auto"/>
        </w:rPr>
        <w:t>2017 fiscal year.</w:t>
      </w:r>
    </w:p>
    <w:p>
      <w:pPr>
        <w:spacing w:after="0" w:line="200" w:lineRule="exact"/>
        <w:rPr>
          <w:sz w:val="20"/>
          <w:szCs w:val="20"/>
          <w:color w:val="auto"/>
        </w:rPr>
      </w:pPr>
    </w:p>
    <w:p>
      <w:pPr>
        <w:sectPr>
          <w:pgSz w:w="11900" w:h="16838" w:orient="portrait"/>
          <w:cols w:equalWidth="0" w:num="3">
            <w:col w:w="3160" w:space="720"/>
            <w:col w:w="1600" w:space="380"/>
            <w:col w:w="5560"/>
          </w:cols>
          <w:pgMar w:left="240" w:top="419" w:right="2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340" w:right="1900"/>
        <w:spacing w:after="0" w:line="238" w:lineRule="auto"/>
        <w:rPr>
          <w:sz w:val="20"/>
          <w:szCs w:val="20"/>
          <w:color w:val="auto"/>
        </w:rPr>
      </w:pPr>
      <w:r>
        <w:rPr>
          <w:rFonts w:ascii="Arial" w:cs="Arial" w:eastAsia="Arial" w:hAnsi="Arial"/>
          <w:sz w:val="14"/>
          <w:szCs w:val="14"/>
          <w:color w:val="auto"/>
        </w:rPr>
        <w:t>Please sign exactly as your name(s) appear(s) on this card. When signing as attorney, executor, administrator, or other fiduciary, please give your full title.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tabs>
          <w:tab w:leader="none" w:pos="3460" w:val="left"/>
          <w:tab w:leader="none" w:pos="5740" w:val="left"/>
          <w:tab w:leader="none" w:pos="89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V.1.1</w:t>
      </w:r>
    </w:p>
    <w:p>
      <w:pPr>
        <w:sectPr>
          <w:pgSz w:w="11900" w:h="16838" w:orient="portrait"/>
          <w:cols w:equalWidth="0" w:num="1">
            <w:col w:w="11420"/>
          </w:cols>
          <w:pgMar w:left="240" w:top="419" w:right="239" w:bottom="1440" w:gutter="0" w:footer="0" w:header="0"/>
          <w:type w:val="continuous"/>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E16117-P85056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40640</wp:posOffset>
            </wp:positionV>
            <wp:extent cx="7263765" cy="3576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35763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ANALOG DEVICES, INC.</w:t>
      </w:r>
    </w:p>
    <w:p>
      <w:pPr>
        <w:spacing w:after="0" w:line="266"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Annual Meeting of Shareholders - March 8, 2017 9:00 AM</w:t>
      </w:r>
    </w:p>
    <w:p>
      <w:pPr>
        <w:spacing w:after="0" w:line="266"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undersigned revokes all previous proxies and hereby appoints Ray Stata, Vincent Roche and Margaret K. Seif, or any of them, as proxies, each with the power to appoint his or her substitute, and hereby authorizes them to represent and to vote, as designated on the reverse side of this proxy card, all of the shares of common stock of ANALOG DEVICES, INC. that the undersigned is entitled to vote at the Annual Meeting of Shareholders to be held at 9:00 AM, Eastern Time on March 8, 2017, at Analog Devices, Inc., One Technology Way, Norwood, MA 02062, and any adjournment, postponement, continuation or rescheduling thereof.</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 or any postponement or adjournment thereof.</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211"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Unless voting the shares over the Internet or by telephone, please fill in, date, sign and mail this proxy card promptly using the enclosed envelope.</w:t>
      </w:r>
    </w:p>
    <w:p>
      <w:pPr>
        <w:spacing w:after="0" w:line="28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V.1.1</w:t>
      </w:r>
    </w:p>
    <w:sectPr>
      <w:pgSz w:w="11900" w:h="16838" w:orient="portrait"/>
      <w:cols w:equalWidth="0" w:num="1">
        <w:col w:w="11080"/>
      </w:cols>
      <w:pgMar w:left="58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2)"/>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bullet"/>
      <w:start w:val="1"/>
    </w:lvl>
  </w:abstractNum>
  <w:abstractNum w:abstractNumId="8">
    <w:nsid w:val="5072367"/>
    <w:multiLevelType w:val="hybridMultilevel"/>
    <w:lvl w:ilvl="0">
      <w:lvlJc w:val="left"/>
      <w:lvlText w:val="2"/>
      <w:numFmt w:val="bullet"/>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3"/>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2"/>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4"/>
    </w:lvl>
  </w:abstractNum>
  <w:abstractNum w:abstractNumId="24">
    <w:nsid w:val="725A06FB"/>
    <w:multiLevelType w:val="hybridMultilevel"/>
    <w:lvl w:ilvl="0">
      <w:lvlJc w:val="left"/>
      <w:lvlText w:val="(%1)"/>
      <w:numFmt w:val="decimal"/>
      <w:start w:val="5"/>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bullet"/>
      <w:start w:val="1"/>
    </w:lvl>
  </w:abstractNum>
  <w:abstractNum w:abstractNumId="30">
    <w:nsid w:val="6DE91B18"/>
    <w:multiLevelType w:val="hybridMultilevel"/>
    <w:lvl w:ilvl="0">
      <w:lvlJc w:val="left"/>
      <w:lvlText w:val="2"/>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3"/>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decimal"/>
      <w:start w:val="1"/>
    </w:lvl>
    <w:lvl w:ilvl="1">
      <w:lvlJc w:val="left"/>
      <w:lvlText w:val="(%2)"/>
      <w:numFmt w:val="lowerLetter"/>
      <w:start w:val="2"/>
    </w:lvl>
  </w:abstractNum>
  <w:abstractNum w:abstractNumId="42">
    <w:nsid w:val="70C6A529"/>
    <w:multiLevelType w:val="hybridMultilevel"/>
    <w:lvl w:ilvl="0">
      <w:lvlJc w:val="left"/>
      <w:lvlText w:val="(%1)"/>
      <w:numFmt w:val="decimal"/>
      <w:start w:val="7"/>
    </w:lvl>
    <w:lvl w:ilvl="1">
      <w:lvlJc w:val="left"/>
      <w:lvlText w:val="%2"/>
      <w:numFmt w:val="lowerLetter"/>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2"/>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2"/>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4"/>
    </w:lvl>
  </w:abstractNum>
  <w:abstractNum w:abstractNumId="60">
    <w:nsid w:val="61574095"/>
    <w:multiLevelType w:val="hybridMultilevel"/>
    <w:lvl w:ilvl="0">
      <w:lvlJc w:val="left"/>
      <w:lvlText w:val="(%1)"/>
      <w:numFmt w:val="decimal"/>
      <w:start w:val="5"/>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2019-12-05T01:19:43Z</dcterms:created>
  <dcterms:modified xsi:type="dcterms:W3CDTF">2019-12-05T01:19:43Z</dcterms:modified>
</cp:coreProperties>
</file>