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1,750,000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9,050,000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9,050,000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rPr>
              <w:t>See page 2</w:t>
            </w:r>
          </w:p>
        </w:tc>
        <w:tc>
          <w:tcPr>
            <w:tcW w:w="21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05"/>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w w:val="99"/>
              </w:rPr>
              <w:t>Capital Research</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Global Investors is</w:t>
            </w:r>
          </w:p>
        </w:tc>
        <w:tc>
          <w:tcPr>
            <w:tcW w:w="3300" w:type="dxa"/>
            <w:vAlign w:val="bottom"/>
          </w:tcPr>
          <w:p>
            <w:pPr>
              <w:ind w:left="40"/>
              <w:spacing w:after="0"/>
              <w:rPr>
                <w:sz w:val="20"/>
                <w:szCs w:val="20"/>
                <w:color w:val="auto"/>
              </w:rPr>
            </w:pPr>
            <w:r>
              <w:rPr>
                <w:rFonts w:ascii="Courier New" w:cs="Courier New" w:eastAsia="Courier New" w:hAnsi="Courier New"/>
                <w:sz w:val="18"/>
                <w:szCs w:val="18"/>
                <w:color w:val="auto"/>
              </w:rPr>
              <w:t>deemed to be the</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beneficial owner</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9,050,000 shares</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3.1% of the 291,193,000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shares of Common</w:t>
            </w:r>
          </w:p>
        </w:tc>
        <w:tc>
          <w:tcPr>
            <w:tcW w:w="5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 believed to be outstanding as a result</w:t>
            </w:r>
          </w:p>
        </w:tc>
      </w:tr>
      <w:tr>
        <w:trPr>
          <w:trHeight w:val="203"/>
        </w:trPr>
        <w:tc>
          <w:tcPr>
            <w:tcW w:w="46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of CRMC acting as investment adviser</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various investment</w:t>
            </w:r>
          </w:p>
        </w:tc>
      </w:tr>
      <w:tr>
        <w:trPr>
          <w:trHeight w:val="203"/>
        </w:trPr>
        <w:tc>
          <w:tcPr>
            <w:tcW w:w="46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companies registered under Section 8</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Investment Company</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Act of 1940.</w:t>
            </w:r>
          </w:p>
        </w:tc>
        <w:tc>
          <w:tcPr>
            <w:tcW w:w="21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032654105</w:t>
            </w:r>
          </w:p>
        </w:tc>
        <w:tc>
          <w:tcPr>
            <w:tcW w:w="2120" w:type="dxa"/>
            <w:vAlign w:val="bottom"/>
          </w:tcPr>
          <w:p>
            <w:pPr>
              <w:spacing w:after="0"/>
              <w:rPr>
                <w:sz w:val="24"/>
                <w:szCs w:val="24"/>
                <w:color w:val="auto"/>
              </w:rPr>
            </w:pPr>
          </w:p>
        </w:tc>
        <w:tc>
          <w:tcPr>
            <w:tcW w:w="3300" w:type="dxa"/>
            <w:vAlign w:val="bottom"/>
          </w:tcPr>
          <w:p>
            <w:pPr>
              <w:ind w:left="2140"/>
              <w:spacing w:after="0"/>
              <w:rPr>
                <w:sz w:val="20"/>
                <w:szCs w:val="20"/>
                <w:color w:val="auto"/>
              </w:rPr>
            </w:pPr>
            <w:r>
              <w:rPr>
                <w:rFonts w:ascii="Courier New" w:cs="Courier New" w:eastAsia="Courier New" w:hAnsi="Courier New"/>
                <w:sz w:val="18"/>
                <w:szCs w:val="18"/>
                <w:color w:val="auto"/>
                <w:w w:val="95"/>
              </w:rPr>
              <w:t>Page 3 of 5</w:t>
            </w:r>
          </w:p>
        </w:tc>
      </w:tr>
    </w:tbl>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Analog Devices, Incorporated.</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2009</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Signed pursuant to a Power of Attorney dated December 21,</w:t>
      </w:r>
    </w:p>
    <w:p>
      <w:pPr>
        <w:sectPr>
          <w:pgSz w:w="11900" w:h="16838" w:orient="portrait"/>
          <w:cols w:equalWidth="0" w:num="1">
            <w:col w:w="10219"/>
          </w:cols>
          <w:pgMar w:left="240" w:top="136" w:right="1440" w:bottom="0" w:gutter="0" w:footer="0" w:header="0"/>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2007 included as an Exhibit to Schedule 13G filed with the Securities and Exchange Commission by Capital Research Global Investors on January 10, 2008 with respect to Lowes Companies, Incorporated.</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2019-12-09T21:55:37Z</dcterms:created>
  <dcterms:modified xsi:type="dcterms:W3CDTF">2019-12-09T21:55:37Z</dcterms:modified>
</cp:coreProperties>
</file>