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6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4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6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40" w:type="dxa"/>
            <w:vAlign w:val="bottom"/>
            <w:vMerge w:val="restart"/>
          </w:tcPr>
          <w:p>
            <w:pPr>
              <w:ind w:left="1780"/>
              <w:spacing w:after="0"/>
              <w:rPr>
                <w:sz w:val="20"/>
                <w:szCs w:val="20"/>
                <w:color w:val="auto"/>
              </w:rPr>
            </w:pPr>
            <w:r>
              <w:rPr>
                <w:rFonts w:ascii="Arial" w:cs="Arial" w:eastAsia="Arial" w:hAnsi="Arial"/>
                <w:sz w:val="22"/>
                <w:szCs w:val="22"/>
                <w:color w:val="auto"/>
                <w:w w:val="96"/>
              </w:rPr>
              <w:t>7,520,013</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60" w:type="dxa"/>
            <w:vAlign w:val="bottom"/>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6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4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6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6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40" w:type="dxa"/>
            <w:vAlign w:val="bottom"/>
            <w:vMerge w:val="restart"/>
          </w:tcPr>
          <w:p>
            <w:pPr>
              <w:ind w:left="1780"/>
              <w:spacing w:after="0"/>
              <w:rPr>
                <w:sz w:val="20"/>
                <w:szCs w:val="20"/>
                <w:color w:val="auto"/>
              </w:rPr>
            </w:pPr>
            <w:r>
              <w:rPr>
                <w:rFonts w:ascii="Arial" w:cs="Arial" w:eastAsia="Arial" w:hAnsi="Arial"/>
                <w:sz w:val="22"/>
                <w:szCs w:val="22"/>
                <w:color w:val="auto"/>
                <w:w w:val="85"/>
              </w:rPr>
              <w:t>20,425,280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6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20,425,280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6.56%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6" w:lineRule="exact"/>
        <w:rPr>
          <w:sz w:val="20"/>
          <w:szCs w:val="20"/>
          <w:color w:val="auto"/>
        </w:rPr>
      </w:pPr>
    </w:p>
    <w:p>
      <w:pPr>
        <w:ind w:left="1780"/>
        <w:spacing w:after="0" w:line="282" w:lineRule="auto"/>
        <w:rPr>
          <w:sz w:val="20"/>
          <w:szCs w:val="20"/>
          <w:color w:val="auto"/>
        </w:rPr>
      </w:pPr>
      <w:r>
        <w:rPr>
          <w:rFonts w:ascii="Arial" w:cs="Arial" w:eastAsia="Arial" w:hAnsi="Arial"/>
          <w:sz w:val="19"/>
          <w:szCs w:val="19"/>
          <w:color w:val="auto"/>
        </w:rPr>
        <w:t>*On Effective January 1, 2015, Wellington Management Company, LLP, a registered investment advisor, changed its name to Wellington Management Group LLP (“Wellington Management Group”) and transferred its United Stated advisory business to Wellington Management Company LLP, a Delaware limited liability partnership. On that date, Wellington Management Company LLP registered as an investment adviser with the SEC by succeeding to Wellington Management Group’s SEC registration (No. 801-15908).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80" w:top="388" w:right="3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6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Analog Devices,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One Technology Way</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Norwood, MA 02062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Group LLP</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032654105</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20,425,280</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6.56%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98"/>
              </w:rPr>
              <w:t>7,520,013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20,425,280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directly or indirectly owned by Wellington Management Group LLP, formerly known as Wellington Management</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Company, LLP, which was an investment adviser to these clients as of December 31, 2014. Those clients have the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5"/>
              </w:rPr>
              <w:t>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320" w:type="dxa"/>
            <w:vAlign w:val="bottom"/>
            <w:gridSpan w:val="2"/>
          </w:tcPr>
          <w:p>
            <w:pPr>
              <w:ind w:left="1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26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Date: February 12, 2015</w:t>
            </w:r>
          </w:p>
        </w:tc>
      </w:tr>
    </w:tbl>
    <w:p>
      <w:pPr>
        <w:spacing w:after="0" w:line="1" w:lineRule="exact"/>
        <w:rPr>
          <w:sz w:val="20"/>
          <w:szCs w:val="20"/>
          <w:color w:val="auto"/>
        </w:rPr>
      </w:pPr>
    </w:p>
    <w:sectPr>
      <w:pgSz w:w="11900" w:h="16838" w:orient="portrait"/>
      <w:cols w:equalWidth="0" w:num="1">
        <w:col w:w="11260"/>
      </w:cols>
      <w:pgMar w:left="32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2019-12-05T02:47:06Z</dcterms:created>
  <dcterms:modified xsi:type="dcterms:W3CDTF">2019-12-05T02:47:06Z</dcterms:modified>
</cp:coreProperties>
</file>