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946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94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center"/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220.1326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164,034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220.8566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162,006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221.7277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161,800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223.1441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161,629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224.0431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161,349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224.95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161,321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219.0461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160,737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220.0369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158,905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220.7201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158,196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652,221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January 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8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5, 2025 at actual sales prices ranging from $219.39 to $220.38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5, 2025 at actual sales prices ranging from $220.3975 to $221.38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5, 2025 at actual sales prices ranging from $221.405 to $222.185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5, 2025 at actual sales prices ranging from $222.535 to $223.45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5, 2025 at actual sales prices ranging from $223.67 to $224.3375 per share. The price reported reflects the weighted average sale price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right="24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right="20" w:firstLine="7"/>
        <w:spacing w:after="0" w:line="258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6, 2025 at actual sales prices ranging from $218.42 to $219.40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53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6, 2025 at actual sales prices ranging from $219.4275 to $220.415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20" w:firstLine="7"/>
        <w:spacing w:after="0" w:line="258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August 6, 2025 at actual sales prices ranging from $220.51 to $221.05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0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0072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2025-08-07T15:23:18Z</dcterms:created>
  <dcterms:modified xsi:type="dcterms:W3CDTF">2025-08-07T15:23:18Z</dcterms:modified>
</cp:coreProperties>
</file>