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13, 2013</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48260</wp:posOffset>
            </wp:positionV>
            <wp:extent cx="6106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3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5"/>
              </w:rPr>
              <w:t>Massachusetts</w:t>
            </w:r>
          </w:p>
        </w:tc>
        <w:tc>
          <w:tcPr>
            <w:tcW w:w="2900" w:type="dxa"/>
            <w:vAlign w:val="bottom"/>
          </w:tcPr>
          <w:p>
            <w:pPr>
              <w:jc w:val="right"/>
              <w:ind w:right="1110"/>
              <w:spacing w:after="0"/>
              <w:rPr>
                <w:sz w:val="20"/>
                <w:szCs w:val="20"/>
                <w:color w:val="auto"/>
              </w:rPr>
            </w:pPr>
            <w:r>
              <w:rPr>
                <w:rFonts w:ascii="Arial" w:cs="Arial" w:eastAsia="Arial" w:hAnsi="Arial"/>
                <w:sz w:val="18"/>
                <w:szCs w:val="18"/>
                <w:b w:val="1"/>
                <w:bCs w:val="1"/>
                <w:color w:val="auto"/>
              </w:rPr>
              <w:t>1-7819</w:t>
            </w:r>
          </w:p>
        </w:tc>
        <w:tc>
          <w:tcPr>
            <w:tcW w:w="480" w:type="dxa"/>
            <w:vAlign w:val="bottom"/>
          </w:tcPr>
          <w:p>
            <w:pPr>
              <w:spacing w:after="0"/>
              <w:rPr>
                <w:sz w:val="20"/>
                <w:szCs w:val="20"/>
                <w:color w:val="auto"/>
              </w:rPr>
            </w:pPr>
          </w:p>
        </w:tc>
        <w:tc>
          <w:tcPr>
            <w:tcW w:w="2860" w:type="dxa"/>
            <w:vAlign w:val="bottom"/>
          </w:tcPr>
          <w:p>
            <w:pPr>
              <w:jc w:val="right"/>
              <w:ind w:right="910"/>
              <w:spacing w:after="0"/>
              <w:rPr>
                <w:sz w:val="20"/>
                <w:szCs w:val="20"/>
                <w:color w:val="auto"/>
              </w:rPr>
            </w:pPr>
            <w:r>
              <w:rPr>
                <w:rFonts w:ascii="Arial" w:cs="Arial" w:eastAsia="Arial" w:hAnsi="Arial"/>
                <w:sz w:val="18"/>
                <w:szCs w:val="18"/>
                <w:b w:val="1"/>
                <w:bCs w:val="1"/>
                <w:color w:val="auto"/>
              </w:rPr>
              <w:t>04-2348234</w:t>
            </w:r>
          </w:p>
        </w:tc>
      </w:tr>
      <w:tr>
        <w:trPr>
          <w:trHeight w:val="27"/>
        </w:trPr>
        <w:tc>
          <w:tcPr>
            <w:tcW w:w="28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2"/>
        </w:trPr>
        <w:tc>
          <w:tcPr>
            <w:tcW w:w="336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(State or other jurisdiction</w:t>
            </w:r>
          </w:p>
        </w:tc>
        <w:tc>
          <w:tcPr>
            <w:tcW w:w="3380" w:type="dxa"/>
            <w:vAlign w:val="bottom"/>
            <w:gridSpan w:val="2"/>
          </w:tcPr>
          <w:p>
            <w:pPr>
              <w:ind w:left="940"/>
              <w:spacing w:after="0"/>
              <w:rPr>
                <w:sz w:val="20"/>
                <w:szCs w:val="20"/>
                <w:color w:val="auto"/>
              </w:rPr>
            </w:pPr>
            <w:r>
              <w:rPr>
                <w:rFonts w:ascii="Arial" w:cs="Arial" w:eastAsia="Arial" w:hAnsi="Arial"/>
                <w:sz w:val="18"/>
                <w:szCs w:val="18"/>
                <w:color w:val="auto"/>
              </w:rPr>
              <w:t>(Commission</w:t>
            </w:r>
          </w:p>
        </w:tc>
        <w:tc>
          <w:tcPr>
            <w:tcW w:w="2860" w:type="dxa"/>
            <w:vAlign w:val="bottom"/>
          </w:tcPr>
          <w:p>
            <w:pPr>
              <w:ind w:left="860"/>
              <w:spacing w:after="0"/>
              <w:rPr>
                <w:sz w:val="20"/>
                <w:szCs w:val="20"/>
                <w:color w:val="auto"/>
              </w:rPr>
            </w:pPr>
            <w:r>
              <w:rPr>
                <w:rFonts w:ascii="Arial" w:cs="Arial" w:eastAsia="Arial" w:hAnsi="Arial"/>
                <w:sz w:val="18"/>
                <w:szCs w:val="18"/>
                <w:color w:val="auto"/>
              </w:rPr>
              <w:t>(IRS Employer</w:t>
            </w:r>
          </w:p>
        </w:tc>
      </w:tr>
      <w:tr>
        <w:trPr>
          <w:trHeight w:val="230"/>
        </w:trPr>
        <w:tc>
          <w:tcPr>
            <w:tcW w:w="336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of incorporation</w:t>
            </w:r>
          </w:p>
        </w:tc>
        <w:tc>
          <w:tcPr>
            <w:tcW w:w="3380" w:type="dxa"/>
            <w:vAlign w:val="bottom"/>
            <w:gridSpan w:val="2"/>
          </w:tcPr>
          <w:p>
            <w:pPr>
              <w:ind w:left="960"/>
              <w:spacing w:after="0"/>
              <w:rPr>
                <w:sz w:val="20"/>
                <w:szCs w:val="20"/>
                <w:color w:val="auto"/>
              </w:rPr>
            </w:pPr>
            <w:r>
              <w:rPr>
                <w:rFonts w:ascii="Arial" w:cs="Arial" w:eastAsia="Arial" w:hAnsi="Arial"/>
                <w:sz w:val="18"/>
                <w:szCs w:val="18"/>
                <w:color w:val="auto"/>
              </w:rPr>
              <w:t>File Number)</w:t>
            </w:r>
          </w:p>
        </w:tc>
        <w:tc>
          <w:tcPr>
            <w:tcW w:w="28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5100" w:type="dxa"/>
            <w:vAlign w:val="bottom"/>
            <w:gridSpan w:val="2"/>
          </w:tcPr>
          <w:p>
            <w:pPr>
              <w:ind w:left="880"/>
              <w:spacing w:after="0"/>
              <w:rPr>
                <w:sz w:val="20"/>
                <w:szCs w:val="20"/>
                <w:color w:val="auto"/>
              </w:rPr>
            </w:pPr>
            <w:r>
              <w:rPr>
                <w:rFonts w:ascii="Arial" w:cs="Arial" w:eastAsia="Arial" w:hAnsi="Arial"/>
                <w:sz w:val="18"/>
                <w:szCs w:val="18"/>
                <w:b w:val="1"/>
                <w:bCs w:val="1"/>
                <w:color w:val="auto"/>
              </w:rPr>
              <w:t>One Technology Way, Norwood, MA</w:t>
            </w:r>
          </w:p>
        </w:tc>
        <w:tc>
          <w:tcPr>
            <w:tcW w:w="4500" w:type="dxa"/>
            <w:vAlign w:val="bottom"/>
          </w:tcPr>
          <w:p>
            <w:pPr>
              <w:jc w:val="right"/>
              <w:ind w:right="1930"/>
              <w:spacing w:after="0"/>
              <w:rPr>
                <w:sz w:val="20"/>
                <w:szCs w:val="20"/>
                <w:color w:val="auto"/>
              </w:rPr>
            </w:pPr>
            <w:r>
              <w:rPr>
                <w:rFonts w:ascii="Arial" w:cs="Arial" w:eastAsia="Arial" w:hAnsi="Arial"/>
                <w:sz w:val="18"/>
                <w:szCs w:val="18"/>
                <w:b w:val="1"/>
                <w:bCs w:val="1"/>
                <w:color w:val="auto"/>
              </w:rPr>
              <w:t>02062</w:t>
            </w:r>
          </w:p>
        </w:tc>
      </w:tr>
      <w:tr>
        <w:trPr>
          <w:trHeight w:val="27"/>
        </w:trPr>
        <w:tc>
          <w:tcPr>
            <w:tcW w:w="46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5100" w:type="dxa"/>
            <w:vAlign w:val="bottom"/>
            <w:gridSpan w:val="2"/>
          </w:tcPr>
          <w:p>
            <w:pPr>
              <w:ind w:left="860"/>
              <w:spacing w:after="0"/>
              <w:rPr>
                <w:sz w:val="20"/>
                <w:szCs w:val="20"/>
                <w:color w:val="auto"/>
              </w:rPr>
            </w:pPr>
            <w:r>
              <w:rPr>
                <w:rFonts w:ascii="Arial" w:cs="Arial" w:eastAsia="Arial" w:hAnsi="Arial"/>
                <w:sz w:val="18"/>
                <w:szCs w:val="18"/>
                <w:color w:val="auto"/>
              </w:rPr>
              <w:t>(Address of principal executive offices)</w:t>
            </w:r>
          </w:p>
        </w:tc>
        <w:tc>
          <w:tcPr>
            <w:tcW w:w="45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238125</wp:posOffset>
            </wp:positionV>
            <wp:extent cx="6106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38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1300"/>
          </w:cols>
          <w:pgMar w:left="240" w:top="684" w:right="359" w:bottom="1440" w:gutter="0" w:footer="0" w:header="0"/>
        </w:sectPr>
      </w:pPr>
    </w:p>
    <w:bookmarkStart w:id="1" w:name="page2"/>
    <w:bookmarkEnd w:id="1"/>
    <w:p>
      <w:pPr>
        <w:ind w:right="940"/>
        <w:spacing w:after="0" w:line="277" w:lineRule="auto"/>
        <w:rPr>
          <w:sz w:val="20"/>
          <w:szCs w:val="20"/>
          <w:color w:val="auto"/>
        </w:rPr>
      </w:pPr>
      <w:r>
        <w:rPr>
          <w:rFonts w:ascii="Arial" w:cs="Arial" w:eastAsia="Arial" w:hAnsi="Arial"/>
          <w:sz w:val="18"/>
          <w:szCs w:val="18"/>
          <w:color w:val="auto"/>
        </w:rPr>
        <w:t>This Amendment No. 1 on Form 8-K/A amends and restates Item 5.07 of the Current Report on Form 8-K filed with the Securities and Exchange Commission on March 14, 2013 by Analog Devices, Inc.</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Voting Results</w:t>
      </w:r>
      <w:r>
        <w:rPr>
          <w:rFonts w:ascii="Arial" w:cs="Arial" w:eastAsia="Arial" w:hAnsi="Arial"/>
          <w:sz w:val="18"/>
          <w:szCs w:val="18"/>
          <w:color w:val="auto"/>
        </w:rPr>
        <w: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2013 Annual Meeting of Shareholders of Analog Devices, Inc. (the “Company”), held on March 13, 2013, the proposals listed below were submitted to a vote of our shareholders. The proposals are described in our definitive proxy statement for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ten nominees to our Board of Directors each for a term of one year.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ten (10) nominees named in the definitive proxy statement were elected to serve as directors until the 2014 annual meeting. Information as to the vote on each director standing for election is provided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Votes</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Votes</w:t>
            </w:r>
          </w:p>
        </w:tc>
        <w:tc>
          <w:tcPr>
            <w:tcW w:w="1640" w:type="dxa"/>
            <w:vAlign w:val="bottom"/>
          </w:tcPr>
          <w:p>
            <w:pPr>
              <w:ind w:left="500"/>
              <w:spacing w:after="0"/>
              <w:rPr>
                <w:sz w:val="20"/>
                <w:szCs w:val="20"/>
                <w:color w:val="auto"/>
              </w:rPr>
            </w:pPr>
            <w:r>
              <w:rPr>
                <w:rFonts w:ascii="Arial" w:cs="Arial" w:eastAsia="Arial" w:hAnsi="Arial"/>
                <w:sz w:val="18"/>
                <w:szCs w:val="18"/>
                <w:b w:val="1"/>
                <w:bCs w:val="1"/>
                <w:color w:val="auto"/>
              </w:rPr>
              <w:t>Broker</w:t>
            </w:r>
          </w:p>
        </w:tc>
      </w:tr>
      <w:tr>
        <w:trPr>
          <w:trHeight w:val="234"/>
        </w:trPr>
        <w:tc>
          <w:tcPr>
            <w:tcW w:w="2520" w:type="dxa"/>
            <w:vAlign w:val="bottom"/>
            <w:gridSpan w:val="2"/>
          </w:tcPr>
          <w:p>
            <w:pPr>
              <w:ind w:left="820"/>
              <w:spacing w:after="0"/>
              <w:rPr>
                <w:sz w:val="20"/>
                <w:szCs w:val="20"/>
                <w:color w:val="auto"/>
              </w:rPr>
            </w:pPr>
            <w:r>
              <w:rPr>
                <w:rFonts w:ascii="Arial" w:cs="Arial" w:eastAsia="Arial" w:hAnsi="Arial"/>
                <w:sz w:val="18"/>
                <w:szCs w:val="18"/>
                <w:b w:val="1"/>
                <w:bCs w:val="1"/>
                <w:color w:val="auto"/>
              </w:rPr>
              <w:t>Nominee</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Against</w:t>
            </w: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Abstaining</w:t>
            </w:r>
          </w:p>
        </w:tc>
        <w:tc>
          <w:tcPr>
            <w:tcW w:w="1640" w:type="dxa"/>
            <w:vAlign w:val="bottom"/>
          </w:tcPr>
          <w:p>
            <w:pPr>
              <w:ind w:left="420"/>
              <w:spacing w:after="0"/>
              <w:rPr>
                <w:sz w:val="20"/>
                <w:szCs w:val="20"/>
                <w:color w:val="auto"/>
              </w:rPr>
            </w:pPr>
            <w:r>
              <w:rPr>
                <w:rFonts w:ascii="Arial" w:cs="Arial" w:eastAsia="Arial" w:hAnsi="Arial"/>
                <w:sz w:val="18"/>
                <w:szCs w:val="18"/>
                <w:b w:val="1"/>
                <w:bCs w:val="1"/>
                <w:color w:val="auto"/>
              </w:rPr>
              <w:t>Non-Votes</w:t>
            </w:r>
          </w:p>
        </w:tc>
      </w:tr>
      <w:tr>
        <w:trPr>
          <w:trHeight w:val="27"/>
        </w:trPr>
        <w:tc>
          <w:tcPr>
            <w:tcW w:w="2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Ray Stata</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254,625,235</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985,269</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209,201</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16,717,436</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Jerald G. Fishman</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253,882,965</w:t>
            </w:r>
          </w:p>
        </w:tc>
        <w:tc>
          <w:tcPr>
            <w:tcW w:w="2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1,572,967</w:t>
            </w:r>
          </w:p>
        </w:tc>
        <w:tc>
          <w:tcPr>
            <w:tcW w:w="1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363,773</w:t>
            </w:r>
          </w:p>
        </w:tc>
        <w:tc>
          <w:tcPr>
            <w:tcW w:w="180" w:type="dxa"/>
            <w:vAlign w:val="bottom"/>
          </w:tcPr>
          <w:p>
            <w:pPr>
              <w:spacing w:after="0"/>
              <w:rPr>
                <w:sz w:val="21"/>
                <w:szCs w:val="21"/>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16,717,436</w:t>
            </w:r>
          </w:p>
        </w:tc>
      </w:tr>
      <w:tr>
        <w:trPr>
          <w:trHeight w:val="27"/>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James A. Champy</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254,830,999</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622,434</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366,272</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16,717,436</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John C. Hodgson</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255,078,602</w:t>
            </w:r>
          </w:p>
        </w:tc>
        <w:tc>
          <w:tcPr>
            <w:tcW w:w="2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375,746</w:t>
            </w:r>
          </w:p>
        </w:tc>
        <w:tc>
          <w:tcPr>
            <w:tcW w:w="1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365,357</w:t>
            </w:r>
          </w:p>
        </w:tc>
        <w:tc>
          <w:tcPr>
            <w:tcW w:w="180" w:type="dxa"/>
            <w:vAlign w:val="bottom"/>
          </w:tcPr>
          <w:p>
            <w:pPr>
              <w:spacing w:after="0"/>
              <w:rPr>
                <w:sz w:val="21"/>
                <w:szCs w:val="21"/>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16,717,436</w:t>
            </w:r>
          </w:p>
        </w:tc>
      </w:tr>
      <w:tr>
        <w:trPr>
          <w:trHeight w:val="27"/>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Yves-Andre Istel</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254,822,286</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631,174</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366,245</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16,717,436</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Neil Novich</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247,840,315</w:t>
            </w:r>
          </w:p>
        </w:tc>
        <w:tc>
          <w:tcPr>
            <w:tcW w:w="2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7,579,356</w:t>
            </w:r>
          </w:p>
        </w:tc>
        <w:tc>
          <w:tcPr>
            <w:tcW w:w="1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400,034</w:t>
            </w:r>
          </w:p>
        </w:tc>
        <w:tc>
          <w:tcPr>
            <w:tcW w:w="180" w:type="dxa"/>
            <w:vAlign w:val="bottom"/>
          </w:tcPr>
          <w:p>
            <w:pPr>
              <w:spacing w:after="0"/>
              <w:rPr>
                <w:sz w:val="21"/>
                <w:szCs w:val="21"/>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16,717,436</w:t>
            </w:r>
          </w:p>
        </w:tc>
      </w:tr>
      <w:tr>
        <w:trPr>
          <w:trHeight w:val="27"/>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 Grant Saviers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247,428,573</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8,026,534</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364,598</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16,717,436</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Paul J. Severino</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248,221,053</w:t>
            </w:r>
          </w:p>
        </w:tc>
        <w:tc>
          <w:tcPr>
            <w:tcW w:w="2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7,234,140</w:t>
            </w:r>
          </w:p>
        </w:tc>
        <w:tc>
          <w:tcPr>
            <w:tcW w:w="1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364,512</w:t>
            </w:r>
          </w:p>
        </w:tc>
        <w:tc>
          <w:tcPr>
            <w:tcW w:w="180" w:type="dxa"/>
            <w:vAlign w:val="bottom"/>
          </w:tcPr>
          <w:p>
            <w:pPr>
              <w:spacing w:after="0"/>
              <w:rPr>
                <w:sz w:val="21"/>
                <w:szCs w:val="21"/>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16,717,436</w:t>
            </w:r>
          </w:p>
        </w:tc>
      </w:tr>
      <w:tr>
        <w:trPr>
          <w:trHeight w:val="27"/>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Kenton J. Sicchitano</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255,115,362</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332,853</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371,490</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16,717,436</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Lisa T. Su</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254,936,272</w:t>
            </w:r>
          </w:p>
        </w:tc>
        <w:tc>
          <w:tcPr>
            <w:tcW w:w="2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524,451</w:t>
            </w:r>
          </w:p>
        </w:tc>
        <w:tc>
          <w:tcPr>
            <w:tcW w:w="1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358,982</w:t>
            </w:r>
          </w:p>
        </w:tc>
        <w:tc>
          <w:tcPr>
            <w:tcW w:w="180" w:type="dxa"/>
            <w:vAlign w:val="bottom"/>
          </w:tcPr>
          <w:p>
            <w:pPr>
              <w:spacing w:after="0"/>
              <w:rPr>
                <w:sz w:val="21"/>
                <w:szCs w:val="21"/>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16,717,436</w:t>
            </w:r>
          </w:p>
        </w:tc>
      </w:tr>
    </w:tbl>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u w:val="single" w:color="auto"/>
          <w:color w:val="auto"/>
        </w:rPr>
        <w:t>Proposal 2 – The approval of the compensation of our named executive officers, as described in the Compensation Discussion and Analysis, executive compensation tables and accompanying narrative disclosure in our proxy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shareholders approved, on an advisory basis, the compensation of our named executive officers. The voting results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Votes Against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Abstaining</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24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227,687,756</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25,913,714</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2,218,235</w:t>
            </w:r>
          </w:p>
        </w:tc>
        <w:tc>
          <w:tcPr>
            <w:tcW w:w="180" w:type="dxa"/>
            <w:vAlign w:val="bottom"/>
            <w:shd w:val="clear" w:color="auto" w:fill="CCEEFF"/>
          </w:tcPr>
          <w:p>
            <w:pPr>
              <w:spacing w:after="0"/>
              <w:rPr>
                <w:sz w:val="20"/>
                <w:szCs w:val="20"/>
                <w:color w:val="auto"/>
              </w:rPr>
            </w:pPr>
          </w:p>
        </w:tc>
        <w:tc>
          <w:tcPr>
            <w:tcW w:w="22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16,717,436</w:t>
            </w:r>
          </w:p>
        </w:tc>
      </w:tr>
      <w:tr>
        <w:trPr>
          <w:trHeight w:val="27"/>
        </w:trPr>
        <w:tc>
          <w:tcPr>
            <w:tcW w:w="2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3 – The approval of our Executive Section 162(m)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shareholders approved our Executive Section 162(m) Plan. The voting results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Votes Against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Abstaining</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24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250,908,314</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4,317,808</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593,583</w:t>
            </w:r>
          </w:p>
        </w:tc>
        <w:tc>
          <w:tcPr>
            <w:tcW w:w="180" w:type="dxa"/>
            <w:vAlign w:val="bottom"/>
            <w:shd w:val="clear" w:color="auto" w:fill="CCEEFF"/>
          </w:tcPr>
          <w:p>
            <w:pPr>
              <w:spacing w:after="0"/>
              <w:rPr>
                <w:sz w:val="20"/>
                <w:szCs w:val="20"/>
                <w:color w:val="auto"/>
              </w:rPr>
            </w:pPr>
          </w:p>
        </w:tc>
        <w:tc>
          <w:tcPr>
            <w:tcW w:w="22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16,717,436</w:t>
            </w:r>
          </w:p>
        </w:tc>
      </w:tr>
      <w:tr>
        <w:trPr>
          <w:trHeight w:val="27"/>
        </w:trPr>
        <w:tc>
          <w:tcPr>
            <w:tcW w:w="2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Proposal 4 – The ratification of the selection of Ernst &amp; Young LLP as our independent registered public accounting firm for the fiscal year ending November 2,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shareholders ratified the Company’s selection of Ernst &amp; Young as our independent registered public accounting firm for the fiscal year 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2, 2013. The voting results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Votes For</w:t>
            </w:r>
          </w:p>
        </w:tc>
        <w:tc>
          <w:tcPr>
            <w:tcW w:w="3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Votes Against</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88"/>
              </w:rPr>
              <w:t>Votes Abstaining</w:t>
            </w:r>
          </w:p>
        </w:tc>
      </w:tr>
      <w:tr>
        <w:trPr>
          <w:trHeight w:val="27"/>
        </w:trPr>
        <w:tc>
          <w:tcPr>
            <w:tcW w:w="3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37"/>
        </w:trPr>
        <w:tc>
          <w:tcPr>
            <w:tcW w:w="30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269,133,923</w:t>
            </w:r>
          </w:p>
        </w:tc>
        <w:tc>
          <w:tcPr>
            <w:tcW w:w="200" w:type="dxa"/>
            <w:vAlign w:val="bottom"/>
            <w:shd w:val="clear" w:color="auto" w:fill="CCEEFF"/>
          </w:tcPr>
          <w:p>
            <w:pPr>
              <w:spacing w:after="0"/>
              <w:rPr>
                <w:sz w:val="20"/>
                <w:szCs w:val="20"/>
                <w:color w:val="auto"/>
              </w:rPr>
            </w:pPr>
          </w:p>
        </w:tc>
        <w:tc>
          <w:tcPr>
            <w:tcW w:w="30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3,089,750</w:t>
            </w:r>
          </w:p>
        </w:tc>
        <w:tc>
          <w:tcPr>
            <w:tcW w:w="200" w:type="dxa"/>
            <w:vAlign w:val="bottom"/>
            <w:shd w:val="clear" w:color="auto" w:fill="CCEEFF"/>
          </w:tcPr>
          <w:p>
            <w:pPr>
              <w:spacing w:after="0"/>
              <w:rPr>
                <w:sz w:val="20"/>
                <w:szCs w:val="20"/>
                <w:color w:val="auto"/>
              </w:rPr>
            </w:pPr>
          </w:p>
        </w:tc>
        <w:tc>
          <w:tcPr>
            <w:tcW w:w="30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313,468</w:t>
            </w:r>
          </w:p>
        </w:tc>
      </w:tr>
      <w:tr>
        <w:trPr>
          <w:trHeight w:val="27"/>
        </w:trPr>
        <w:tc>
          <w:tcPr>
            <w:tcW w:w="3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4540" w:val="left"/>
        </w:tabs>
        <w:rPr>
          <w:sz w:val="20"/>
          <w:szCs w:val="20"/>
          <w:color w:val="auto"/>
        </w:rPr>
      </w:pPr>
      <w:r>
        <w:rPr>
          <w:rFonts w:ascii="Arial" w:cs="Arial" w:eastAsia="Arial" w:hAnsi="Arial"/>
          <w:sz w:val="18"/>
          <w:szCs w:val="18"/>
          <w:color w:val="auto"/>
        </w:rPr>
        <w:t>Date: March 14, 2013</w:t>
      </w:r>
      <w:r>
        <w:rPr>
          <w:sz w:val="20"/>
          <w:szCs w:val="20"/>
          <w:color w:val="auto"/>
        </w:rPr>
        <w:tab/>
      </w:r>
      <w:r>
        <w:rPr>
          <w:rFonts w:ascii="Arial" w:cs="Arial" w:eastAsia="Arial" w:hAnsi="Arial"/>
          <w:sz w:val="17"/>
          <w:szCs w:val="17"/>
          <w:color w:val="auto"/>
        </w:rPr>
        <w:t>ANALOG DEVICES, INC.</w:t>
      </w:r>
    </w:p>
    <w:p>
      <w:pPr>
        <w:spacing w:after="0" w:line="63" w:lineRule="exact"/>
        <w:rPr>
          <w:sz w:val="20"/>
          <w:szCs w:val="20"/>
          <w:color w:val="auto"/>
        </w:rPr>
      </w:pPr>
    </w:p>
    <w:p>
      <w:pPr>
        <w:ind w:left="4560"/>
        <w:spacing w:after="0"/>
        <w:tabs>
          <w:tab w:leader="none" w:pos="5020" w:val="left"/>
        </w:tabs>
        <w:rPr>
          <w:sz w:val="20"/>
          <w:szCs w:val="20"/>
          <w:color w:val="auto"/>
        </w:rPr>
      </w:pPr>
      <w:r>
        <w:rPr>
          <w:rFonts w:ascii="Arial" w:cs="Arial" w:eastAsia="Arial" w:hAnsi="Arial"/>
          <w:sz w:val="18"/>
          <w:szCs w:val="18"/>
          <w:color w:val="auto"/>
        </w:rPr>
        <w:t>By:</w:t>
        <w:tab/>
        <w:t>/s/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31750</wp:posOffset>
            </wp:positionV>
            <wp:extent cx="2933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Margaret K. Seif</w:t>
      </w:r>
    </w:p>
    <w:p>
      <w:pPr>
        <w:spacing w:after="0" w:line="6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1000"/>
      </w:cols>
      <w:pgMar w:left="240" w:top="58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2019-12-05T03:49:03Z</dcterms:created>
  <dcterms:modified xsi:type="dcterms:W3CDTF">2019-12-05T03:49:03Z</dcterms:modified>
</cp:coreProperties>
</file>