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184150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199390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130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04" w:space="720"/>
            <w:col w:w="278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jc w:val="center"/>
        <w:ind w:right="1836"/>
        <w:spacing w:after="0"/>
        <w:rPr>
          <w:sz w:val="20"/>
          <w:szCs w:val="20"/>
          <w:color w:val="auto"/>
        </w:rPr>
      </w:pPr>
      <w:r>
        <w:rPr>
          <w:rFonts w:ascii="Arial" w:cs="Arial" w:eastAsia="Arial" w:hAnsi="Arial"/>
          <w:sz w:val="16"/>
          <w:szCs w:val="16"/>
          <w:b w:val="1"/>
          <w:bCs w:val="1"/>
          <w:color w:val="auto"/>
        </w:rPr>
        <w:t>One Technology Way</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Norwood, MA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41"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83"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1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6, 2020, Analog Devices, Inc. (“Analog Devices”) entered into an Underwriting Agreement with J.P. Morgan Securities LLC and Citigroup Global Markets Inc., as representatives of the several underwriters named therein (the “Underwriting Agreement”), pursuant to which Analog Devices agreed to issue $400,000,000 million aggregate principal amount of 2.950% senior unsecured notes due April 1, 2025 (the “Notes”) in a public offering pursuant to a registration statement on Form S-3 (File No. 333-225652) (the “Registration Statement”) and a related prospectus and prospectus supplement, each as filed with the Securities and Exchange Commission (the “SEC”). The Notes are to be issued under the Indenture, dated as of June 3, 2013, between Analog Devices and The Bank of New York Mellon Trust Company, N.A., as trustee (the “Trustee”), as supplemented by a supplemental indenture to be entered into between Analog Devices and the Trustee. The offering is expected to close on April 8, 2020, subject to customary closing conditions.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Analog Devices expects that the net proceeds from the sale of the Notes will be approximately $394.3 million after deducting the underwriting discount and estimated offering expenses. Analog Devices intends to use the net proceeds from the sale of the Notes to finance or refinance, in whole or in part, one or more new or existing eligible projects involving renewable energy, energy efficiency, green buildings, sustainable water and wastewater management, pollution prevention and control, clean transportation or eco-efficient and/or circular economy adapted products, production technologies and processes.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above description is qualified in its entirety by reference to the Underwriting Agreement, which is filed as Exhibit 1.1 hereto and incorporated herein by reference.</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Current Report on Form 8-K contains forward-looking statements that involve a number of risks and uncertainties. Important factors that could cause actual results to differ materially from those indicated by such forward-looking statements are set forth in Analog Devices’ Quarterly Report on Form 10-Q for the quarter ended February 1, 2020 under the section “Risk Factors,” which is on file with the SEC.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completion of the offering on the terms described, if at all; our expected use of the proceeds from the offering; our anticipated growth and trends in our businesses; our future liquidity, capital needs and capital expenditures; our future market position and expected competitive changes in the marketplace for our products; our ability to pay dividends or repurchase stock; our ability to service our outstanding</w:t>
      </w:r>
    </w:p>
    <w:p>
      <w:pPr>
        <w:sectPr>
          <w:pgSz w:w="11900" w:h="16838" w:orient="portrait"/>
          <w:cols w:equalWidth="0" w:num="1">
            <w:col w:w="11000"/>
          </w:cols>
          <w:pgMar w:left="440" w:top="297" w:right="459" w:bottom="1440" w:gutter="0" w:footer="0" w:header="0"/>
        </w:sectPr>
      </w:pPr>
    </w:p>
    <w:bookmarkStart w:id="2" w:name="page3"/>
    <w:bookmarkEnd w:id="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debt; our expected tax rate; the effect of changes in or the application of new or revised tax laws;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the section entitled “Risk Factors” and elsewhere in our Quarterly Report on Form 10-Q.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Current Report on Form 8-K, except to the extent required by law.</w:t>
      </w:r>
    </w:p>
    <w:p>
      <w:pPr>
        <w:spacing w:after="0" w:line="28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62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360" w:type="dxa"/>
            <w:vAlign w:val="bottom"/>
          </w:tcPr>
          <w:p>
            <w:pPr>
              <w:spacing w:after="0"/>
              <w:rPr>
                <w:sz w:val="14"/>
                <w:szCs w:val="14"/>
                <w:color w:val="auto"/>
              </w:rPr>
            </w:pPr>
          </w:p>
        </w:tc>
        <w:tc>
          <w:tcPr>
            <w:tcW w:w="6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6200" w:type="dxa"/>
            <w:vAlign w:val="bottom"/>
            <w:gridSpan w:val="3"/>
          </w:tcPr>
          <w:p>
            <w:pPr>
              <w:ind w:left="3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Underwriting Agreement dated April 6, 2020.</w:t>
              </w:r>
            </w:hyperlink>
          </w:p>
        </w:tc>
        <w:tc>
          <w:tcPr>
            <w:tcW w:w="0" w:type="dxa"/>
            <w:vAlign w:val="bottom"/>
          </w:tcPr>
          <w:p>
            <w:pPr>
              <w:spacing w:after="0"/>
              <w:rPr>
                <w:sz w:val="1"/>
                <w:szCs w:val="1"/>
                <w:color w:val="auto"/>
              </w:rPr>
            </w:pPr>
          </w:p>
        </w:tc>
      </w:tr>
      <w:tr>
        <w:trPr>
          <w:trHeight w:val="324"/>
        </w:trPr>
        <w:tc>
          <w:tcPr>
            <w:tcW w:w="460" w:type="dxa"/>
            <w:vAlign w:val="bottom"/>
            <w:gridSpan w:val="2"/>
          </w:tcPr>
          <w:p>
            <w:pPr>
              <w:ind w:left="8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6200" w:type="dxa"/>
            <w:vAlign w:val="bottom"/>
            <w:gridSpan w:val="3"/>
          </w:tcPr>
          <w:p>
            <w:pPr>
              <w:ind w:left="38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60"/>
          </w:cols>
          <w:pgMar w:left="440" w:top="301"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40" w:type="dxa"/>
            <w:vAlign w:val="bottom"/>
            <w:gridSpan w:val="2"/>
          </w:tcPr>
          <w:p>
            <w:pPr>
              <w:ind w:left="2100"/>
              <w:spacing w:after="0"/>
              <w:rPr>
                <w:sz w:val="20"/>
                <w:szCs w:val="20"/>
                <w:color w:val="auto"/>
              </w:rPr>
            </w:pPr>
            <w:r>
              <w:rPr>
                <w:rFonts w:ascii="Arial" w:cs="Arial" w:eastAsia="Arial" w:hAnsi="Arial"/>
                <w:sz w:val="18"/>
                <w:szCs w:val="18"/>
                <w:color w:val="auto"/>
              </w:rPr>
              <w:t>ANALOG DEVICES,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April 7, 2020</w:t>
            </w:r>
          </w:p>
        </w:tc>
        <w:tc>
          <w:tcPr>
            <w:tcW w:w="2680" w:type="dxa"/>
            <w:vAlign w:val="bottom"/>
          </w:tcPr>
          <w:p>
            <w:pPr>
              <w:ind w:left="21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Prashanth Mahendra-Rajah</w:t>
            </w:r>
          </w:p>
        </w:tc>
      </w:tr>
      <w:tr>
        <w:trPr>
          <w:trHeight w:val="209"/>
        </w:trPr>
        <w:tc>
          <w:tcPr>
            <w:tcW w:w="3480" w:type="dxa"/>
            <w:vAlign w:val="bottom"/>
          </w:tcPr>
          <w:p>
            <w:pPr>
              <w:spacing w:after="0"/>
              <w:rPr>
                <w:sz w:val="18"/>
                <w:szCs w:val="18"/>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Prashanth Mahendra-Rajah</w:t>
            </w:r>
          </w:p>
        </w:tc>
      </w:tr>
      <w:tr>
        <w:trPr>
          <w:trHeight w:val="230"/>
        </w:trPr>
        <w:tc>
          <w:tcPr>
            <w:tcW w:w="3480" w:type="dxa"/>
            <w:vAlign w:val="bottom"/>
          </w:tcPr>
          <w:p>
            <w:pPr>
              <w:spacing w:after="0"/>
              <w:rPr>
                <w:sz w:val="20"/>
                <w:szCs w:val="20"/>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Finance and Chief Financial Officer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$400,000,000 2.950% Senior Notes due April 1,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436"/>
        <w:spacing w:after="0" w:line="274"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Introductory</w:t>
      </w:r>
      <w:r>
        <w:rPr>
          <w:rFonts w:ascii="Arial" w:cs="Arial" w:eastAsia="Arial" w:hAnsi="Arial"/>
          <w:sz w:val="17"/>
          <w:szCs w:val="17"/>
          <w:color w:val="auto"/>
        </w:rPr>
        <w:t>. Analog Devices, Inc., a Massachusetts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agrees with the several Underwriters named in Schedule A</w:t>
      </w:r>
      <w:r>
        <w:rPr>
          <w:rFonts w:ascii="Arial" w:cs="Arial" w:eastAsia="Arial" w:hAnsi="Arial"/>
          <w:sz w:val="17"/>
          <w:szCs w:val="17"/>
          <w:i w:val="1"/>
          <w:iCs w:val="1"/>
          <w:color w:val="auto"/>
        </w:rPr>
        <w:t xml:space="preserve"> </w:t>
      </w:r>
      <w:r>
        <w:rPr>
          <w:rFonts w:ascii="Arial" w:cs="Arial" w:eastAsia="Arial" w:hAnsi="Arial"/>
          <w:sz w:val="17"/>
          <w:szCs w:val="17"/>
          <w:color w:val="auto"/>
        </w:rPr>
        <w:t>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J.P. Morgan Securities LLC and Citigroup Global Markets Inc. are acting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to issue and sell to the several Underwriters $400,000,000 principal amount of its 2.950% Senior Notes due 2025 (the “</w:t>
      </w:r>
      <w:r>
        <w:rPr>
          <w:rFonts w:ascii="Arial" w:cs="Arial" w:eastAsia="Arial" w:hAnsi="Arial"/>
          <w:sz w:val="17"/>
          <w:szCs w:val="17"/>
          <w:b w:val="1"/>
          <w:bCs w:val="1"/>
          <w:color w:val="auto"/>
        </w:rPr>
        <w:t>Securities</w:t>
      </w:r>
      <w:r>
        <w:rPr>
          <w:rFonts w:ascii="Arial" w:cs="Arial" w:eastAsia="Arial" w:hAnsi="Arial"/>
          <w:sz w:val="17"/>
          <w:szCs w:val="17"/>
          <w:color w:val="auto"/>
        </w:rPr>
        <w:t>”). The Securities shall be issued under an indenture, dated as of June 3, 2013 (the “</w:t>
      </w:r>
      <w:r>
        <w:rPr>
          <w:rFonts w:ascii="Arial" w:cs="Arial" w:eastAsia="Arial" w:hAnsi="Arial"/>
          <w:sz w:val="17"/>
          <w:szCs w:val="17"/>
          <w:b w:val="1"/>
          <w:bCs w:val="1"/>
          <w:color w:val="auto"/>
        </w:rPr>
        <w:t>Base Indenture</w:t>
      </w:r>
      <w:r>
        <w:rPr>
          <w:rFonts w:ascii="Arial" w:cs="Arial" w:eastAsia="Arial" w:hAnsi="Arial"/>
          <w:sz w:val="17"/>
          <w:szCs w:val="17"/>
          <w:color w:val="auto"/>
        </w:rPr>
        <w:t>”), as supplemented by a supplemental indenture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to be dated as of the Closing Date (as defined below) between the Company and The Bank of New York Mellon Trust Company, N.A.,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620" w:hanging="184"/>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The Company represents and warrants to, and agrees with, the several Underwriters that:</w:t>
      </w:r>
    </w:p>
    <w:p>
      <w:pPr>
        <w:spacing w:after="0" w:line="140" w:lineRule="exact"/>
        <w:rPr>
          <w:rFonts w:ascii="Arial" w:cs="Arial" w:eastAsia="Arial" w:hAnsi="Arial"/>
          <w:sz w:val="16"/>
          <w:szCs w:val="16"/>
          <w:color w:val="auto"/>
        </w:rPr>
      </w:pPr>
    </w:p>
    <w:p>
      <w:pPr>
        <w:ind w:left="440" w:right="120" w:firstLine="419"/>
        <w:spacing w:after="0" w:line="271" w:lineRule="auto"/>
        <w:tabs>
          <w:tab w:leader="none" w:pos="1107" w:val="left"/>
        </w:tabs>
        <w:numPr>
          <w:ilvl w:val="1"/>
          <w:numId w:val="2"/>
        </w:numPr>
        <w:rPr>
          <w:rFonts w:ascii="Arial" w:cs="Arial" w:eastAsia="Arial" w:hAnsi="Arial"/>
          <w:sz w:val="17"/>
          <w:szCs w:val="17"/>
          <w:color w:val="auto"/>
        </w:rPr>
      </w:pPr>
      <w:r>
        <w:rPr>
          <w:rFonts w:ascii="Arial" w:cs="Arial" w:eastAsia="Arial" w:hAnsi="Arial"/>
          <w:sz w:val="17"/>
          <w:szCs w:val="17"/>
          <w:i w:val="1"/>
          <w:iCs w:val="1"/>
          <w:color w:val="auto"/>
        </w:rPr>
        <w:t>Filing and Effectiveness of Registration Statement; Certain Defined Terms</w:t>
      </w:r>
      <w:r>
        <w:rPr>
          <w:rFonts w:ascii="Arial" w:cs="Arial" w:eastAsia="Arial" w:hAnsi="Arial"/>
          <w:sz w:val="17"/>
          <w:szCs w:val="17"/>
          <w:color w:val="auto"/>
        </w:rPr>
        <w:t>. The Company has filed with the Securities and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on Form S-3 (No. 333-225652), including a related prospectus or prospectuses, covering the registration of the Securities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which has become effective.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at any particular time means such registration statement in the form then filed with the Commission, including any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thereto, any document incorporated by reference therein and all 430B Information and all 430C Information with respect to such registration statement, that in any case has not been superseded or modified. “</w:t>
      </w:r>
      <w:r>
        <w:rPr>
          <w:rFonts w:ascii="Arial" w:cs="Arial" w:eastAsia="Arial" w:hAnsi="Arial"/>
          <w:sz w:val="17"/>
          <w:szCs w:val="17"/>
          <w:b w:val="1"/>
          <w:bCs w:val="1"/>
          <w:color w:val="auto"/>
        </w:rPr>
        <w:t>Registration Statement</w:t>
      </w:r>
      <w:r>
        <w:rPr>
          <w:rFonts w:ascii="Arial" w:cs="Arial" w:eastAsia="Arial" w:hAnsi="Arial"/>
          <w:sz w:val="17"/>
          <w:szCs w:val="17"/>
          <w:color w:val="auto"/>
        </w:rPr>
        <w:t>” without reference to a time means the Registration Statement as of the Effective Time (as defined below). For purposes of this definition, 430B Information shall be considered to be included in the Registration Statement as of the time specified in Rule 430B.</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For purposes of this Underwriting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17" w:lineRule="exact"/>
        <w:rPr>
          <w:sz w:val="20"/>
          <w:szCs w:val="20"/>
          <w:color w:val="auto"/>
        </w:rPr>
      </w:pPr>
    </w:p>
    <w:p>
      <w:pPr>
        <w:ind w:left="440" w:right="2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430B Information</w:t>
      </w:r>
      <w:r>
        <w:rPr>
          <w:rFonts w:ascii="Arial" w:cs="Arial" w:eastAsia="Arial" w:hAnsi="Arial"/>
          <w:sz w:val="18"/>
          <w:szCs w:val="18"/>
          <w:color w:val="auto"/>
        </w:rPr>
        <w:t>” means information included in a prospectus then deemed to be a part of the Registration Statement pursuant to Rule 430B(e) or retroactively deemed to be a part of the Registration Statement pursuant to Rule 430B(f).</w:t>
      </w:r>
    </w:p>
    <w:p>
      <w:pPr>
        <w:spacing w:after="0" w:line="54" w:lineRule="exact"/>
        <w:rPr>
          <w:sz w:val="20"/>
          <w:szCs w:val="20"/>
          <w:color w:val="auto"/>
        </w:rPr>
      </w:pPr>
    </w:p>
    <w:p>
      <w:pPr>
        <w:ind w:left="440" w:right="2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430C Information</w:t>
      </w:r>
      <w:r>
        <w:rPr>
          <w:rFonts w:ascii="Arial" w:cs="Arial" w:eastAsia="Arial" w:hAnsi="Arial"/>
          <w:sz w:val="18"/>
          <w:szCs w:val="18"/>
          <w:color w:val="auto"/>
        </w:rPr>
        <w:t>” means information included in a prospectus then deemed to be a part of the Registration Statement pursuant to Rule 430C.</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2:30 p.m. (New York City time) on the date of this Agreement.</w:t>
      </w:r>
    </w:p>
    <w:p>
      <w:pPr>
        <w:sectPr>
          <w:pgSz w:w="11900" w:h="16838" w:orient="portrait"/>
          <w:cols w:equalWidth="0" w:num="1">
            <w:col w:w="11020"/>
          </w:cols>
          <w:pgMar w:left="440" w:top="121" w:right="439" w:bottom="1440" w:gutter="0" w:footer="0" w:header="0"/>
        </w:sectPr>
      </w:pPr>
    </w:p>
    <w:bookmarkStart w:id="5" w:name="page6"/>
    <w:bookmarkEnd w:id="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defined in Section 3 hereof.</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Time</w:t>
      </w:r>
      <w:r>
        <w:rPr>
          <w:rFonts w:ascii="Arial" w:cs="Arial" w:eastAsia="Arial" w:hAnsi="Arial"/>
          <w:sz w:val="17"/>
          <w:szCs w:val="17"/>
          <w:color w:val="auto"/>
        </w:rPr>
        <w:t>” of the Registration Statement relating to the Securities means the time of the first contract of sale for the Securities.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Rules</w:t>
      </w:r>
      <w:r>
        <w:rPr>
          <w:rFonts w:ascii="Arial" w:cs="Arial" w:eastAsia="Arial" w:hAnsi="Arial"/>
          <w:sz w:val="18"/>
          <w:szCs w:val="18"/>
          <w:color w:val="auto"/>
        </w:rPr>
        <w:t>” means the rules of the Nasdaq Stock Market.</w:t>
      </w:r>
    </w:p>
    <w:p>
      <w:pPr>
        <w:spacing w:after="0" w:line="117" w:lineRule="exact"/>
        <w:rPr>
          <w:sz w:val="20"/>
          <w:szCs w:val="20"/>
          <w:color w:val="auto"/>
        </w:rPr>
      </w:pPr>
    </w:p>
    <w:p>
      <w:pPr>
        <w:ind w:right="8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Prospectus</w:t>
      </w:r>
      <w:r>
        <w:rPr>
          <w:rFonts w:ascii="Arial" w:cs="Arial" w:eastAsia="Arial" w:hAnsi="Arial"/>
          <w:sz w:val="18"/>
          <w:szCs w:val="18"/>
          <w:color w:val="auto"/>
        </w:rPr>
        <w:t>” means the Statutory Prospectus that discloses the public offering price, other 430B Information and other final terms of the Securities and otherwise satisfies Section 10(a) of the Act.</w:t>
      </w:r>
    </w:p>
    <w:p>
      <w:pPr>
        <w:spacing w:after="0" w:line="54" w:lineRule="exact"/>
        <w:rPr>
          <w:sz w:val="20"/>
          <w:szCs w:val="20"/>
          <w:color w:val="auto"/>
        </w:rPr>
      </w:pPr>
    </w:p>
    <w:p>
      <w:pPr>
        <w:ind w:right="50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Issuer Free Writing Prospectus</w:t>
      </w:r>
      <w:r>
        <w:rPr>
          <w:rFonts w:ascii="Arial" w:cs="Arial" w:eastAsia="Arial" w:hAnsi="Arial"/>
          <w:sz w:val="18"/>
          <w:szCs w:val="18"/>
          <w:color w:val="auto"/>
        </w:rPr>
        <w:t>” means any Issuer Free Writing Prospectus that is intended for general distribution to prospective investors, as evidenced by its being so specified in Schedule B to this Agreement.</w:t>
      </w:r>
    </w:p>
    <w:p>
      <w:pPr>
        <w:spacing w:after="0" w:line="54" w:lineRule="exact"/>
        <w:rPr>
          <w:sz w:val="20"/>
          <w:szCs w:val="20"/>
          <w:color w:val="auto"/>
        </w:rPr>
      </w:pPr>
    </w:p>
    <w:p>
      <w:pPr>
        <w:ind w:right="6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any “issuer free writing prospectus,” as defined in Rule 433, relating to the Securities in the form filed or required to be filed with the Commission or, if not required to be filed, in the form retained in the Company’s records pursuant to Rule 433(g).</w:t>
      </w:r>
    </w:p>
    <w:p>
      <w:pPr>
        <w:spacing w:after="0" w:line="68" w:lineRule="exact"/>
        <w:rPr>
          <w:sz w:val="20"/>
          <w:szCs w:val="20"/>
          <w:color w:val="auto"/>
        </w:rPr>
      </w:pPr>
    </w:p>
    <w:p>
      <w:pPr>
        <w:ind w:right="28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Use Issuer Free Writing Prospectus</w:t>
      </w:r>
      <w:r>
        <w:rPr>
          <w:rFonts w:ascii="Arial" w:cs="Arial" w:eastAsia="Arial" w:hAnsi="Arial"/>
          <w:sz w:val="18"/>
          <w:szCs w:val="18"/>
          <w:color w:val="auto"/>
        </w:rPr>
        <w:t>” means any Issuer Free Writing Prospectus that is not a General Use Issuer Free Writing Prospectus.</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the rules and regulations of the Commission.</w:t>
      </w:r>
    </w:p>
    <w:p>
      <w:pPr>
        <w:spacing w:after="0" w:line="117" w:lineRule="exact"/>
        <w:rPr>
          <w:sz w:val="20"/>
          <w:szCs w:val="20"/>
          <w:color w:val="auto"/>
        </w:rPr>
      </w:pPr>
    </w:p>
    <w:p>
      <w:pPr>
        <w:ind w:right="34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Laws</w:t>
      </w:r>
      <w:r>
        <w:rPr>
          <w:rFonts w:ascii="Arial" w:cs="Arial" w:eastAsia="Arial" w:hAnsi="Arial"/>
          <w:sz w:val="18"/>
          <w:szCs w:val="18"/>
          <w:color w:val="auto"/>
        </w:rPr>
        <w:t>” means, collectively, the Sarbanes-Oxley Act of 2002 (“</w:t>
      </w:r>
      <w:r>
        <w:rPr>
          <w:rFonts w:ascii="Arial" w:cs="Arial" w:eastAsia="Arial" w:hAnsi="Arial"/>
          <w:sz w:val="18"/>
          <w:szCs w:val="18"/>
          <w:b w:val="1"/>
          <w:bCs w:val="1"/>
          <w:color w:val="auto"/>
        </w:rPr>
        <w:t>Sarbanes-Oxley</w:t>
      </w:r>
      <w:r>
        <w:rPr>
          <w:rFonts w:ascii="Arial" w:cs="Arial" w:eastAsia="Arial" w:hAnsi="Arial"/>
          <w:sz w:val="18"/>
          <w:szCs w:val="18"/>
          <w:color w:val="auto"/>
        </w:rPr>
        <w:t>”), the Act, the Exchange Act, the Rules and Regulations and the auditing principles, rules, standards and practices applicable to auditors of “issuers” (as defined in Sarbanes-Oxley) promulgated or approved by the Public Company Accounting Oversight Board.</w:t>
      </w:r>
    </w:p>
    <w:p>
      <w:pPr>
        <w:spacing w:after="0" w:line="68" w:lineRule="exact"/>
        <w:rPr>
          <w:sz w:val="20"/>
          <w:szCs w:val="20"/>
          <w:color w:val="auto"/>
        </w:rPr>
      </w:pPr>
    </w:p>
    <w:p>
      <w:pPr>
        <w:ind w:firstLine="4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Prospectus</w:t>
      </w:r>
      <w:r>
        <w:rPr>
          <w:rFonts w:ascii="Arial" w:cs="Arial" w:eastAsia="Arial" w:hAnsi="Arial"/>
          <w:sz w:val="18"/>
          <w:szCs w:val="18"/>
          <w:color w:val="auto"/>
        </w:rPr>
        <w:t>” with reference to any particular time means the prospectus relating to the Securities that is included in the Registration Statement immediately prior to that time, including all 430B Information and all 430C Information with respect to the Registration Statement. For purposes of the foregoing definition, 430B Information shall be considered to be included in the Statutory Prospectus only as of the actual time that form of prospectus (including a prospectus supplement) is filed with the Commission pursuant to Rule 424(b) and not retroactively.</w:t>
      </w:r>
    </w:p>
    <w:p>
      <w:pPr>
        <w:spacing w:after="0" w:line="75" w:lineRule="exact"/>
        <w:rPr>
          <w:sz w:val="20"/>
          <w:szCs w:val="20"/>
          <w:color w:val="auto"/>
        </w:rPr>
      </w:pPr>
    </w:p>
    <w:p>
      <w:pPr>
        <w:jc w:val="center"/>
        <w:ind w:right="4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121" w:lineRule="exact"/>
        <w:rPr>
          <w:sz w:val="20"/>
          <w:szCs w:val="20"/>
          <w:color w:val="auto"/>
        </w:rPr>
      </w:pPr>
    </w:p>
    <w:p>
      <w:pPr>
        <w:jc w:val="center"/>
        <w:ind w:right="4240"/>
        <w:spacing w:after="0"/>
        <w:rPr>
          <w:sz w:val="20"/>
          <w:szCs w:val="20"/>
          <w:color w:val="auto"/>
        </w:rPr>
      </w:pPr>
      <w:r>
        <w:rPr>
          <w:rFonts w:ascii="Arial" w:cs="Arial" w:eastAsia="Arial" w:hAnsi="Arial"/>
          <w:sz w:val="16"/>
          <w:szCs w:val="16"/>
          <w:color w:val="auto"/>
        </w:rPr>
        <w:t>Unless otherwise specified, a reference to a “rule” is to the indicated rule under the Act.</w:t>
      </w:r>
    </w:p>
    <w:p>
      <w:pPr>
        <w:spacing w:after="0" w:line="140" w:lineRule="exact"/>
        <w:rPr>
          <w:sz w:val="20"/>
          <w:szCs w:val="20"/>
          <w:color w:val="auto"/>
        </w:rPr>
      </w:pPr>
    </w:p>
    <w:p>
      <w:pPr>
        <w:ind w:firstLine="419"/>
        <w:spacing w:after="0" w:line="269" w:lineRule="auto"/>
        <w:tabs>
          <w:tab w:leader="none" w:pos="67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Compliance with Securities Act Requirements</w:t>
      </w:r>
      <w:r>
        <w:rPr>
          <w:rFonts w:ascii="Arial" w:cs="Arial" w:eastAsia="Arial" w:hAnsi="Arial"/>
          <w:sz w:val="17"/>
          <w:szCs w:val="17"/>
          <w:color w:val="auto"/>
        </w:rPr>
        <w:t>. (i) (A) At the time the Registration Statement initially became effective, (B)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each amendment thereto for the purposes of complying with Section 10(a)(3) of the Act (whether by post-effective amendment, incorporated report or form of prospectus), (C) at the Effective Time relating to the Securities and (D) on the Closing Date, the Registration Statement conformed and will conform in all material respects to the requirements of the Act, the Trust Indenture Act and the Rules and Regulations and did not and will not include any untrue statement of a material fact or omit to state any material fact required to be stated therein or necessary to make the statements therein not misleading and (ii) (A) on its date, (B) at the time of filing the Final Prospectus pursuant to Rule 424(b) and (C) on the Closing Date, the Final Prospectus will conform in all material respects to the requirements of the Act, the Trust Indenture Act and the Rules and Regulations, and will not include any untrue statement of a material fact or omit to state any material fact required to be stated therein or necessary to make the statements therein, in the light of the circumstances under which they were made, not misleading.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8(b) hereof.</w:t>
      </w:r>
    </w:p>
    <w:p>
      <w:pPr>
        <w:spacing w:after="0" w:line="70" w:lineRule="exact"/>
        <w:rPr>
          <w:rFonts w:ascii="Arial" w:cs="Arial" w:eastAsia="Arial" w:hAnsi="Arial"/>
          <w:sz w:val="17"/>
          <w:szCs w:val="17"/>
          <w:color w:val="auto"/>
        </w:rPr>
      </w:pPr>
    </w:p>
    <w:p>
      <w:pPr>
        <w:ind w:firstLine="419"/>
        <w:spacing w:after="0" w:line="255" w:lineRule="auto"/>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Automatic Shelf Registration Statement</w:t>
      </w:r>
      <w:r>
        <w:rPr>
          <w:rFonts w:ascii="Arial" w:cs="Arial" w:eastAsia="Arial" w:hAnsi="Arial"/>
          <w:sz w:val="18"/>
          <w:szCs w:val="18"/>
          <w:color w:val="auto"/>
        </w:rPr>
        <w:t>. (i)</w:t>
      </w:r>
      <w:r>
        <w:rPr>
          <w:rFonts w:ascii="Arial" w:cs="Arial" w:eastAsia="Arial" w:hAnsi="Arial"/>
          <w:sz w:val="18"/>
          <w:szCs w:val="18"/>
          <w:i w:val="1"/>
          <w:iCs w:val="1"/>
          <w:color w:val="auto"/>
        </w:rPr>
        <w:t xml:space="preserve"> Well-Known Seasoned Issuer Status</w:t>
      </w:r>
      <w:r>
        <w:rPr>
          <w:rFonts w:ascii="Arial" w:cs="Arial" w:eastAsia="Arial" w:hAnsi="Arial"/>
          <w:sz w:val="18"/>
          <w:szCs w:val="18"/>
          <w:color w:val="auto"/>
        </w:rPr>
        <w:t>. (A) At the time of initial filing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(B) at the time of the most recent amendment thereto for the purposes of complying with Section 10(a)(3) of the Act (whether such amendment was by post-effective amendment, incorporated report filed pursuant to Section 13 or 15(d) of the Exchange Act or form of prospectus), and (C) at the time the Company or any person acting on its behalf (within the meaning, for this clause only, of Rule 163(c)) made any offer relating to the Securities in reliance on the exemption of Rule 163, the Company was a “well- known seasoned issuer” as defined in Rule 405, including not having been an “ineligible issuer” as defined in Rule 405.</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6" w:name="page7"/>
    <w:bookmarkEnd w:id="6"/>
    <w:p>
      <w:pPr>
        <w:ind w:left="544" w:right="660" w:firstLine="408"/>
        <w:spacing w:after="0" w:line="342" w:lineRule="auto"/>
        <w:tabs>
          <w:tab w:leader="none" w:pos="1344" w:val="left"/>
        </w:tabs>
        <w:numPr>
          <w:ilvl w:val="2"/>
          <w:numId w:val="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Effectiveness of Automatic Shelf Registration Statement</w:t>
      </w:r>
      <w:r>
        <w:rPr>
          <w:rFonts w:ascii="Arial" w:cs="Arial" w:eastAsia="Arial" w:hAnsi="Arial"/>
          <w:sz w:val="16"/>
          <w:szCs w:val="16"/>
          <w:color w:val="auto"/>
        </w:rPr>
        <w:t>. The Registration Statement is an “automatic shelf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defined in Rule 405, that initially became effective within three years of the date of this Agreement.</w:t>
      </w:r>
    </w:p>
    <w:p>
      <w:pPr>
        <w:spacing w:after="0" w:line="15" w:lineRule="exact"/>
        <w:rPr>
          <w:rFonts w:ascii="Arial" w:cs="Arial" w:eastAsia="Arial" w:hAnsi="Arial"/>
          <w:sz w:val="16"/>
          <w:szCs w:val="16"/>
          <w:color w:val="auto"/>
        </w:rPr>
      </w:pPr>
    </w:p>
    <w:p>
      <w:pPr>
        <w:ind w:left="544" w:right="60" w:firstLine="408"/>
        <w:spacing w:after="0" w:line="288" w:lineRule="auto"/>
        <w:tabs>
          <w:tab w:leader="none" w:pos="1394" w:val="left"/>
        </w:tabs>
        <w:numPr>
          <w:ilvl w:val="2"/>
          <w:numId w:val="4"/>
        </w:numPr>
        <w:rPr>
          <w:rFonts w:ascii="Arial" w:cs="Arial" w:eastAsia="Arial" w:hAnsi="Arial"/>
          <w:sz w:val="16"/>
          <w:szCs w:val="16"/>
          <w:color w:val="auto"/>
        </w:rPr>
      </w:pPr>
      <w:r>
        <w:rPr>
          <w:rFonts w:ascii="Arial" w:cs="Arial" w:eastAsia="Arial" w:hAnsi="Arial"/>
          <w:sz w:val="16"/>
          <w:szCs w:val="16"/>
          <w:i w:val="1"/>
          <w:iCs w:val="1"/>
          <w:color w:val="auto"/>
        </w:rPr>
        <w:t>Eligibility to Use Automatic Shelf Registration Form</w:t>
      </w:r>
      <w:r>
        <w:rPr>
          <w:rFonts w:ascii="Arial" w:cs="Arial" w:eastAsia="Arial" w:hAnsi="Arial"/>
          <w:sz w:val="16"/>
          <w:szCs w:val="16"/>
          <w:color w:val="auto"/>
        </w:rPr>
        <w:t>. The Company has not received from the Commission any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Rule 401(g)(2) objecting to use of the automatic shelf registration statement form. If at any time when the Securities remain unsold by the Underwriters the Company receives from the Commission a notice pursuant to Rule 401(g)(2) or otherwise ceases to be eligible to use the automatic shelf registration statement form, the Company will (i) promptly notify the Representatives, (ii) promptly file a new registration statement or post-effective amendment on the proper form relating to the Securities, in a form satisfactory to the Representatives, (iii) use its best efforts to cause such registration statement or post-effective amendment to be declared effective as soon as practicable, and (iv) promptly notify the Representatives of such effectiveness. The Company will take all other action necessary or appropriate to permit the public offering and sale of the Securities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60" w:lineRule="exact"/>
        <w:rPr>
          <w:rFonts w:ascii="Arial" w:cs="Arial" w:eastAsia="Arial" w:hAnsi="Arial"/>
          <w:sz w:val="16"/>
          <w:szCs w:val="16"/>
          <w:color w:val="auto"/>
        </w:rPr>
      </w:pPr>
    </w:p>
    <w:p>
      <w:pPr>
        <w:ind w:left="544" w:right="120" w:firstLine="408"/>
        <w:spacing w:after="0" w:line="308" w:lineRule="auto"/>
        <w:tabs>
          <w:tab w:leader="none" w:pos="1384" w:val="left"/>
        </w:tabs>
        <w:numPr>
          <w:ilvl w:val="2"/>
          <w:numId w:val="4"/>
        </w:numPr>
        <w:rPr>
          <w:rFonts w:ascii="Arial" w:cs="Arial" w:eastAsia="Arial" w:hAnsi="Arial"/>
          <w:sz w:val="17"/>
          <w:szCs w:val="17"/>
          <w:color w:val="auto"/>
        </w:rPr>
      </w:pPr>
      <w:r>
        <w:rPr>
          <w:rFonts w:ascii="Arial" w:cs="Arial" w:eastAsia="Arial" w:hAnsi="Arial"/>
          <w:sz w:val="17"/>
          <w:szCs w:val="17"/>
          <w:i w:val="1"/>
          <w:iCs w:val="1"/>
          <w:color w:val="auto"/>
        </w:rPr>
        <w:t>Filing Fees</w:t>
      </w:r>
      <w:r>
        <w:rPr>
          <w:rFonts w:ascii="Arial" w:cs="Arial" w:eastAsia="Arial" w:hAnsi="Arial"/>
          <w:sz w:val="17"/>
          <w:szCs w:val="17"/>
          <w:color w:val="auto"/>
        </w:rPr>
        <w:t>. The Company has paid or shall pay the required Commission filing fees relating to the Securities within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Rule 456(b)(1) without regard to the proviso therein and otherwise in accordance with Rules 456(b) and 457(r).</w:t>
      </w:r>
    </w:p>
    <w:p>
      <w:pPr>
        <w:spacing w:after="0" w:line="38" w:lineRule="exact"/>
        <w:rPr>
          <w:rFonts w:ascii="Arial" w:cs="Arial" w:eastAsia="Arial" w:hAnsi="Arial"/>
          <w:sz w:val="17"/>
          <w:szCs w:val="17"/>
          <w:color w:val="auto"/>
        </w:rPr>
      </w:pPr>
    </w:p>
    <w:p>
      <w:pPr>
        <w:ind w:left="4" w:right="120" w:firstLine="419"/>
        <w:spacing w:after="0" w:line="263" w:lineRule="auto"/>
        <w:tabs>
          <w:tab w:leader="none" w:pos="816"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Ineligible Issuer Status</w:t>
      </w:r>
      <w:r>
        <w:rPr>
          <w:rFonts w:ascii="Arial" w:cs="Arial" w:eastAsia="Arial" w:hAnsi="Arial"/>
          <w:sz w:val="18"/>
          <w:szCs w:val="18"/>
          <w:color w:val="auto"/>
        </w:rPr>
        <w:t>. (i) At the earliest time after the filing of the Registration Statement that the Company or another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made a bona fide offer (within the meaning of Rule 164(h)(2) of the Act) and (ii) at the date of this Agreement, the Company was not and is not an “ineligible issuer,” as defined in Rule 405.</w:t>
      </w:r>
    </w:p>
    <w:p>
      <w:pPr>
        <w:spacing w:after="0" w:line="75" w:lineRule="exact"/>
        <w:rPr>
          <w:rFonts w:ascii="Arial" w:cs="Arial" w:eastAsia="Arial" w:hAnsi="Arial"/>
          <w:sz w:val="18"/>
          <w:szCs w:val="18"/>
          <w:color w:val="auto"/>
        </w:rPr>
      </w:pPr>
    </w:p>
    <w:p>
      <w:pPr>
        <w:ind w:left="4" w:right="120" w:firstLine="419"/>
        <w:spacing w:after="0" w:line="286" w:lineRule="auto"/>
        <w:tabs>
          <w:tab w:leader="none" w:pos="806"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General Disclosure Package</w:t>
      </w:r>
      <w:r>
        <w:rPr>
          <w:rFonts w:ascii="Arial" w:cs="Arial" w:eastAsia="Arial" w:hAnsi="Arial"/>
          <w:sz w:val="16"/>
          <w:szCs w:val="16"/>
          <w:color w:val="auto"/>
        </w:rPr>
        <w:t>. As of the Applicable Time, neither (i) the General Use Issuer Free Writing Prospectus(es) issued at or</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Applicable Time and the preliminary prospectus supplement, dated April 6, 2020, including the base prospectus, dated June 15, 2018 (which is the most recent Statutory Prospectus distributed to investors generally), and the other information, if any, stated in Schedule B to this Agreement to be included in the General Disclosure Package, all considered together (collectively, the “</w:t>
      </w:r>
      <w:r>
        <w:rPr>
          <w:rFonts w:ascii="Arial" w:cs="Arial" w:eastAsia="Arial" w:hAnsi="Arial"/>
          <w:sz w:val="16"/>
          <w:szCs w:val="16"/>
          <w:b w:val="1"/>
          <w:bCs w:val="1"/>
          <w:color w:val="auto"/>
        </w:rPr>
        <w:t>General Disclosure Package</w:t>
      </w:r>
      <w:r>
        <w:rPr>
          <w:rFonts w:ascii="Arial" w:cs="Arial" w:eastAsia="Arial" w:hAnsi="Arial"/>
          <w:sz w:val="16"/>
          <w:szCs w:val="16"/>
          <w:color w:val="auto"/>
        </w:rPr>
        <w:t>”), nor</w:t>
      </w:r>
    </w:p>
    <w:p>
      <w:pPr>
        <w:spacing w:after="0" w:line="1" w:lineRule="exact"/>
        <w:rPr>
          <w:rFonts w:ascii="Arial" w:cs="Arial" w:eastAsia="Arial" w:hAnsi="Arial"/>
          <w:sz w:val="16"/>
          <w:szCs w:val="16"/>
          <w:color w:val="auto"/>
        </w:rPr>
      </w:pPr>
    </w:p>
    <w:p>
      <w:pPr>
        <w:ind w:left="4" w:right="220" w:hanging="4"/>
        <w:spacing w:after="0" w:line="270" w:lineRule="auto"/>
        <w:tabs>
          <w:tab w:leader="none" w:pos="268"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or any Issuer Free Writing Prospectus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70" w:lineRule="exact"/>
        <w:rPr>
          <w:rFonts w:ascii="Arial" w:cs="Arial" w:eastAsia="Arial" w:hAnsi="Arial"/>
          <w:sz w:val="17"/>
          <w:szCs w:val="17"/>
          <w:color w:val="auto"/>
        </w:rPr>
      </w:pPr>
    </w:p>
    <w:p>
      <w:pPr>
        <w:ind w:left="4" w:firstLine="419"/>
        <w:spacing w:after="0" w:line="284" w:lineRule="auto"/>
        <w:tabs>
          <w:tab w:leader="none" w:pos="786"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Each Issuer Free Writing Prospectus, as of its issue date and at all subsequent times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public offer and sale of the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prior to, or as of, the Closing Date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w:t>
      </w:r>
    </w:p>
    <w:p>
      <w:pPr>
        <w:ind w:left="4" w:right="140" w:hanging="4"/>
        <w:spacing w:after="0" w:line="290" w:lineRule="auto"/>
        <w:tabs>
          <w:tab w:leader="none" w:pos="21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has promptly notified or will promptly notify the Representatives and (ii) the Company has promptly amended or will promptly amend or supplement such Issuer Free Writing Prospectus to eliminate or correct such conflict, untrue statement or omission.</w:t>
      </w:r>
    </w:p>
    <w:p>
      <w:pPr>
        <w:spacing w:after="0" w:line="9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876" w:top="274" w:right="479" w:bottom="1440" w:gutter="0" w:footer="0" w:header="0"/>
        </w:sectPr>
      </w:pPr>
    </w:p>
    <w:bookmarkStart w:id="7" w:name="page8"/>
    <w:bookmarkEnd w:id="7"/>
    <w:p>
      <w:pPr>
        <w:ind w:firstLine="419"/>
        <w:spacing w:after="0" w:line="275" w:lineRule="auto"/>
        <w:tabs>
          <w:tab w:leader="none" w:pos="813"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Due Incorporation and Good Standing of the Company</w:t>
      </w:r>
      <w:r>
        <w:rPr>
          <w:rFonts w:ascii="Arial" w:cs="Arial" w:eastAsia="Arial" w:hAnsi="Arial"/>
          <w:sz w:val="17"/>
          <w:szCs w:val="17"/>
          <w:color w:val="auto"/>
        </w:rPr>
        <w:t>. The Company has been duly incorporated and is existing and in good 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laws of the Commonwealth of Massachusetts, with corporate power and authority to own its properties and conduct its business as described in the General Disclosure Package; and the Company is duly qualified to do business as a foreign corporation and in good standing in all other jurisdictions in which its ownership or lease of property or the conduct of its business requires such qualification, except where the failure to be so qualified would not, individually or in the aggregate, result in a Material Adverse Effect (as defined below).</w:t>
      </w:r>
    </w:p>
    <w:p>
      <w:pPr>
        <w:spacing w:after="0" w:line="68" w:lineRule="exact"/>
        <w:rPr>
          <w:rFonts w:ascii="Arial" w:cs="Arial" w:eastAsia="Arial" w:hAnsi="Arial"/>
          <w:sz w:val="17"/>
          <w:szCs w:val="17"/>
          <w:color w:val="auto"/>
        </w:rPr>
      </w:pPr>
    </w:p>
    <w:p>
      <w:pPr>
        <w:ind w:right="20" w:firstLine="419"/>
        <w:spacing w:after="0" w:line="288" w:lineRule="auto"/>
        <w:tabs>
          <w:tab w:leader="none" w:pos="81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Subsidiaries</w:t>
      </w:r>
      <w:r>
        <w:rPr>
          <w:rFonts w:ascii="Arial" w:cs="Arial" w:eastAsia="Arial" w:hAnsi="Arial"/>
          <w:sz w:val="16"/>
          <w:szCs w:val="16"/>
          <w:color w:val="auto"/>
        </w:rPr>
        <w:t>. Each subsidiary of the Company has been duly incorporated or organized, as the case may be, and is existing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the jurisdiction of its incorporation or organization, as the case may be, with corporate power and authority to own its properties and conduct its business as described in the General Disclosure Package; each subsidiary of the Company is duly qualified to do business as a foreign corporation or other applicable entity in good standing in all other jurisdictions in which its ownership or lease of property or the conduct of its business requires such qualification and where such concepts of “due qualification” and “good standing” exist; all of the issued and outstanding capital stock or other equity interests of each subsidiary of the Company has been duly authorized and validly issued and is fully paid and nonassessable (to the extent that such concepts of “due authorization”, “valid issuance” and being “fully paid and nonassessable” exist in the jurisdiction in which such subsidiary is incorporated or organized, as the case may be); and the capital stock or other equity interests of each such subsidiary owned by the Company, directly or through subsidiaries, is owned free from liens, encumbrances and defects, except, in each case in this clause (h), as would not, individually or in the aggregate, result in a Material Adverse Effect.</w:t>
      </w:r>
    </w:p>
    <w:p>
      <w:pPr>
        <w:spacing w:after="0" w:line="60" w:lineRule="exact"/>
        <w:rPr>
          <w:rFonts w:ascii="Arial" w:cs="Arial" w:eastAsia="Arial" w:hAnsi="Arial"/>
          <w:sz w:val="16"/>
          <w:szCs w:val="16"/>
          <w:color w:val="auto"/>
        </w:rPr>
      </w:pPr>
    </w:p>
    <w:p>
      <w:pPr>
        <w:ind w:right="20" w:firstLine="419"/>
        <w:spacing w:after="0" w:line="269" w:lineRule="auto"/>
        <w:tabs>
          <w:tab w:leader="none" w:pos="773"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Execution and Delivery of Indenture</w:t>
      </w:r>
      <w:r>
        <w:rPr>
          <w:rFonts w:ascii="Arial" w:cs="Arial" w:eastAsia="Arial" w:hAnsi="Arial"/>
          <w:sz w:val="17"/>
          <w:szCs w:val="17"/>
          <w:color w:val="auto"/>
        </w:rPr>
        <w:t>. The Base Indenture has been duly authorized, executed and delivered by the Company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duly qualified under the Trust Indenture Act; the Supplemental Indenture has been duly authorized by the Company and, when it is executed and delivered by the Company and the Trustee, the Indenture will (i) constitute a valid and legally binding obligation of the Company, enforceable in accordance with its terms, subject to bankruptcy, insolvency, fraudulent transfer, reorganization, moratorium and similar laws of general applicability relating to or affecting creditors’ rights and to general equity principles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and (ii) conform in all material respects with the requirements of the Trust Indenture Act; and the Securities have been duly authorized and, when the Securities are delivered and paid for pursuant to this Agreement on the Closing Date, the Supplemental Indenture will have been duly executed and delivered by the Company and such Securities will have been duly executed, authenticated, issued and delivered, will be consistent with the information in the General Disclosure Package, will conform to the description of such Securities contained in the Final Prospectus and the Indenture and will constitute valid and legally binding obligations of the Company, enforceable in accordance with their terms, subject to the Enforceability Exceptions.</w:t>
      </w:r>
    </w:p>
    <w:p>
      <w:pPr>
        <w:spacing w:after="0" w:line="73" w:lineRule="exact"/>
        <w:rPr>
          <w:rFonts w:ascii="Arial" w:cs="Arial" w:eastAsia="Arial" w:hAnsi="Arial"/>
          <w:sz w:val="17"/>
          <w:szCs w:val="17"/>
          <w:color w:val="auto"/>
        </w:rPr>
      </w:pPr>
    </w:p>
    <w:p>
      <w:pPr>
        <w:ind w:right="140" w:firstLine="419"/>
        <w:spacing w:after="0" w:line="259" w:lineRule="auto"/>
        <w:tabs>
          <w:tab w:leader="none" w:pos="77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Absence of Further Requirements</w:t>
      </w:r>
      <w:r>
        <w:rPr>
          <w:rFonts w:ascii="Arial" w:cs="Arial" w:eastAsia="Arial" w:hAnsi="Arial"/>
          <w:sz w:val="18"/>
          <w:szCs w:val="18"/>
          <w:color w:val="auto"/>
        </w:rPr>
        <w:t>. No consent, approval, authorization, or order of, or filing or registration with, any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agency or body or any court is required for the consummation of the transactions contemplated by this Agreement or the Indenture in connection with the offering, issuance and sale of the Securities by the Company, except such as have been obtained or made and such as may be required under state securities laws.</w:t>
      </w:r>
    </w:p>
    <w:p>
      <w:pPr>
        <w:spacing w:after="0" w:line="78" w:lineRule="exact"/>
        <w:rPr>
          <w:rFonts w:ascii="Arial" w:cs="Arial" w:eastAsia="Arial" w:hAnsi="Arial"/>
          <w:sz w:val="18"/>
          <w:szCs w:val="18"/>
          <w:color w:val="auto"/>
        </w:rPr>
      </w:pPr>
    </w:p>
    <w:p>
      <w:pPr>
        <w:ind w:right="120" w:firstLine="419"/>
        <w:spacing w:after="0" w:line="273" w:lineRule="auto"/>
        <w:tabs>
          <w:tab w:leader="none" w:pos="813"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Except as disclosed in the General Disclosure Package, the Company and its subsidiaries have good and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title to all real properties and good title to all other properties and assets owned by them, in each case free from liens, charges,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terms or provisions that would materially interfere with the use made or to be made thereof by them, except, in each case in this clause (k), as would not, individually or in the aggregate, result in a Material Adverse Effect.</w:t>
      </w:r>
    </w:p>
    <w:p>
      <w:pPr>
        <w:spacing w:after="0" w:line="69" w:lineRule="exact"/>
        <w:rPr>
          <w:rFonts w:ascii="Arial" w:cs="Arial" w:eastAsia="Arial" w:hAnsi="Arial"/>
          <w:sz w:val="17"/>
          <w:szCs w:val="17"/>
          <w:color w:val="auto"/>
        </w:rPr>
      </w:pPr>
    </w:p>
    <w:p>
      <w:pPr>
        <w:ind w:right="20" w:firstLine="419"/>
        <w:spacing w:after="0" w:line="301" w:lineRule="auto"/>
        <w:tabs>
          <w:tab w:leader="none" w:pos="77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 Resulting from Transaction</w:t>
      </w:r>
      <w:r>
        <w:rPr>
          <w:rFonts w:ascii="Arial" w:cs="Arial" w:eastAsia="Arial" w:hAnsi="Arial"/>
          <w:sz w:val="16"/>
          <w:szCs w:val="16"/>
          <w:color w:val="auto"/>
        </w:rPr>
        <w:t>. The execution, delivery and performance of the Indenture and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issuance and sale of the Securities and compliance with the terms and provisions thereof,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8" w:name="page9"/>
    <w:bookmarkEnd w:id="8"/>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charter or by-laws or other organizational documents of the Company or any of its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clause (i) as it applies to the Company’s subsidiaries, as would not, individually or in the aggregate, result in a Material Adverse Effect, and in the case of clauses</w:t>
      </w:r>
    </w:p>
    <w:p>
      <w:pPr>
        <w:spacing w:after="0" w:line="2" w:lineRule="exact"/>
        <w:rPr>
          <w:sz w:val="20"/>
          <w:szCs w:val="20"/>
          <w:color w:val="auto"/>
        </w:rPr>
      </w:pPr>
    </w:p>
    <w:p>
      <w:pPr>
        <w:ind w:left="4" w:right="20" w:hanging="4"/>
        <w:spacing w:after="0" w:line="253" w:lineRule="auto"/>
        <w:tabs>
          <w:tab w:leader="none" w:pos="26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and (iii), as would not, individually or in the aggregate, result in a Material Adverse Effect; a “</w:t>
      </w:r>
      <w:r>
        <w:rPr>
          <w:rFonts w:ascii="Arial" w:cs="Arial" w:eastAsia="Arial" w:hAnsi="Arial"/>
          <w:sz w:val="18"/>
          <w:szCs w:val="18"/>
          <w:b w:val="1"/>
          <w:bCs w:val="1"/>
          <w:color w:val="auto"/>
        </w:rPr>
        <w:t>Debt Repayment Triggering Event</w:t>
      </w:r>
      <w:r>
        <w:rPr>
          <w:rFonts w:ascii="Arial" w:cs="Arial" w:eastAsia="Arial" w:hAnsi="Arial"/>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84" w:lineRule="exact"/>
        <w:rPr>
          <w:rFonts w:ascii="Arial" w:cs="Arial" w:eastAsia="Arial" w:hAnsi="Arial"/>
          <w:sz w:val="18"/>
          <w:szCs w:val="18"/>
          <w:color w:val="auto"/>
        </w:rPr>
      </w:pPr>
    </w:p>
    <w:p>
      <w:pPr>
        <w:ind w:left="4" w:right="120" w:firstLine="419"/>
        <w:spacing w:after="0" w:line="293" w:lineRule="auto"/>
        <w:tabs>
          <w:tab w:leader="none" w:pos="866"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Absence of Existing Defaults and Conflicts</w:t>
      </w:r>
      <w:r>
        <w:rPr>
          <w:rFonts w:ascii="Arial" w:cs="Arial" w:eastAsia="Arial" w:hAnsi="Arial"/>
          <w:sz w:val="16"/>
          <w:szCs w:val="16"/>
          <w:color w:val="auto"/>
        </w:rPr>
        <w:t>. Neither the Company nor any of its subsidiaries is in violation of its respective charter or</w:t>
      </w:r>
      <w:r>
        <w:rPr>
          <w:rFonts w:ascii="Arial" w:cs="Arial" w:eastAsia="Arial" w:hAnsi="Arial"/>
          <w:sz w:val="16"/>
          <w:szCs w:val="16"/>
          <w:i w:val="1"/>
          <w:iCs w:val="1"/>
          <w:color w:val="auto"/>
        </w:rPr>
        <w:t xml:space="preserve"> </w:t>
      </w:r>
      <w:r>
        <w:rPr>
          <w:rFonts w:ascii="Arial" w:cs="Arial" w:eastAsia="Arial" w:hAnsi="Arial"/>
          <w:sz w:val="16"/>
          <w:szCs w:val="16"/>
          <w:color w:val="auto"/>
        </w:rPr>
        <w:t>by-laws or other organizational documents,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result in a material adverse effect on the condition (financial or otherwise), results of operations, business or properties of the Company and its subsidiaries taken as a whole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804" w:hanging="381"/>
        <w:spacing w:after="0"/>
        <w:tabs>
          <w:tab w:leader="none" w:pos="804"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left="4" w:firstLine="419"/>
        <w:spacing w:after="0" w:line="257" w:lineRule="auto"/>
        <w:tabs>
          <w:tab w:leader="none" w:pos="81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 The Company and its subsidiaries possess, and are in compliance with the terms of, all adequate</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authorizations, franchises, licenses and permits (“</w:t>
      </w:r>
      <w:r>
        <w:rPr>
          <w:rFonts w:ascii="Arial" w:cs="Arial" w:eastAsia="Arial" w:hAnsi="Arial"/>
          <w:sz w:val="18"/>
          <w:szCs w:val="18"/>
          <w:b w:val="1"/>
          <w:bCs w:val="1"/>
          <w:color w:val="auto"/>
        </w:rPr>
        <w:t>Licenses</w:t>
      </w:r>
      <w:r>
        <w:rPr>
          <w:rFonts w:ascii="Arial" w:cs="Arial" w:eastAsia="Arial" w:hAnsi="Arial"/>
          <w:sz w:val="18"/>
          <w:szCs w:val="18"/>
          <w:color w:val="auto"/>
        </w:rPr>
        <w:t>”) material to the conduct of the business now conducted or proposed in the General Disclosure Package to be conducted by them and have not received any notice of proceedings relating to the revocation or modification of any Licenses that, if determined adversely to the Company or any of its subsidiaries, would individually or in the aggregate have a Material Adverse Effect.</w:t>
      </w:r>
    </w:p>
    <w:p>
      <w:pPr>
        <w:spacing w:after="0" w:line="79" w:lineRule="exact"/>
        <w:rPr>
          <w:rFonts w:ascii="Arial" w:cs="Arial" w:eastAsia="Arial" w:hAnsi="Arial"/>
          <w:sz w:val="18"/>
          <w:szCs w:val="18"/>
          <w:color w:val="auto"/>
        </w:rPr>
      </w:pPr>
    </w:p>
    <w:p>
      <w:pPr>
        <w:ind w:left="4" w:right="160" w:firstLine="419"/>
        <w:spacing w:after="0" w:line="277" w:lineRule="auto"/>
        <w:tabs>
          <w:tab w:leader="none" w:pos="81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or any of its subsidiaries exists or, to the knowledge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is imminent, in either case that would have a Material Adverse Effect.</w:t>
      </w:r>
    </w:p>
    <w:p>
      <w:pPr>
        <w:spacing w:after="0" w:line="62" w:lineRule="exact"/>
        <w:rPr>
          <w:rFonts w:ascii="Arial" w:cs="Arial" w:eastAsia="Arial" w:hAnsi="Arial"/>
          <w:sz w:val="18"/>
          <w:szCs w:val="18"/>
          <w:color w:val="auto"/>
        </w:rPr>
      </w:pPr>
    </w:p>
    <w:p>
      <w:pPr>
        <w:ind w:left="4" w:right="20" w:firstLine="419"/>
        <w:spacing w:after="0" w:line="268" w:lineRule="auto"/>
        <w:tabs>
          <w:tab w:leader="none" w:pos="816"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Possession of Intellectual Property</w:t>
      </w:r>
      <w:r>
        <w:rPr>
          <w:rFonts w:ascii="Arial" w:cs="Arial" w:eastAsia="Arial" w:hAnsi="Arial"/>
          <w:sz w:val="17"/>
          <w:szCs w:val="17"/>
          <w:color w:val="auto"/>
        </w:rPr>
        <w:t>. The Company and its subsidiaries own, possess or can acquire on reasonable terms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trademarks, trade names, patent rights, copyrights, domain names, licenses, approvals, trade secrets, inventions, technology, know-how and other intellectual property and similar rights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material to the conduct of the business now conducted or proposed in the General Disclosure Package to be conducted by them, and the expected expiration of any such Intellectual Property Rights would not, individually or in the aggregate, have a Material Adverse Effect. Except as disclosed in the General Disclosure Package (i) to the Company’s knowledge, neither the Company nor any of its subsidiaries is infringing the Intellectual Property Rights of any third parties; (ii) to the Company’s knowledge, no third party is infringing the Intellectual Property Rights of the Company or any of its subsidiaries; (iii) there is no pending or threatened action, suit, proceeding or claim by others challenging the Company’s or any subsidiary’s rights in or to,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and (v) none of the Intellectual Property Rights used by the Company or its subsidiaries in their businesses as currently conducted or proposed to be conducted in the General Disclosure Package has been obtained or is being used by the Company or its subsidiaries in violation of any contractual obligation binding on the Company or any of its subsidiaries, except in each case covered by clauses (i) – (v) such as would not, individually or in the aggregate, have a Material Adverse Effect.</w:t>
      </w:r>
    </w:p>
    <w:p>
      <w:pPr>
        <w:spacing w:after="0" w:line="73" w:lineRule="exact"/>
        <w:rPr>
          <w:rFonts w:ascii="Arial" w:cs="Arial" w:eastAsia="Arial" w:hAnsi="Arial"/>
          <w:sz w:val="17"/>
          <w:szCs w:val="17"/>
          <w:color w:val="auto"/>
        </w:rPr>
      </w:pPr>
    </w:p>
    <w:p>
      <w:pPr>
        <w:jc w:val="both"/>
        <w:ind w:left="4" w:right="220" w:firstLine="419"/>
        <w:spacing w:after="0" w:line="263" w:lineRule="auto"/>
        <w:tabs>
          <w:tab w:leader="none" w:pos="786"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Environmental Laws</w:t>
      </w:r>
      <w:r>
        <w:rPr>
          <w:rFonts w:ascii="Arial" w:cs="Arial" w:eastAsia="Arial" w:hAnsi="Arial"/>
          <w:sz w:val="18"/>
          <w:szCs w:val="18"/>
          <w:color w:val="auto"/>
        </w:rPr>
        <w:t>. Except as disclosed in the General Disclosure Package, neither the Company nor any of its subsidiaries (i) is in</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of any statute, rule, regulation, decision or order of any governmental agency or body or any court, domestic or foreign, relating to the use, management, registration, disposal or release of</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9" w:name="page10"/>
    <w:bookmarkEnd w:id="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hazardous or toxic substances or wastes or relating to the protection or restoration of the environment or human exposure to hazardous or toxic substances or wastes, or any permit or license thereunder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(ii) owns or operates any real property contaminated with any substance that is subject to any environmental laws; (iii) is liable for any off-site disposal or contamination pursuant to any environmental laws; or (iv) is subject to any claim relating to any environmental laws, which violation, contamination, liability or claim would individually or in the aggregate have a Material Adverse Effect; and the Company is not aware of any pending proceeding relating to environmental laws.</w:t>
      </w:r>
    </w:p>
    <w:p>
      <w:pPr>
        <w:spacing w:after="0" w:line="84" w:lineRule="exact"/>
        <w:rPr>
          <w:sz w:val="20"/>
          <w:szCs w:val="20"/>
          <w:color w:val="auto"/>
        </w:rPr>
      </w:pPr>
    </w:p>
    <w:p>
      <w:pPr>
        <w:ind w:right="240" w:firstLine="419"/>
        <w:spacing w:after="0" w:line="301" w:lineRule="auto"/>
        <w:tabs>
          <w:tab w:leader="none" w:pos="793"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Accurate Disclosure</w:t>
      </w:r>
      <w:r>
        <w:rPr>
          <w:rFonts w:ascii="Arial" w:cs="Arial" w:eastAsia="Arial" w:hAnsi="Arial"/>
          <w:sz w:val="16"/>
          <w:szCs w:val="16"/>
          <w:color w:val="auto"/>
        </w:rPr>
        <w:t>. The statements in the General Disclosure Package and the Final Prospectus under the headings “Description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“Description of Debt Securities” and “Material United States Federal Income Tax Consequences”, insofar as such statements summarize legal matters, agreements, documents or proceedings discussed therein, are accurate and fair summaries of such legal matters, agreements, documents or proceedings in all material respects and present the information required to be shown therein.</w:t>
      </w:r>
    </w:p>
    <w:p>
      <w:pPr>
        <w:spacing w:after="0" w:line="49" w:lineRule="exact"/>
        <w:rPr>
          <w:rFonts w:ascii="Arial" w:cs="Arial" w:eastAsia="Arial" w:hAnsi="Arial"/>
          <w:sz w:val="16"/>
          <w:szCs w:val="16"/>
          <w:color w:val="auto"/>
        </w:rPr>
      </w:pPr>
    </w:p>
    <w:p>
      <w:pPr>
        <w:ind w:firstLine="419"/>
        <w:spacing w:after="0" w:line="263" w:lineRule="auto"/>
        <w:tabs>
          <w:tab w:leader="none" w:pos="773"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has not taken, directly or indirectly, any action that is designed to or that has constituted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reasonably be expected to cause or result in the stabilization or manipulation of the price of any security of the Company, in each case for the purpose of facilitating the sale or resale of the Securities.</w:t>
      </w:r>
    </w:p>
    <w:p>
      <w:pPr>
        <w:spacing w:after="0" w:line="75" w:lineRule="exact"/>
        <w:rPr>
          <w:rFonts w:ascii="Arial" w:cs="Arial" w:eastAsia="Arial" w:hAnsi="Arial"/>
          <w:sz w:val="18"/>
          <w:szCs w:val="18"/>
          <w:color w:val="auto"/>
        </w:rPr>
      </w:pPr>
    </w:p>
    <w:p>
      <w:pPr>
        <w:ind w:firstLine="419"/>
        <w:spacing w:after="0" w:line="285" w:lineRule="auto"/>
        <w:tabs>
          <w:tab w:leader="none" w:pos="813"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Internal Controls and Compliance with the Sarbanes-Oxley Act</w:t>
      </w:r>
      <w:r>
        <w:rPr>
          <w:rFonts w:ascii="Arial" w:cs="Arial" w:eastAsia="Arial" w:hAnsi="Arial"/>
          <w:sz w:val="16"/>
          <w:szCs w:val="16"/>
          <w:color w:val="auto"/>
        </w:rPr>
        <w:t>. Except as set forth in the General Disclosure Package,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and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are in compliance with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6"/>
          <w:szCs w:val="16"/>
          <w:b w:val="1"/>
          <w:bCs w:val="1"/>
          <w:color w:val="auto"/>
        </w:rPr>
        <w:t>Internal</w:t>
      </w:r>
      <w:r>
        <w:rPr>
          <w:rFonts w:ascii="Arial" w:cs="Arial" w:eastAsia="Arial" w:hAnsi="Arial"/>
          <w:sz w:val="16"/>
          <w:szCs w:val="16"/>
          <w:color w:val="auto"/>
        </w:rPr>
        <w:t xml:space="preserve"> </w:t>
      </w:r>
      <w:r>
        <w:rPr>
          <w:rFonts w:ascii="Arial" w:cs="Arial" w:eastAsia="Arial" w:hAnsi="Arial"/>
          <w:sz w:val="16"/>
          <w:szCs w:val="16"/>
          <w:b w:val="1"/>
          <w:bCs w:val="1"/>
          <w:color w:val="auto"/>
        </w:rPr>
        <w:t>Controls</w:t>
      </w:r>
      <w:r>
        <w:rPr>
          <w:rFonts w:ascii="Arial" w:cs="Arial" w:eastAsia="Arial" w:hAnsi="Arial"/>
          <w:sz w:val="16"/>
          <w:szCs w:val="16"/>
          <w:color w:val="auto"/>
        </w:rPr>
        <w:t>”) that comply in all material respects with the Securities Laws and are sufficient to provide reasonable assurances that (i)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are executed in accordance with management’s general or specific authorizations; (ii) transactions are recorded as necessary to permit preparation of financial statements in conformity with generally accepted accounting principles in the United States (“</w:t>
      </w:r>
      <w:r>
        <w:rPr>
          <w:rFonts w:ascii="Arial" w:cs="Arial" w:eastAsia="Arial" w:hAnsi="Arial"/>
          <w:sz w:val="16"/>
          <w:szCs w:val="16"/>
          <w:b w:val="1"/>
          <w:bCs w:val="1"/>
          <w:color w:val="auto"/>
        </w:rPr>
        <w:t>U.S. GAAP</w:t>
      </w:r>
      <w:r>
        <w:rPr>
          <w:rFonts w:ascii="Arial" w:cs="Arial" w:eastAsia="Arial" w:hAnsi="Arial"/>
          <w:sz w:val="16"/>
          <w:szCs w:val="16"/>
          <w:color w:val="auto"/>
        </w:rPr>
        <w:t>”) applied on a consistent basis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General Disclosure Package fairly present the information called for in all material respects and have been prepared in accordance with the Commission’s rules and guidelines applicable thereto. The Internal Controls are overseen by the Audit Committee (the “</w:t>
      </w:r>
      <w:r>
        <w:rPr>
          <w:rFonts w:ascii="Arial" w:cs="Arial" w:eastAsia="Arial" w:hAnsi="Arial"/>
          <w:sz w:val="16"/>
          <w:szCs w:val="16"/>
          <w:b w:val="1"/>
          <w:bCs w:val="1"/>
          <w:color w:val="auto"/>
        </w:rPr>
        <w:t>Audit Committee</w:t>
      </w:r>
      <w:r>
        <w:rPr>
          <w:rFonts w:ascii="Arial" w:cs="Arial" w:eastAsia="Arial" w:hAnsi="Arial"/>
          <w:sz w:val="16"/>
          <w:szCs w:val="16"/>
          <w:color w:val="auto"/>
        </w:rPr>
        <w:t>”) of the Board in accordance with Exchange Rules. Except as disclosed in the Registration Statement, the General Disclosure Package and the Final Prospectus, there are no material weaknesses in the Company’s internal controls over financial reporting. The Company’s auditors and the Audit Committee have been advised of: (i) all significant deficiencies and material weaknesses in the design or operation of the Company’s system of internal controls over financial reporting that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63" w:lineRule="exact"/>
        <w:rPr>
          <w:rFonts w:ascii="Arial" w:cs="Arial" w:eastAsia="Arial" w:hAnsi="Arial"/>
          <w:sz w:val="16"/>
          <w:szCs w:val="16"/>
          <w:color w:val="auto"/>
        </w:rPr>
      </w:pPr>
    </w:p>
    <w:p>
      <w:pPr>
        <w:ind w:right="160" w:firstLine="419"/>
        <w:spacing w:after="0" w:line="254" w:lineRule="auto"/>
        <w:tabs>
          <w:tab w:leader="none" w:pos="813"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 Except as disclosed in the General Disclosure Package, there are no pending actions, suits or proceedings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inquiries or 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have a Material Adverse Effect, would materially and adversely affect the ability of the Company to perform its obligations under the Indenture or this Agreement, or which are otherwise material in the context of the sale of the Securities; and no such actions, suits or proceedings (including any inquiries or investigations by any court or governmental agency or body, domestic or foreign) are, to the Company’s knowledge, threatened or contemplated.</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0" w:name="page11"/>
    <w:bookmarkEnd w:id="10"/>
    <w:p>
      <w:pPr>
        <w:ind w:left="844" w:hanging="421"/>
        <w:spacing w:after="0"/>
        <w:tabs>
          <w:tab w:leader="none" w:pos="844"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Statements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948"/>
        <w:spacing w:after="0" w:line="272" w:lineRule="auto"/>
        <w:tabs>
          <w:tab w:leader="none" w:pos="1170" w:val="left"/>
        </w:tabs>
        <w:numPr>
          <w:ilvl w:val="2"/>
          <w:numId w:val="11"/>
        </w:numPr>
        <w:rPr>
          <w:rFonts w:ascii="Arial" w:cs="Arial" w:eastAsia="Arial" w:hAnsi="Arial"/>
          <w:sz w:val="17"/>
          <w:szCs w:val="17"/>
          <w:color w:val="auto"/>
        </w:rPr>
      </w:pPr>
      <w:r>
        <w:rPr>
          <w:rFonts w:ascii="Arial" w:cs="Arial" w:eastAsia="Arial" w:hAnsi="Arial"/>
          <w:sz w:val="17"/>
          <w:szCs w:val="17"/>
          <w:color w:val="auto"/>
        </w:rPr>
        <w:t>The financial statements of the Company and its subsidiaries included or incorporated by reference in the Registration Statement and the General Disclosure Package present fairly the financial position of the Company and its subsidiaries, as of the dates shown and their results of operations and cash flows for the periods shown, and such financial statements have been prepared in conformity with U.S. GAAP applied on a consistent basis. The schedules included or incorporated by reference in the Registration Statement present fairly the information required to be stated therein. The interactive data in eXtensible Business Reporting Language included or incorporated by reference in the Registration Statement and the General Disclosure Package fairly present the information called for in all material respects and have been prepared in accordance with the Commission’s rules and guidelines applicable thereto.</w:t>
      </w:r>
    </w:p>
    <w:p>
      <w:pPr>
        <w:spacing w:after="0" w:line="65" w:lineRule="exact"/>
        <w:rPr>
          <w:rFonts w:ascii="Arial" w:cs="Arial" w:eastAsia="Arial" w:hAnsi="Arial"/>
          <w:sz w:val="17"/>
          <w:szCs w:val="17"/>
          <w:color w:val="auto"/>
        </w:rPr>
      </w:pPr>
    </w:p>
    <w:p>
      <w:pPr>
        <w:ind w:left="4" w:firstLine="948"/>
        <w:spacing w:after="0" w:line="289" w:lineRule="auto"/>
        <w:tabs>
          <w:tab w:leader="none" w:pos="1220" w:val="left"/>
        </w:tabs>
        <w:numPr>
          <w:ilvl w:val="2"/>
          <w:numId w:val="11"/>
        </w:numPr>
        <w:rPr>
          <w:rFonts w:ascii="Arial" w:cs="Arial" w:eastAsia="Arial" w:hAnsi="Arial"/>
          <w:sz w:val="16"/>
          <w:szCs w:val="16"/>
          <w:color w:val="auto"/>
        </w:rPr>
      </w:pPr>
      <w:r>
        <w:rPr>
          <w:rFonts w:ascii="Arial" w:cs="Arial" w:eastAsia="Arial" w:hAnsi="Arial"/>
          <w:sz w:val="16"/>
          <w:szCs w:val="16"/>
          <w:color w:val="auto"/>
        </w:rPr>
        <w:t>To the knowledge of the Company, (A) the financial statements of Linear Technology Corporation (“</w:t>
      </w:r>
      <w:r>
        <w:rPr>
          <w:rFonts w:ascii="Arial" w:cs="Arial" w:eastAsia="Arial" w:hAnsi="Arial"/>
          <w:sz w:val="16"/>
          <w:szCs w:val="16"/>
          <w:b w:val="1"/>
          <w:bCs w:val="1"/>
          <w:color w:val="auto"/>
        </w:rPr>
        <w:t>Linear Technology</w:t>
      </w:r>
      <w:r>
        <w:rPr>
          <w:rFonts w:ascii="Arial" w:cs="Arial" w:eastAsia="Arial" w:hAnsi="Arial"/>
          <w:sz w:val="16"/>
          <w:szCs w:val="16"/>
          <w:color w:val="auto"/>
        </w:rPr>
        <w:t>”) and its subsidiaries included or incorporated by reference in the Registration Statement and the General Disclosure Package present fairly the financial position of Linear Technology and its subsidiaries, as of the dates shown and their results of operations and cash flows for the periods shown,</w:t>
      </w:r>
    </w:p>
    <w:p>
      <w:pPr>
        <w:spacing w:after="0" w:line="1" w:lineRule="exact"/>
        <w:rPr>
          <w:rFonts w:ascii="Arial" w:cs="Arial" w:eastAsia="Arial" w:hAnsi="Arial"/>
          <w:sz w:val="16"/>
          <w:szCs w:val="16"/>
          <w:color w:val="auto"/>
        </w:rPr>
      </w:pPr>
    </w:p>
    <w:p>
      <w:pPr>
        <w:ind w:left="4" w:right="180" w:hanging="4"/>
        <w:spacing w:after="0" w:line="255" w:lineRule="auto"/>
        <w:tabs>
          <w:tab w:leader="none" w:pos="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financial statements have been prepared in conformity with U.S. GAAP applied on a consistent basis and (C) the schedules of Linear Technology and its subsidiaries included or incorporated by reference in the Registration Statement present fairly the information required to be stated therein.</w:t>
      </w:r>
    </w:p>
    <w:p>
      <w:pPr>
        <w:spacing w:after="0" w:line="81" w:lineRule="exact"/>
        <w:rPr>
          <w:rFonts w:ascii="Arial" w:cs="Arial" w:eastAsia="Arial" w:hAnsi="Arial"/>
          <w:sz w:val="18"/>
          <w:szCs w:val="18"/>
          <w:color w:val="auto"/>
        </w:rPr>
      </w:pPr>
    </w:p>
    <w:p>
      <w:pPr>
        <w:ind w:left="4" w:firstLine="948"/>
        <w:spacing w:after="0" w:line="271" w:lineRule="auto"/>
        <w:tabs>
          <w:tab w:leader="none" w:pos="1270" w:val="left"/>
        </w:tabs>
        <w:numPr>
          <w:ilvl w:val="2"/>
          <w:numId w:val="12"/>
        </w:numPr>
        <w:rPr>
          <w:rFonts w:ascii="Arial" w:cs="Arial" w:eastAsia="Arial" w:hAnsi="Arial"/>
          <w:sz w:val="17"/>
          <w:szCs w:val="17"/>
          <w:color w:val="auto"/>
        </w:rPr>
      </w:pPr>
      <w:r>
        <w:rPr>
          <w:rFonts w:ascii="Arial" w:cs="Arial" w:eastAsia="Arial" w:hAnsi="Arial"/>
          <w:sz w:val="17"/>
          <w:szCs w:val="17"/>
          <w:color w:val="auto"/>
        </w:rPr>
        <w:t>The pro forma financial statements and the assumptions used in preparing the pro forma financial statements included or incorporated by reference in the General Disclosure Package and the Registration Statement provide a reasonable basis for presenting the significant effects directly attributable to the transactions and events described therein, the related pro forma adjustments give appropriate effect to those assumptions, the pro forma adjustments reflect the proper application of those adjustments to the historical financial statement amounts in the pro forma financial statements included or incorporated by reference in the General Disclosure Package and the Registration Statement; the pro forma financial statements included or incorporated by reference in the General Disclosure Package and the Registration Statement comply as to form in all material respects with the applicable accounting requirements of Regulation S-X; and the pro forma adjustments have been properly applied in all material respects to the historical amounts in the compilation of those statements.</w:t>
      </w:r>
    </w:p>
    <w:p>
      <w:pPr>
        <w:spacing w:after="0" w:line="70" w:lineRule="exact"/>
        <w:rPr>
          <w:rFonts w:ascii="Arial" w:cs="Arial" w:eastAsia="Arial" w:hAnsi="Arial"/>
          <w:sz w:val="17"/>
          <w:szCs w:val="17"/>
          <w:color w:val="auto"/>
        </w:rPr>
      </w:pPr>
    </w:p>
    <w:p>
      <w:pPr>
        <w:ind w:left="4" w:right="20" w:firstLine="419"/>
        <w:spacing w:after="0" w:line="291" w:lineRule="auto"/>
        <w:tabs>
          <w:tab w:leader="none" w:pos="816"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No Material Adverse Change in Business</w:t>
      </w:r>
      <w:r>
        <w:rPr>
          <w:rFonts w:ascii="Arial" w:cs="Arial" w:eastAsia="Arial" w:hAnsi="Arial"/>
          <w:sz w:val="16"/>
          <w:szCs w:val="16"/>
          <w:color w:val="auto"/>
        </w:rPr>
        <w:t>. Since the end of the period covered by the latest audited financial statements included or</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by reference in the General Disclosure Package, (i) except as disclosed in the General Disclosure Package, there has been no change, nor any development or event involving a prospective change, in the condition (financial or otherwise), results of operations, business or properties of the Company and its subsidiaries, taken as a whole, that is material and adverse, (ii) except as disclosed in or contemplated by the General Disclosure Package, there has been no dividend or distribution of any kind declared, paid or made by the Company on any class of its capital stock and (iii) except as disclosed in or contemplated by the General Disclosure Package, there has been no material adverse change in the capital stock, long-term indebtedness or net assets of the Company and its subsidiaries, taken as a whole.</w:t>
      </w:r>
    </w:p>
    <w:p>
      <w:pPr>
        <w:spacing w:after="0" w:line="58" w:lineRule="exact"/>
        <w:rPr>
          <w:rFonts w:ascii="Arial" w:cs="Arial" w:eastAsia="Arial" w:hAnsi="Arial"/>
          <w:sz w:val="16"/>
          <w:szCs w:val="16"/>
          <w:color w:val="auto"/>
        </w:rPr>
      </w:pPr>
    </w:p>
    <w:p>
      <w:pPr>
        <w:ind w:left="4" w:right="260" w:firstLine="419"/>
        <w:spacing w:after="0" w:line="263" w:lineRule="auto"/>
        <w:tabs>
          <w:tab w:leader="none" w:pos="816"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immediately after giving effect to the offering and sale of the Securities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the proceeds thereof as described in the General Disclosure Package will not be, an “investment company” as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firstLine="419"/>
        <w:spacing w:after="0" w:line="259" w:lineRule="auto"/>
        <w:tabs>
          <w:tab w:leader="none" w:pos="806"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Ratings</w:t>
      </w:r>
      <w:r>
        <w:rPr>
          <w:rFonts w:ascii="Arial" w:cs="Arial" w:eastAsia="Arial" w:hAnsi="Arial"/>
          <w:sz w:val="18"/>
          <w:szCs w:val="18"/>
          <w:color w:val="auto"/>
        </w:rPr>
        <w:t>. No “nationally recognized statistical rating organization” as such term is defined under Section 3 of the Exchange Act (i) has</w:t>
      </w:r>
      <w:r>
        <w:rPr>
          <w:rFonts w:ascii="Arial" w:cs="Arial" w:eastAsia="Arial" w:hAnsi="Arial"/>
          <w:sz w:val="18"/>
          <w:szCs w:val="18"/>
          <w:i w:val="1"/>
          <w:iCs w:val="1"/>
          <w:color w:val="auto"/>
        </w:rPr>
        <w:t xml:space="preserve"> </w:t>
      </w:r>
      <w:r>
        <w:rPr>
          <w:rFonts w:ascii="Arial" w:cs="Arial" w:eastAsia="Arial" w:hAnsi="Arial"/>
          <w:sz w:val="18"/>
          <w:szCs w:val="18"/>
          <w:color w:val="auto"/>
        </w:rPr>
        <w:t>imposed (or has informed the Company that it is considering imposing) any condition (financial or otherwise) on the Company’s retaining any rating assigned to the Company or any securities of the Company or (ii) has told the Company that it is considering any of the actions described in Section 7(c)(ii) hereof.</w:t>
      </w:r>
    </w:p>
    <w:p>
      <w:pPr>
        <w:spacing w:after="0" w:line="79" w:lineRule="exact"/>
        <w:rPr>
          <w:sz w:val="20"/>
          <w:szCs w:val="20"/>
          <w:color w:val="auto"/>
        </w:rPr>
      </w:pPr>
    </w:p>
    <w:p>
      <w:pPr>
        <w:ind w:left="4" w:right="100" w:firstLine="419"/>
        <w:spacing w:after="0" w:line="254" w:lineRule="auto"/>
        <w:tabs>
          <w:tab w:leader="none" w:pos="88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None of the Company, or any of its subsidiaries, or, to the knowledge of the Company, any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directors, officers, employees, agents, affiliates or representatives, or, prior to its acquisition by the Company on March 10, 2017 (the “</w:t>
      </w:r>
      <w:r>
        <w:rPr>
          <w:rFonts w:ascii="Arial" w:cs="Arial" w:eastAsia="Arial" w:hAnsi="Arial"/>
          <w:sz w:val="18"/>
          <w:szCs w:val="18"/>
          <w:b w:val="1"/>
          <w:bCs w:val="1"/>
          <w:color w:val="auto"/>
        </w:rPr>
        <w:t>Acquisition Date</w:t>
      </w:r>
      <w:r>
        <w:rPr>
          <w:rFonts w:ascii="Arial" w:cs="Arial" w:eastAsia="Arial" w:hAnsi="Arial"/>
          <w:sz w:val="18"/>
          <w:szCs w:val="18"/>
          <w:color w:val="auto"/>
        </w:rPr>
        <w:t>”), Linear Technology or any of its subsidiaries, directors, officers, employees, agents, affiliates or representatives, is aware of or has taken any action, directly or indirectly, that would result in (i) a violation by such persons of the Foreign Corrupt Practices Act of 1977, as amended, and the rules and regulations thereunder (the “</w:t>
      </w:r>
      <w:r>
        <w:rPr>
          <w:rFonts w:ascii="Arial" w:cs="Arial" w:eastAsia="Arial" w:hAnsi="Arial"/>
          <w:sz w:val="18"/>
          <w:szCs w:val="18"/>
          <w:b w:val="1"/>
          <w:bCs w:val="1"/>
          <w:color w:val="auto"/>
        </w:rPr>
        <w:t>FCPA</w:t>
      </w:r>
      <w:r>
        <w:rPr>
          <w:rFonts w:ascii="Arial" w:cs="Arial" w:eastAsia="Arial" w:hAnsi="Arial"/>
          <w:sz w:val="18"/>
          <w:szCs w:val="18"/>
          <w:color w:val="auto"/>
        </w:rPr>
        <w:t>”), any regulation implementing the OECD Convention on Combating Bribery of Foreign Public Officials in International Business Transactions, (ii) such persons having committed an offence under the Bribery Act 2010 of the United Kingdom or (iii) a violation by such persons of, or such persons having committed an offence under, any other applicable anti-bribery or anti-corruption</w:t>
      </w:r>
    </w:p>
    <w:p>
      <w:pPr>
        <w:spacing w:after="0" w:line="12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4"/>
          </w:cols>
          <w:pgMar w:left="876" w:top="274" w:right="479" w:bottom="1440" w:gutter="0" w:footer="0" w:header="0"/>
        </w:sectPr>
      </w:pPr>
    </w:p>
    <w:bookmarkStart w:id="11" w:name="page12"/>
    <w:bookmarkEnd w:id="11"/>
    <w:p>
      <w:pPr>
        <w:ind w:left="440"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its subsidiaries have instituted and maintain and enforce policies and procedures designed and which are reasonably expected to continue to promote and ensure compliance with all applicable anti-bribery and anti-corruption laws, including, without limitation, the FCPA.</w:t>
      </w:r>
    </w:p>
    <w:p>
      <w:pPr>
        <w:spacing w:after="0" w:line="70" w:lineRule="exact"/>
        <w:rPr>
          <w:sz w:val="20"/>
          <w:szCs w:val="20"/>
          <w:color w:val="auto"/>
        </w:rPr>
      </w:pPr>
    </w:p>
    <w:p>
      <w:pPr>
        <w:ind w:left="440" w:right="140" w:firstLine="419"/>
        <w:spacing w:after="0" w:line="290" w:lineRule="auto"/>
        <w:tabs>
          <w:tab w:leader="none" w:pos="1343"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Anti-Money Laundering Laws</w:t>
      </w:r>
      <w:r>
        <w:rPr>
          <w:rFonts w:ascii="Arial" w:cs="Arial" w:eastAsia="Arial" w:hAnsi="Arial"/>
          <w:sz w:val="16"/>
          <w:szCs w:val="16"/>
          <w:color w:val="auto"/>
        </w:rPr>
        <w:t>. The operations of the Company and its subsidiaries, and, to the knowledge of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Linear Technology and its subsidiaries prior to the Acquisition Date, are and have been conducted at all times in compliance with applicable financial recordkeeping and reporting requirements, including those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or regulatory agency in all applicable jurisdictions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governmental authority or body, regulatory agency or arbitrator involving the Company or any of its subsidiaries, or, to the knowledge of the Company, Linear Technology or any of its subsidiaries, with respect to the Anti-Money Laundering Laws is pending or, to the knowledge of the Company, threatened.</w:t>
      </w:r>
    </w:p>
    <w:p>
      <w:pPr>
        <w:spacing w:after="0" w:line="57" w:lineRule="exact"/>
        <w:rPr>
          <w:rFonts w:ascii="Arial" w:cs="Arial" w:eastAsia="Arial" w:hAnsi="Arial"/>
          <w:sz w:val="16"/>
          <w:szCs w:val="16"/>
          <w:color w:val="auto"/>
        </w:rPr>
      </w:pPr>
    </w:p>
    <w:p>
      <w:pPr>
        <w:ind w:left="440" w:firstLine="419"/>
        <w:spacing w:after="0" w:line="286" w:lineRule="auto"/>
        <w:tabs>
          <w:tab w:leader="none" w:pos="1187"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OFAC</w:t>
      </w:r>
      <w:r>
        <w:rPr>
          <w:rFonts w:ascii="Arial" w:cs="Arial" w:eastAsia="Arial" w:hAnsi="Arial"/>
          <w:sz w:val="16"/>
          <w:szCs w:val="16"/>
          <w:color w:val="auto"/>
        </w:rPr>
        <w:t>. None of the Company or any of its subsidiaries, or, to the knowledge of the Company, any of their respective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agents, affiliates or representatives, is an individual or entity (“</w:t>
      </w:r>
      <w:r>
        <w:rPr>
          <w:rFonts w:ascii="Arial" w:cs="Arial" w:eastAsia="Arial" w:hAnsi="Arial"/>
          <w:sz w:val="16"/>
          <w:szCs w:val="16"/>
          <w:b w:val="1"/>
          <w:bCs w:val="1"/>
          <w:color w:val="auto"/>
        </w:rPr>
        <w:t>Person</w:t>
      </w:r>
      <w:r>
        <w:rPr>
          <w:rFonts w:ascii="Arial" w:cs="Arial" w:eastAsia="Arial" w:hAnsi="Arial"/>
          <w:sz w:val="16"/>
          <w:szCs w:val="16"/>
          <w:color w:val="auto"/>
        </w:rPr>
        <w:t>”) currently the target of any sanctions administered or enforced by the United States Government (including, without limitation, the Office of Foreign Assets Control of the United States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United States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target of Sanctions, including, without limitation, Cuba, Iran, North Korea, Sudan, Syria and Crimea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 and the Company will not, to the best of its knowledge, use the proceeds of the offering of the Securities hereunder, or lend, contribute or otherwise make available such proceeds to any subsidiary, joint venture partner or other Person (i) to fund or facilitate any activities of or business with any Person that, at the time of such funding or facilitation, is the target of Sanctions or (ii) to fund or facilitate any activities of or business in any Sanctioned Country. For the past five years, the Company and its subsidiaries, and, to the knowledge of the Company, prior to the Acquisition Date, Linear Technology and its subsidiaries, have not knowingly engaged in and are not now knowingly engaged in any dealings or transactions with any person that at the time of the dealing or transaction is or was the target of Sanctions or with any Sanctioned Country.</w:t>
      </w:r>
    </w:p>
    <w:p>
      <w:pPr>
        <w:spacing w:after="0" w:line="65" w:lineRule="exact"/>
        <w:rPr>
          <w:rFonts w:ascii="Arial" w:cs="Arial" w:eastAsia="Arial" w:hAnsi="Arial"/>
          <w:sz w:val="16"/>
          <w:szCs w:val="16"/>
          <w:color w:val="auto"/>
        </w:rPr>
      </w:pPr>
    </w:p>
    <w:p>
      <w:pPr>
        <w:ind w:left="440" w:firstLine="419"/>
        <w:spacing w:after="0" w:line="269" w:lineRule="auto"/>
        <w:tabs>
          <w:tab w:leader="none" w:pos="1208"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Cybersecurity; Data Protection. </w:t>
      </w:r>
      <w:r>
        <w:rPr>
          <w:rFonts w:ascii="Arial" w:cs="Arial" w:eastAsia="Arial" w:hAnsi="Arial"/>
          <w:sz w:val="17"/>
          <w:szCs w:val="17"/>
          <w:color w:val="auto"/>
        </w:rPr>
        <w:t>The Company and its subsidiaries have implemented and maintained commercially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policies, procedures and safeguards to maintain and protect their material confidential information and the integrity, continuous operation and security of all of their information technology assets and equipment, computers, systems, networks, hardware, software, websites, applications and databases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and data (including all personal, personally identifiable, sensitive, confidential or regulated data (“</w:t>
      </w:r>
      <w:r>
        <w:rPr>
          <w:rFonts w:ascii="Arial" w:cs="Arial" w:eastAsia="Arial" w:hAnsi="Arial"/>
          <w:sz w:val="17"/>
          <w:szCs w:val="17"/>
          <w:b w:val="1"/>
          <w:bCs w:val="1"/>
          <w:color w:val="auto"/>
        </w:rPr>
        <w:t>Personal Data</w:t>
      </w:r>
      <w:r>
        <w:rPr>
          <w:rFonts w:ascii="Arial" w:cs="Arial" w:eastAsia="Arial" w:hAnsi="Arial"/>
          <w:sz w:val="17"/>
          <w:szCs w:val="17"/>
          <w:color w:val="auto"/>
        </w:rPr>
        <w:t>”)) used in connection with their businesses. To the Company’s knowledge, there have been no breaches, violations, outages or unauthorized uses of or accesses to same, nor any material incidents under internal review or investigations relating to the same, except for such breaches, violations, outages, uses, accesses, incidents or investigations that have been remedied or resolved without material cost or liability.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2" w:lineRule="exact"/>
        <w:rPr>
          <w:sz w:val="20"/>
          <w:szCs w:val="20"/>
          <w:color w:val="auto"/>
        </w:rPr>
      </w:pPr>
    </w:p>
    <w:p>
      <w:pPr>
        <w:ind w:right="220" w:firstLine="436"/>
        <w:spacing w:after="0" w:line="301"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Purchase, Sale and Delivery of Securities</w:t>
      </w:r>
      <w:r>
        <w:rPr>
          <w:rFonts w:ascii="Arial" w:cs="Arial" w:eastAsia="Arial" w:hAnsi="Arial"/>
          <w:sz w:val="16"/>
          <w:szCs w:val="16"/>
          <w:color w:val="auto"/>
        </w:rPr>
        <w:t>. On the basis of the representations, warranties and agreements and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herein, the Company agrees to sell to the several Underwriters, and each of the Underwriters agrees, severally and not jointly, to purchase from the Company, at a purchase price of 98.896% of the principal amount thereof, the principal amounts of the Securities set forth opposite the names of the Underwriters in Schedule A hereto, plus accrued interest, if any, from April 8, 2020 to the Closing Date (as hereafter defined).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2" w:name="page13"/>
    <w:bookmarkEnd w:id="12"/>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will deliver the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the Representatives drawn to the order of Analog Devices, Inc. at the office of Cravath, Swaine &amp; Moore LLP, at 9:30 A.M., New York time, on April 8, 2020, or at such other time not later than seven full business days thereafter as the Representatives and the Company determine, such time being herein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 For purposes of Rule 15c6-1 under the Exchange Act, the Closing Date (if later than the otherwise applicable settlement date) shall be the settlement date for payment of funds and delivery of all the Securities sold pursuant to the offering. A copy of the Securities so to be delivered or evidence of their issuance will be made available for checking at the above office of Cravath, Swaine &amp; Moore LLP at least 24 hours prior to the Closing Date.</w:t>
      </w:r>
    </w:p>
    <w:p>
      <w:pPr>
        <w:spacing w:after="0" w:line="178" w:lineRule="exact"/>
        <w:rPr>
          <w:sz w:val="20"/>
          <w:szCs w:val="20"/>
          <w:color w:val="auto"/>
        </w:rPr>
      </w:pPr>
    </w:p>
    <w:p>
      <w:pPr>
        <w:ind w:right="180" w:firstLine="436"/>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 Prospectus.</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Certain Agreements of the Company</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440" w:right="60" w:firstLine="419"/>
        <w:spacing w:after="0" w:line="263" w:lineRule="auto"/>
        <w:tabs>
          <w:tab w:leader="none" w:pos="1242"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Filing of Prospectuses. </w:t>
      </w:r>
      <w:r>
        <w:rPr>
          <w:rFonts w:ascii="Arial" w:cs="Arial" w:eastAsia="Arial" w:hAnsi="Arial"/>
          <w:sz w:val="18"/>
          <w:szCs w:val="18"/>
          <w:color w:val="auto"/>
        </w:rPr>
        <w:t>The Company has filed or will file each Statutory Prospectus (including the Final Prospectus) pursuant to and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Rule 424(b) not later than the second business day following the earlier of the date it is first used or the execution and delivery of this Agreement. The Company has complied and will comply with Rule 433.</w:t>
      </w:r>
    </w:p>
    <w:p>
      <w:pPr>
        <w:spacing w:after="0" w:line="75" w:lineRule="exact"/>
        <w:rPr>
          <w:rFonts w:ascii="Arial" w:cs="Arial" w:eastAsia="Arial" w:hAnsi="Arial"/>
          <w:sz w:val="18"/>
          <w:szCs w:val="18"/>
          <w:color w:val="auto"/>
        </w:rPr>
      </w:pPr>
    </w:p>
    <w:p>
      <w:pPr>
        <w:ind w:left="440" w:firstLine="419"/>
        <w:spacing w:after="0" w:line="288" w:lineRule="auto"/>
        <w:tabs>
          <w:tab w:leader="none" w:pos="1253"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Filing of Amendments; Response to Commission Requests</w:t>
      </w:r>
      <w:r>
        <w:rPr>
          <w:rFonts w:ascii="Arial" w:cs="Arial" w:eastAsia="Arial" w:hAnsi="Arial"/>
          <w:sz w:val="16"/>
          <w:szCs w:val="16"/>
          <w:color w:val="auto"/>
        </w:rPr>
        <w:t>. For so long as a prospectus relating to the Securities is (or but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exemption in Rule 172 would be) required to be delivered under the Act by any Underwriter or dealer, the Company will promptly advise the Representatives of any proposal to amend or supplement the Registration Statement or any Statutory Prospectus at any time and will offer the Representatives a reasonable opportunity to comment on any such amendment or supplement; and the Company will also advise the Representatives promptly of (i) the filing of any such amendment or supplement, (ii) any request by the Commission or its staff for any amendment to the Registration Statement, for any supplement to any Statutory Prospectus or for any additional information, (iii) the institution by the Commission of any stop order proceedings in respect of the Registration Statement or the threatening of any proceeding for that purpose and (iv) the receipt by the Company of any notification with respect to the suspension of the qualification of the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60" w:lineRule="exact"/>
        <w:rPr>
          <w:rFonts w:ascii="Arial" w:cs="Arial" w:eastAsia="Arial" w:hAnsi="Arial"/>
          <w:sz w:val="16"/>
          <w:szCs w:val="16"/>
          <w:color w:val="auto"/>
        </w:rPr>
      </w:pPr>
    </w:p>
    <w:p>
      <w:pPr>
        <w:ind w:left="440" w:firstLine="419"/>
        <w:spacing w:after="0" w:line="270" w:lineRule="auto"/>
        <w:tabs>
          <w:tab w:leader="none" w:pos="1242"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If, at any time when a prospectus relating to the Securities is (or but for the exemption in</w:t>
      </w:r>
      <w:r>
        <w:rPr>
          <w:rFonts w:ascii="Arial" w:cs="Arial" w:eastAsia="Arial" w:hAnsi="Arial"/>
          <w:sz w:val="17"/>
          <w:szCs w:val="17"/>
          <w:i w:val="1"/>
          <w:iCs w:val="1"/>
          <w:color w:val="auto"/>
        </w:rPr>
        <w:t xml:space="preserve"> </w:t>
      </w:r>
      <w:r>
        <w:rPr>
          <w:rFonts w:ascii="Arial" w:cs="Arial" w:eastAsia="Arial" w:hAnsi="Arial"/>
          <w:sz w:val="17"/>
          <w:szCs w:val="17"/>
          <w:color w:val="auto"/>
        </w:rPr>
        <w:t>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72" w:lineRule="exact"/>
        <w:rPr>
          <w:rFonts w:ascii="Arial" w:cs="Arial" w:eastAsia="Arial" w:hAnsi="Arial"/>
          <w:sz w:val="17"/>
          <w:szCs w:val="17"/>
          <w:color w:val="auto"/>
        </w:rPr>
      </w:pPr>
    </w:p>
    <w:p>
      <w:pPr>
        <w:ind w:left="440" w:right="440" w:firstLine="419"/>
        <w:spacing w:after="0" w:line="263" w:lineRule="auto"/>
        <w:tabs>
          <w:tab w:leader="none" w:pos="1253"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As soon as practicable, but not later than 16 months after the date of this Agreement, the Company will make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its securityholders an earnings statement covering a period of at least 12 months beginning after the date of this Agreement and satisfying the provisions of Section 11(a) of the Act and Rule 158.</w:t>
      </w:r>
    </w:p>
    <w:p>
      <w:pPr>
        <w:spacing w:after="0" w:line="75" w:lineRule="exact"/>
        <w:rPr>
          <w:rFonts w:ascii="Arial" w:cs="Arial" w:eastAsia="Arial" w:hAnsi="Arial"/>
          <w:sz w:val="18"/>
          <w:szCs w:val="18"/>
          <w:color w:val="auto"/>
        </w:rPr>
      </w:pPr>
    </w:p>
    <w:p>
      <w:pPr>
        <w:ind w:left="440" w:right="20" w:firstLine="419"/>
        <w:spacing w:after="0" w:line="259" w:lineRule="auto"/>
        <w:tabs>
          <w:tab w:leader="none" w:pos="1242"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Furnishing of Prospectuses</w:t>
      </w:r>
      <w:r>
        <w:rPr>
          <w:rFonts w:ascii="Arial" w:cs="Arial" w:eastAsia="Arial" w:hAnsi="Arial"/>
          <w:sz w:val="18"/>
          <w:szCs w:val="18"/>
          <w:color w:val="auto"/>
        </w:rPr>
        <w:t>. The Company will furnish to the Representatives copies of the Registration Statement, including all</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any Statutory Prospectus, the Final Prospectus and all amendments and supplements to such documents, in each case as soon as available and in such quantities as the Representatives reasonably request. The Company will pay the expenses of printing and distributing to the Underwriters all such documents.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left="440" w:right="60" w:firstLine="419"/>
        <w:spacing w:after="0" w:line="257" w:lineRule="auto"/>
        <w:tabs>
          <w:tab w:leader="none" w:pos="1223"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Blue Sky Qualifications</w:t>
      </w:r>
      <w:r>
        <w:rPr>
          <w:rFonts w:ascii="Arial" w:cs="Arial" w:eastAsia="Arial" w:hAnsi="Arial"/>
          <w:sz w:val="18"/>
          <w:szCs w:val="18"/>
          <w:color w:val="auto"/>
        </w:rPr>
        <w:t>. The Company will arrange for the qualification of the Securities for sale and the determination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eligibility for investment under the laws of such jurisdictions as the Representatives designate and will continue such qualifications in effect so long as required for the distribution; provided that the Company shall not be required to qualify to transact business or to take any action that would subject it to general service of process in any such jurisdiction where it is not currently qualified or where it would be subject to taxation as a foreign business.</w:t>
      </w:r>
    </w:p>
    <w:p>
      <w:pPr>
        <w:spacing w:after="0" w:line="187" w:lineRule="exact"/>
        <w:rPr>
          <w:rFonts w:ascii="Arial" w:cs="Arial" w:eastAsia="Arial" w:hAnsi="Arial"/>
          <w:sz w:val="18"/>
          <w:szCs w:val="18"/>
          <w:color w:val="auto"/>
        </w:rPr>
      </w:pPr>
    </w:p>
    <w:p>
      <w:pPr>
        <w:ind w:left="1120" w:hanging="261"/>
        <w:spacing w:after="0"/>
        <w:tabs>
          <w:tab w:leader="none" w:pos="1120"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Reporting Requirements</w:t>
      </w:r>
      <w:r>
        <w:rPr>
          <w:rFonts w:ascii="Arial" w:cs="Arial" w:eastAsia="Arial" w:hAnsi="Arial"/>
          <w:sz w:val="16"/>
          <w:szCs w:val="16"/>
          <w:color w:val="auto"/>
        </w:rPr>
        <w:t>. For so long as delivery of a prospectus by an Underwriter or dealer may be (or but for the exception in Rule</w:t>
      </w:r>
    </w:p>
    <w:p>
      <w:pPr>
        <w:spacing w:after="0" w:line="46" w:lineRule="exact"/>
        <w:rPr>
          <w:rFonts w:ascii="Arial" w:cs="Arial" w:eastAsia="Arial" w:hAnsi="Arial"/>
          <w:sz w:val="16"/>
          <w:szCs w:val="16"/>
          <w:color w:val="auto"/>
        </w:rPr>
      </w:pPr>
    </w:p>
    <w:p>
      <w:pPr>
        <w:ind w:left="440" w:hanging="4"/>
        <w:spacing w:after="0" w:line="251" w:lineRule="auto"/>
        <w:tabs>
          <w:tab w:leader="none" w:pos="7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would be) required under the Act, the Company will furnish to the Representatives and, upon request, to each of the other Underwriters, as soon as practicable after the end of each fiscal year, a copy of its annual report to stockholders for such year as is required to be filed by the Company with the Commission; and the Company will furnish to the Representatives (i) as soon as available, a copy of each report and any definitive proxy statement of the Company filed with the Commission under the Exchange Act or mailed to stockholders,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it is not required to furnish such reports or statements to the Underwriters.</w:t>
      </w:r>
    </w:p>
    <w:p>
      <w:pPr>
        <w:spacing w:after="0" w:line="89" w:lineRule="exact"/>
        <w:rPr>
          <w:rFonts w:ascii="Arial" w:cs="Arial" w:eastAsia="Arial" w:hAnsi="Arial"/>
          <w:sz w:val="18"/>
          <w:szCs w:val="18"/>
          <w:color w:val="auto"/>
        </w:rPr>
      </w:pPr>
    </w:p>
    <w:p>
      <w:pPr>
        <w:ind w:left="440" w:right="160" w:firstLine="419"/>
        <w:spacing w:after="0" w:line="286" w:lineRule="auto"/>
        <w:tabs>
          <w:tab w:leader="none" w:pos="1253"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Payment of Expenses</w:t>
      </w:r>
      <w:r>
        <w:rPr>
          <w:rFonts w:ascii="Arial" w:cs="Arial" w:eastAsia="Arial" w:hAnsi="Arial"/>
          <w:sz w:val="16"/>
          <w:szCs w:val="16"/>
          <w:color w:val="auto"/>
        </w:rPr>
        <w:t>. The Company will pay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but not limited to any filing fees and other expenses (including fees and disbursements of counsel to the Underwriters) incurred in connection with qualification of the Securities for sale under the laws of such jurisdictions as the Representatives designate pursuant to Section 5(f) hereof and the preparation and printing of memoranda relating thereto, any fees charged by investment rating agencies for the rating</w:t>
      </w:r>
    </w:p>
    <w:p>
      <w:pPr>
        <w:spacing w:after="0" w:line="1" w:lineRule="exact"/>
        <w:rPr>
          <w:rFonts w:ascii="Arial" w:cs="Arial" w:eastAsia="Arial" w:hAnsi="Arial"/>
          <w:sz w:val="16"/>
          <w:szCs w:val="16"/>
          <w:color w:val="auto"/>
        </w:rPr>
      </w:pPr>
    </w:p>
    <w:p>
      <w:pPr>
        <w:ind w:left="440" w:right="20"/>
        <w:spacing w:after="0" w:line="269" w:lineRule="auto"/>
        <w:rPr>
          <w:rFonts w:ascii="Arial" w:cs="Arial" w:eastAsia="Arial" w:hAnsi="Arial"/>
          <w:sz w:val="16"/>
          <w:szCs w:val="16"/>
          <w:color w:val="auto"/>
        </w:rPr>
      </w:pPr>
      <w:r>
        <w:rPr>
          <w:rFonts w:ascii="Arial" w:cs="Arial" w:eastAsia="Arial" w:hAnsi="Arial"/>
          <w:sz w:val="17"/>
          <w:szCs w:val="17"/>
          <w:color w:val="auto"/>
        </w:rPr>
        <w:t>of the Securities, any fees charged by a second party opinion provider for any second party opinion in respect of the Securities, costs and expenses relating to investor presentations or any “road show” in connection with the offering and sale of the Securities including, without limitation, any travel expenses of the Company’s officers and employees and any other expenses of the Company, fees and expenses in connection with the registration of the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It is understood, however, that, except as provided in this Section 5 and Sections 8 and 10 hereof, the Underwriters will pay the fees of their counsel.</w:t>
      </w:r>
    </w:p>
    <w:p>
      <w:pPr>
        <w:spacing w:after="0" w:line="72" w:lineRule="exact"/>
        <w:rPr>
          <w:rFonts w:ascii="Arial" w:cs="Arial" w:eastAsia="Arial" w:hAnsi="Arial"/>
          <w:sz w:val="16"/>
          <w:szCs w:val="16"/>
          <w:color w:val="auto"/>
        </w:rPr>
      </w:pPr>
    </w:p>
    <w:p>
      <w:pPr>
        <w:jc w:val="both"/>
        <w:ind w:left="440" w:right="60" w:firstLine="419"/>
        <w:spacing w:after="0" w:line="311" w:lineRule="auto"/>
        <w:tabs>
          <w:tab w:leader="none" w:pos="1213"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Company will use the net proceeds received in connection with this offering in the manner described in the “Use</w:t>
      </w:r>
      <w:r>
        <w:rPr>
          <w:rFonts w:ascii="Arial" w:cs="Arial" w:eastAsia="Arial" w:hAnsi="Arial"/>
          <w:sz w:val="16"/>
          <w:szCs w:val="16"/>
          <w:i w:val="1"/>
          <w:iCs w:val="1"/>
          <w:color w:val="auto"/>
        </w:rPr>
        <w:t xml:space="preserve"> </w:t>
      </w:r>
      <w:r>
        <w:rPr>
          <w:rFonts w:ascii="Arial" w:cs="Arial" w:eastAsia="Arial" w:hAnsi="Arial"/>
          <w:sz w:val="16"/>
          <w:szCs w:val="16"/>
          <w:color w:val="auto"/>
        </w:rPr>
        <w:t>of Proceeds” section of the General Disclosure Package and, except as disclosed in the General Disclosure Package, the Company does not intend to use any of the proceeds from the sale of the Securities hereunder to repay any outstanding debt owed to any affiliate of any Underwriter.</w:t>
      </w:r>
    </w:p>
    <w:p>
      <w:pPr>
        <w:spacing w:after="0" w:line="40" w:lineRule="exact"/>
        <w:rPr>
          <w:rFonts w:ascii="Arial" w:cs="Arial" w:eastAsia="Arial" w:hAnsi="Arial"/>
          <w:sz w:val="16"/>
          <w:szCs w:val="16"/>
          <w:color w:val="auto"/>
        </w:rPr>
      </w:pPr>
    </w:p>
    <w:p>
      <w:pPr>
        <w:ind w:left="440" w:right="60" w:firstLine="419"/>
        <w:spacing w:after="0" w:line="263" w:lineRule="auto"/>
        <w:tabs>
          <w:tab w:leader="none" w:pos="1213"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will not take, directly or indirectly, any action designed to or that would constitute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might reasonably be expected to cause or result in, stabilization or manipulation of the price of any securities of the Company to facilitate the sale or resale of the Securities.</w:t>
      </w:r>
    </w:p>
    <w:p>
      <w:pPr>
        <w:spacing w:after="0" w:line="75" w:lineRule="exact"/>
        <w:rPr>
          <w:rFonts w:ascii="Arial" w:cs="Arial" w:eastAsia="Arial" w:hAnsi="Arial"/>
          <w:sz w:val="18"/>
          <w:szCs w:val="18"/>
          <w:color w:val="auto"/>
        </w:rPr>
      </w:pPr>
    </w:p>
    <w:p>
      <w:pPr>
        <w:ind w:left="440" w:right="20" w:firstLine="419"/>
        <w:spacing w:after="0" w:line="257" w:lineRule="auto"/>
        <w:tabs>
          <w:tab w:leader="none" w:pos="1253"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Restriction on Sale of Securities. </w:t>
      </w:r>
      <w:r>
        <w:rPr>
          <w:rFonts w:ascii="Arial" w:cs="Arial" w:eastAsia="Arial" w:hAnsi="Arial"/>
          <w:sz w:val="18"/>
          <w:szCs w:val="18"/>
          <w:color w:val="auto"/>
        </w:rPr>
        <w:t>The Company will not offer, sell, contract to sell, pledge or otherwise dispose of,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or file with the Commission a registration statement under the Act relating to United States dollar-denominated debt securities issued or guaranteed by the Company and having a maturity of more than one year from the date of issue, or publicly disclose the intention to make any such offer, sale, pledge, disposition or filing, without the prior written consent of the Representatives for a period beginning on the date hereof and ending on the Closing Date.</w:t>
      </w:r>
    </w:p>
    <w:p>
      <w:pPr>
        <w:spacing w:after="0" w:line="187" w:lineRule="exact"/>
        <w:rPr>
          <w:rFonts w:ascii="Arial" w:cs="Arial" w:eastAsia="Arial" w:hAnsi="Arial"/>
          <w:sz w:val="18"/>
          <w:szCs w:val="18"/>
          <w:color w:val="auto"/>
        </w:rPr>
      </w:pPr>
    </w:p>
    <w:p>
      <w:pPr>
        <w:ind w:right="40" w:firstLine="436"/>
        <w:spacing w:after="0" w:line="263"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Free Writing Prospectuses</w:t>
      </w:r>
      <w:r>
        <w:rPr>
          <w:rFonts w:ascii="Arial" w:cs="Arial" w:eastAsia="Arial" w:hAnsi="Arial"/>
          <w:sz w:val="18"/>
          <w:szCs w:val="18"/>
          <w:color w:val="auto"/>
        </w:rPr>
        <w:t>. (a)</w:t>
      </w:r>
      <w:r>
        <w:rPr>
          <w:rFonts w:ascii="Arial" w:cs="Arial" w:eastAsia="Arial" w:hAnsi="Arial"/>
          <w:sz w:val="18"/>
          <w:szCs w:val="18"/>
          <w:i w:val="1"/>
          <w:iCs w:val="1"/>
          <w:color w:val="auto"/>
        </w:rPr>
        <w:t xml:space="preserve"> Issuer Free Writing Prospectuses</w:t>
      </w:r>
      <w:r>
        <w:rPr>
          <w:rFonts w:ascii="Arial" w:cs="Arial" w:eastAsia="Arial" w:hAnsi="Arial"/>
          <w:sz w:val="18"/>
          <w:szCs w:val="18"/>
          <w:color w:val="auto"/>
        </w:rPr>
        <w:t>. The Company represents and agrees that, unless it obtains the prior consent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Representatives, and each Underwriter represents and agrees that, unless it obtains the prior consent of the Company and the Representatives, it has not made and will not make any offer relating to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8"/>
          <w:szCs w:val="18"/>
          <w:b w:val="1"/>
          <w:bCs w:val="1"/>
          <w:color w:val="auto"/>
        </w:rPr>
        <w:t>Permitted Free Writing Prospectus</w:t>
      </w:r>
      <w:r>
        <w:rPr>
          <w:rFonts w:ascii="Arial" w:cs="Arial" w:eastAsia="Arial" w:hAnsi="Arial"/>
          <w:sz w:val="18"/>
          <w:szCs w:val="18"/>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w:t>
      </w:r>
    </w:p>
    <w:p>
      <w:pPr>
        <w:spacing w:after="0" w:line="84" w:lineRule="exact"/>
        <w:rPr>
          <w:sz w:val="20"/>
          <w:szCs w:val="20"/>
          <w:color w:val="auto"/>
        </w:rPr>
      </w:pPr>
    </w:p>
    <w:p>
      <w:pPr>
        <w:ind w:left="440" w:firstLine="419"/>
        <w:spacing w:after="0" w:line="270" w:lineRule="auto"/>
        <w:tabs>
          <w:tab w:leader="none" w:pos="1118"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Term Sheets</w:t>
      </w:r>
      <w:r>
        <w:rPr>
          <w:rFonts w:ascii="Arial" w:cs="Arial" w:eastAsia="Arial" w:hAnsi="Arial"/>
          <w:sz w:val="17"/>
          <w:szCs w:val="17"/>
          <w:color w:val="auto"/>
        </w:rPr>
        <w:t>. The Company will prepare a final term sheet relating to the Securities, containing only information that describes the final</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Securities and otherwise in a form consented to by the Representatives, and will file such final term sheet within the period required by Rule 433(d)(5)(ii) following the date such final terms have been established for the offering of the Securities. Any such final term sheet is an Issuer Free Writing Prospectus and a Permitted Free Writing Prospectus for purposes of this Agreement. The Company also consents to the use by any Underwriter of a free writing prospectus that contains only (i) (x) information describing the preliminary terms of the Securities or their offering or (y) information that describes the final terms of the Securities or their offering and that is included in the final term sheet of the Company contemplated in the first sentence of this subsection or (ii) other information that is not “issuer information,” as defined in Rule 433, it being understood that any such free writing prospectus referred to in clause (i) or (ii) above shall not be an Issuer Free Writing Prospectus for purposes of this Agreement.</w:t>
      </w:r>
    </w:p>
    <w:p>
      <w:pPr>
        <w:spacing w:after="0" w:line="180" w:lineRule="exact"/>
        <w:rPr>
          <w:rFonts w:ascii="Arial" w:cs="Arial" w:eastAsia="Arial" w:hAnsi="Arial"/>
          <w:sz w:val="17"/>
          <w:szCs w:val="17"/>
          <w:color w:val="auto"/>
        </w:rPr>
      </w:pPr>
    </w:p>
    <w:p>
      <w:pPr>
        <w:ind w:firstLine="436"/>
        <w:spacing w:after="0" w:line="259"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Conditions of the Obligations of the Underwriters</w:t>
      </w:r>
      <w:r>
        <w:rPr>
          <w:rFonts w:ascii="Arial" w:cs="Arial" w:eastAsia="Arial" w:hAnsi="Arial"/>
          <w:sz w:val="18"/>
          <w:szCs w:val="18"/>
          <w:color w:val="auto"/>
        </w:rPr>
        <w:t>. The obligations of the several Underwriters to purchase and pay for the Securities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will be subject to the accuracy of the representations and warranties of the Company herein (as though made on the Closing Date), to the accuracy of the statements of Company officers made pursuant to the provisions hereof, to the performance by the Company of its obligations hereunder and to the following additional conditions precedent:</w:t>
      </w:r>
    </w:p>
    <w:p>
      <w:pPr>
        <w:spacing w:after="0" w:line="78" w:lineRule="exact"/>
        <w:rPr>
          <w:rFonts w:ascii="Arial" w:cs="Arial" w:eastAsia="Arial" w:hAnsi="Arial"/>
          <w:sz w:val="18"/>
          <w:szCs w:val="18"/>
          <w:color w:val="auto"/>
        </w:rPr>
      </w:pPr>
    </w:p>
    <w:p>
      <w:pPr>
        <w:ind w:left="440" w:right="80" w:firstLine="419"/>
        <w:spacing w:after="0" w:line="257" w:lineRule="auto"/>
        <w:tabs>
          <w:tab w:leader="none" w:pos="1104"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Accountants’ Comfort Letters</w:t>
      </w:r>
      <w:r>
        <w:rPr>
          <w:rFonts w:ascii="Arial" w:cs="Arial" w:eastAsia="Arial" w:hAnsi="Arial"/>
          <w:sz w:val="18"/>
          <w:szCs w:val="18"/>
          <w:color w:val="auto"/>
        </w:rPr>
        <w:t>. The Representatives shall have received letters, dated, respectively, the date hereof and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Ernst &amp; Young LLP, Boston, Massachusetts, as independent registered public accountants for the Company, confirming that they are a registered public accounting firm and independent public accountants within the meaning of the Securities Laws and substantially in the form of Exhibit A hereto (except that, in any letter dated the Closing Date, the specified date referred to in Exhibit A hereto shall be a date no more than five days prior to the Closing Date).</w:t>
      </w:r>
    </w:p>
    <w:p>
      <w:pPr>
        <w:spacing w:after="0" w:line="79" w:lineRule="exact"/>
        <w:rPr>
          <w:rFonts w:ascii="Arial" w:cs="Arial" w:eastAsia="Arial" w:hAnsi="Arial"/>
          <w:sz w:val="18"/>
          <w:szCs w:val="18"/>
          <w:color w:val="auto"/>
        </w:rPr>
      </w:pPr>
    </w:p>
    <w:p>
      <w:pPr>
        <w:jc w:val="both"/>
        <w:ind w:left="440" w:right="40" w:firstLine="419"/>
        <w:spacing w:after="0" w:line="259" w:lineRule="auto"/>
        <w:tabs>
          <w:tab w:leader="none" w:pos="1118"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Filing of Prospectus. </w:t>
      </w:r>
      <w:r>
        <w:rPr>
          <w:rFonts w:ascii="Arial" w:cs="Arial" w:eastAsia="Arial" w:hAnsi="Arial"/>
          <w:sz w:val="18"/>
          <w:szCs w:val="18"/>
          <w:color w:val="auto"/>
        </w:rPr>
        <w:t>The Final Prospectus shall have been filed with the Commission in accordance with the Rules and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5(a) hereof. No stop order suspending the effectiveness of the Registration Statement or of any part thereof shall have been issued and no proceedings for that purpose shall have been instituted or, to the knowledge of the Company or any Underwriter, shall be contemplated by the Commission.</w:t>
      </w:r>
    </w:p>
    <w:p>
      <w:pPr>
        <w:spacing w:after="0" w:line="78" w:lineRule="exact"/>
        <w:rPr>
          <w:rFonts w:ascii="Arial" w:cs="Arial" w:eastAsia="Arial" w:hAnsi="Arial"/>
          <w:sz w:val="18"/>
          <w:szCs w:val="18"/>
          <w:color w:val="auto"/>
        </w:rPr>
      </w:pPr>
    </w:p>
    <w:p>
      <w:pPr>
        <w:ind w:left="440" w:firstLine="419"/>
        <w:spacing w:after="0" w:line="268" w:lineRule="auto"/>
        <w:tabs>
          <w:tab w:leader="none" w:pos="1107"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Subsequent to the execution and delivery of this Agreement, there shall not have occurred (i) any change,</w:t>
      </w:r>
      <w:r>
        <w:rPr>
          <w:rFonts w:ascii="Arial" w:cs="Arial" w:eastAsia="Arial" w:hAnsi="Arial"/>
          <w:sz w:val="17"/>
          <w:szCs w:val="17"/>
          <w:i w:val="1"/>
          <w:iCs w:val="1"/>
          <w:color w:val="auto"/>
        </w:rPr>
        <w:t xml:space="preserve"> </w:t>
      </w:r>
      <w:r>
        <w:rPr>
          <w:rFonts w:ascii="Arial" w:cs="Arial" w:eastAsia="Arial" w:hAnsi="Arial"/>
          <w:sz w:val="17"/>
          <w:szCs w:val="17"/>
          <w:color w:val="auto"/>
        </w:rPr>
        <w:t>or any development or event involving a prospective change, in the condition (financial or otherwise), results of operations, business or properties of the Company and its subsidiaries, taken as a whole, which, in the judgment of the Representatives, is material and adverse and makes it impractical or inadvisable to market the Securities; (ii) any downgrading in the rating of any debt securities of the Company by any “nationally recognized statistical rating organization” (as defined for purposes of Rule 3(a)(62) under the Exchange Act), or any public announcement that any such organization has under surveillance or review its rating of any debt securities of the Company (other than an announcement with positive implications of a possible upgrading, and no implication of a possible downgrading, of such rating); (iii) any change in U.S. or international financial, political or economic conditions or currency exchange rates or exchange controls the effect of which is such as to make it, in the judgment of the Representatives, impractical to market or to enforce contracts for the sale of the Securities, whether in the primary market or in respect of dealings in the secondary market; (iv) any suspension or material limitation of trading in securities generally on the Nasdaq Global Select Market, or any setting of minimum or maximum prices for trading on such exchange; (v) any suspension of trading of any securities of the Company on any exchange or in the over-the-counter market; (vi) any banking moratorium declared by any U.S. federal or New York authorities; (vii) any major disruption of settlements of securities, payment, or clearance services in the United States or any other country where such securities are listed; or (viii) any attack on, outbreak or escalation of hostilities or act of terrorism involving the United States, any declaration of war by Congress or any other national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5" w:name="page16"/>
    <w:bookmarkEnd w:id="15"/>
    <w:p>
      <w:pPr>
        <w:ind w:left="444"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international calamity or emergency if, in the judgment of the Representatives, the effect of any such attack, outbreak, escalation, act, declaration, calamity or emergency is such as to make it impractical or inadvisable to offer, sell or deliver the Securities (each event described in clauses (i) – (viii) being referred to as a “</w:t>
      </w:r>
      <w:r>
        <w:rPr>
          <w:rFonts w:ascii="Arial" w:cs="Arial" w:eastAsia="Arial" w:hAnsi="Arial"/>
          <w:sz w:val="17"/>
          <w:szCs w:val="17"/>
          <w:b w:val="1"/>
          <w:bCs w:val="1"/>
          <w:color w:val="auto"/>
        </w:rPr>
        <w:t>Disruptive Event</w:t>
      </w:r>
      <w:r>
        <w:rPr>
          <w:rFonts w:ascii="Arial" w:cs="Arial" w:eastAsia="Arial" w:hAnsi="Arial"/>
          <w:sz w:val="17"/>
          <w:szCs w:val="17"/>
          <w:color w:val="auto"/>
        </w:rPr>
        <w:t>”). For the avoidance of doubt, the occurrence of the COVID-19 outbreak, as it exists as of the execution and delivery of this Agreement, shall not constitute a Disruptive Event; provided, however, that a worsening of such outbreak subsequent to the execution and delivery of this Agreement may constitute a Disruptive Event.</w:t>
      </w:r>
    </w:p>
    <w:p>
      <w:pPr>
        <w:spacing w:after="0" w:line="68" w:lineRule="exact"/>
        <w:rPr>
          <w:sz w:val="20"/>
          <w:szCs w:val="20"/>
          <w:color w:val="auto"/>
        </w:rPr>
      </w:pPr>
    </w:p>
    <w:p>
      <w:pPr>
        <w:ind w:left="444" w:right="380" w:firstLine="419"/>
        <w:spacing w:after="0" w:line="277" w:lineRule="auto"/>
        <w:tabs>
          <w:tab w:leader="none" w:pos="1122"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Opinion of Counsel for the Company</w:t>
      </w:r>
      <w:r>
        <w:rPr>
          <w:rFonts w:ascii="Arial" w:cs="Arial" w:eastAsia="Arial" w:hAnsi="Arial"/>
          <w:sz w:val="18"/>
          <w:szCs w:val="18"/>
          <w:color w:val="auto"/>
        </w:rPr>
        <w:t>. The Representatives shall have received an opinion, dated the Closing Date, of Wilmer Cutler</w:t>
      </w:r>
      <w:r>
        <w:rPr>
          <w:rFonts w:ascii="Arial" w:cs="Arial" w:eastAsia="Arial" w:hAnsi="Arial"/>
          <w:sz w:val="18"/>
          <w:szCs w:val="18"/>
          <w:i w:val="1"/>
          <w:iCs w:val="1"/>
          <w:color w:val="auto"/>
        </w:rPr>
        <w:t xml:space="preserve"> </w:t>
      </w:r>
      <w:r>
        <w:rPr>
          <w:rFonts w:ascii="Arial" w:cs="Arial" w:eastAsia="Arial" w:hAnsi="Arial"/>
          <w:sz w:val="18"/>
          <w:szCs w:val="18"/>
          <w:color w:val="auto"/>
        </w:rPr>
        <w:t>Pickering Hale and Dorr LLP, counsel for the Company, in the form of Exhibit B hereto.</w:t>
      </w:r>
    </w:p>
    <w:p>
      <w:pPr>
        <w:spacing w:after="0" w:line="62" w:lineRule="exact"/>
        <w:rPr>
          <w:rFonts w:ascii="Arial" w:cs="Arial" w:eastAsia="Arial" w:hAnsi="Arial"/>
          <w:sz w:val="18"/>
          <w:szCs w:val="18"/>
          <w:color w:val="auto"/>
        </w:rPr>
      </w:pPr>
    </w:p>
    <w:p>
      <w:pPr>
        <w:ind w:left="444" w:right="480" w:firstLine="419"/>
        <w:spacing w:after="0" w:line="277" w:lineRule="auto"/>
        <w:tabs>
          <w:tab w:leader="none" w:pos="111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Opinion of General Counsel of the Company. </w:t>
      </w:r>
      <w:r>
        <w:rPr>
          <w:rFonts w:ascii="Arial" w:cs="Arial" w:eastAsia="Arial" w:hAnsi="Arial"/>
          <w:sz w:val="18"/>
          <w:szCs w:val="18"/>
          <w:color w:val="auto"/>
        </w:rPr>
        <w:t>The Representatives shall have received an opinion, dated the Closing Date, of Larry</w:t>
      </w:r>
      <w:r>
        <w:rPr>
          <w:rFonts w:ascii="Arial" w:cs="Arial" w:eastAsia="Arial" w:hAnsi="Arial"/>
          <w:sz w:val="18"/>
          <w:szCs w:val="18"/>
          <w:i w:val="1"/>
          <w:iCs w:val="1"/>
          <w:color w:val="auto"/>
        </w:rPr>
        <w:t xml:space="preserve"> </w:t>
      </w:r>
      <w:r>
        <w:rPr>
          <w:rFonts w:ascii="Arial" w:cs="Arial" w:eastAsia="Arial" w:hAnsi="Arial"/>
          <w:sz w:val="18"/>
          <w:szCs w:val="18"/>
          <w:color w:val="auto"/>
        </w:rPr>
        <w:t>Weiss, General Counsel of the Company, in the form of Exhibit C hereto.</w:t>
      </w:r>
    </w:p>
    <w:p>
      <w:pPr>
        <w:spacing w:after="0" w:line="62" w:lineRule="exact"/>
        <w:rPr>
          <w:rFonts w:ascii="Arial" w:cs="Arial" w:eastAsia="Arial" w:hAnsi="Arial"/>
          <w:sz w:val="18"/>
          <w:szCs w:val="18"/>
          <w:color w:val="auto"/>
        </w:rPr>
      </w:pPr>
    </w:p>
    <w:p>
      <w:pPr>
        <w:ind w:left="444" w:firstLine="419"/>
        <w:spacing w:after="0" w:line="311" w:lineRule="auto"/>
        <w:tabs>
          <w:tab w:leader="none" w:pos="1092"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Opinion of Counsel for Underwriters. </w:t>
      </w:r>
      <w:r>
        <w:rPr>
          <w:rFonts w:ascii="Arial" w:cs="Arial" w:eastAsia="Arial" w:hAnsi="Arial"/>
          <w:sz w:val="16"/>
          <w:szCs w:val="16"/>
          <w:color w:val="auto"/>
        </w:rPr>
        <w:t>The Representatives shall have received from Cravath, Swaine &amp; Moore LLP,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such opinion or opinions, dated the Closing Date, with respect to such matters as the Representatives may require, and the Company shall have furnished to such counsel such documents as they request for the purpose of enabling them to pass upon such matters.</w:t>
      </w:r>
    </w:p>
    <w:p>
      <w:pPr>
        <w:spacing w:after="0" w:line="40" w:lineRule="exact"/>
        <w:rPr>
          <w:rFonts w:ascii="Arial" w:cs="Arial" w:eastAsia="Arial" w:hAnsi="Arial"/>
          <w:sz w:val="16"/>
          <w:szCs w:val="16"/>
          <w:color w:val="auto"/>
        </w:rPr>
      </w:pPr>
    </w:p>
    <w:p>
      <w:pPr>
        <w:ind w:left="444" w:right="60" w:firstLine="419"/>
        <w:spacing w:after="0" w:line="270" w:lineRule="auto"/>
        <w:tabs>
          <w:tab w:leader="none" w:pos="1122"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The Representatives shall have received a certificate, dated the Closing Date, of an executive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the Closing Date; no stop order suspending the effectiveness of the Registration Statement has been issued and no proceedings for that purpose have been instituted or, to their knowledge, are contemplated by the Commission; and, subsequent to the date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its subsidiaries taken as a whole except as set forth in the General Disclosure Package or as described in such certificate.</w:t>
      </w:r>
    </w:p>
    <w:p>
      <w:pPr>
        <w:spacing w:after="0" w:line="181"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w:t>
      </w:r>
    </w:p>
    <w:p>
      <w:pPr>
        <w:spacing w:after="0" w:line="184" w:lineRule="exact"/>
        <w:rPr>
          <w:sz w:val="20"/>
          <w:szCs w:val="20"/>
          <w:color w:val="auto"/>
        </w:rPr>
      </w:pPr>
    </w:p>
    <w:p>
      <w:pPr>
        <w:ind w:left="4" w:firstLine="436"/>
        <w:spacing w:after="0" w:line="283" w:lineRule="auto"/>
        <w:tabs>
          <w:tab w:leader="none" w:pos="624"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Indemnification and Contribution</w:t>
      </w:r>
      <w:r>
        <w:rPr>
          <w:rFonts w:ascii="Arial" w:cs="Arial" w:eastAsia="Arial" w:hAnsi="Arial"/>
          <w:sz w:val="16"/>
          <w:szCs w:val="16"/>
          <w:color w:val="auto"/>
        </w:rPr>
        <w:t>. (a)</w:t>
      </w:r>
      <w:r>
        <w:rPr>
          <w:rFonts w:ascii="Arial" w:cs="Arial" w:eastAsia="Arial" w:hAnsi="Arial"/>
          <w:sz w:val="16"/>
          <w:szCs w:val="16"/>
          <w:i w:val="1"/>
          <w:iCs w:val="1"/>
          <w:color w:val="auto"/>
        </w:rPr>
        <w:t xml:space="preserve"> Indemnification of Underwriters</w:t>
      </w:r>
      <w:r>
        <w:rPr>
          <w:rFonts w:ascii="Arial" w:cs="Arial" w:eastAsia="Arial" w:hAnsi="Arial"/>
          <w:sz w:val="16"/>
          <w:szCs w:val="16"/>
          <w:color w:val="auto"/>
        </w:rPr>
        <w:t>. The Company will indemnify and hold harmless each Underwriter, its</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members, directors, officers, employees, agents, affiliates and each person, if any, who controls such Underwriter within the meaning of Section 15 of the Act or Section 20 of the Exchange Act (each, a “</w:t>
      </w:r>
      <w:r>
        <w:rPr>
          <w:rFonts w:ascii="Arial" w:cs="Arial" w:eastAsia="Arial" w:hAnsi="Arial"/>
          <w:sz w:val="16"/>
          <w:szCs w:val="16"/>
          <w:b w:val="1"/>
          <w:bCs w:val="1"/>
          <w:color w:val="auto"/>
        </w:rPr>
        <w:t>Company Indemnified Party</w:t>
      </w:r>
      <w:r>
        <w:rPr>
          <w:rFonts w:ascii="Arial" w:cs="Arial" w:eastAsia="Arial" w:hAnsi="Arial"/>
          <w:sz w:val="16"/>
          <w:szCs w:val="16"/>
          <w:color w:val="auto"/>
        </w:rPr>
        <w:t>”), against any and all losses, claims, damages or liabilities, joint or several, to which such Company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alleged omission of a material fact required to be stated therein or necessary to make the statements therein not misleading, and will reimburse each Company Indemnified Party for any legal or other expenses reasonably incurred by such Company Indemnified Party in connection with investigating or defending against any such loss, claim, damage, liability, action, litigation, investigation or proceeding whatsoever (whether or not such Company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w:t>
      </w:r>
    </w:p>
    <w:p>
      <w:pPr>
        <w:ind w:left="264" w:hanging="264"/>
        <w:spacing w:after="0"/>
        <w:tabs>
          <w:tab w:leader="none" w:pos="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below.</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6" w:name="page17"/>
    <w:bookmarkEnd w:id="16"/>
    <w:p>
      <w:pPr>
        <w:ind w:left="4" w:firstLine="436"/>
        <w:spacing w:after="0" w:line="285" w:lineRule="auto"/>
        <w:tabs>
          <w:tab w:leader="none" w:pos="699"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of Company</w:t>
      </w:r>
      <w:r>
        <w:rPr>
          <w:rFonts w:ascii="Arial" w:cs="Arial" w:eastAsia="Arial" w:hAnsi="Arial"/>
          <w:sz w:val="16"/>
          <w:szCs w:val="16"/>
          <w:color w:val="auto"/>
        </w:rPr>
        <w:t>. Each Underwriter will severally and not jointly indemnify and hold harmless the Company, each of its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each 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each Company Indemnified Party and Underwriter Indemnified Party being referred as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third paragraph under the caption “Underwriting”, the second sentence in the fifth paragraph under the caption “Underwriting”, and the information contained in the twelfth and thirteenth paragraphs under the caption “Underwriting”.</w:t>
      </w:r>
    </w:p>
    <w:p>
      <w:pPr>
        <w:spacing w:after="0" w:line="173" w:lineRule="exact"/>
        <w:rPr>
          <w:rFonts w:ascii="Arial" w:cs="Arial" w:eastAsia="Arial" w:hAnsi="Arial"/>
          <w:sz w:val="16"/>
          <w:szCs w:val="16"/>
          <w:color w:val="auto"/>
        </w:rPr>
      </w:pPr>
    </w:p>
    <w:p>
      <w:pPr>
        <w:ind w:left="4" w:right="20" w:firstLine="436"/>
        <w:spacing w:after="0" w:line="285" w:lineRule="auto"/>
        <w:tabs>
          <w:tab w:leader="none" w:pos="689"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Promptly after receipt by an Indemnified Party under this Section 8 of notice of the commencement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such Indemnified Party will, if a claim in respect thereof is to be made against the indemnifying party under subsection (a) or (b) above, notify the indemnifying party of the commencement thereof; but the failure to notify the indemnifying party shall not relieve such indemnifying party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such indemnifying party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8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394" w:lineRule="exact"/>
        <w:rPr>
          <w:rFonts w:ascii="Arial" w:cs="Arial" w:eastAsia="Arial" w:hAnsi="Arial"/>
          <w:sz w:val="16"/>
          <w:szCs w:val="16"/>
          <w:color w:val="auto"/>
        </w:rPr>
      </w:pPr>
    </w:p>
    <w:p>
      <w:pPr>
        <w:ind w:left="4" w:right="180" w:firstLine="436"/>
        <w:spacing w:after="0" w:line="285" w:lineRule="auto"/>
        <w:tabs>
          <w:tab w:leader="none" w:pos="699"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Section 8 is unavailable or insufficient to hold harmless an Indemnified Party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w:t>
      </w:r>
    </w:p>
    <w:p>
      <w:pPr>
        <w:spacing w:after="0" w:line="1" w:lineRule="exact"/>
        <w:rPr>
          <w:rFonts w:ascii="Arial" w:cs="Arial" w:eastAsia="Arial" w:hAnsi="Arial"/>
          <w:sz w:val="16"/>
          <w:szCs w:val="16"/>
          <w:color w:val="auto"/>
        </w:rPr>
      </w:pPr>
    </w:p>
    <w:p>
      <w:pPr>
        <w:ind w:left="4" w:right="100" w:hanging="4"/>
        <w:spacing w:after="0" w:line="269" w:lineRule="auto"/>
        <w:tabs>
          <w:tab w:leader="none" w:pos="219" w:val="left"/>
        </w:tabs>
        <w:numPr>
          <w:ilvl w:val="0"/>
          <w:numId w:val="26"/>
        </w:numPr>
        <w:rPr>
          <w:rFonts w:ascii="Arial" w:cs="Arial" w:eastAsia="Arial" w:hAnsi="Arial"/>
          <w:sz w:val="17"/>
          <w:szCs w:val="17"/>
          <w:color w:val="auto"/>
        </w:rPr>
      </w:pPr>
      <w:r>
        <w:rPr>
          <w:rFonts w:ascii="Arial" w:cs="Arial" w:eastAsia="Arial" w:hAnsi="Arial"/>
          <w:sz w:val="17"/>
          <w:szCs w:val="17"/>
          <w:color w:val="auto"/>
        </w:rPr>
        <w:t>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4" w:right="499" w:bottom="1440" w:gutter="0" w:footer="0" w:header="0"/>
        </w:sectPr>
      </w:pPr>
    </w:p>
    <w:bookmarkStart w:id="17" w:name="page18"/>
    <w:bookmarkEnd w:id="1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182" w:lineRule="exact"/>
        <w:rPr>
          <w:sz w:val="20"/>
          <w:szCs w:val="20"/>
          <w:color w:val="auto"/>
        </w:rPr>
      </w:pPr>
    </w:p>
    <w:p>
      <w:pPr>
        <w:ind w:firstLine="436"/>
        <w:spacing w:after="0" w:line="269"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Default of Underwriters</w:t>
      </w:r>
      <w:r>
        <w:rPr>
          <w:rFonts w:ascii="Arial" w:cs="Arial" w:eastAsia="Arial" w:hAnsi="Arial"/>
          <w:sz w:val="17"/>
          <w:szCs w:val="17"/>
          <w:color w:val="auto"/>
        </w:rPr>
        <w:t>. If any Underwriter or Underwriters default in their obligations to purchase Securities hereunder on the Closing Date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aggregate principal amount of Securities that such defaulting Underwriter or Underwriters agreed but failed to purchase does not exceed 10% of the total principal amount of Securities that the Underwriters are obligated to purchase on the Closing Date, the Representatives may make arrangements satisfactory to the Company for the purchase of the Securities by other persons, including any of the Underwriters, but if no such arrangements are made by the Closing Date, the non-defaulting Underwriters of the Securities shall be obligated severally, in proportion to their respective commitments hereunder, to purchase the Securities that such defaulting Underwriters agreed but failed to purchase on the Closing Date. If any Underwriter or Underwriters so default and the aggregate principal amount of Securities with respect to which such default or defaults occur exceeds 10% of the total principal amount of Securities that the Underwriters are obligated to purchase on the Closing Date and arrangements satisfactory to the Representatives and the Company for the purchase of such Securities by other persons are not made within 36 hours after such default, this Agreement will terminate without liability with respect to the Securities on the part of any non-defaulting Underwriter or the Company, except as provided in Section 10 hereof. As used in this Agreement, the term “Underwriter” includes any person substituted for an Underwriter under this Section 9. Nothing herein will relieve a defaulting Underwriter from liability for its default.</w:t>
      </w:r>
    </w:p>
    <w:p>
      <w:pPr>
        <w:spacing w:after="0" w:line="178" w:lineRule="exact"/>
        <w:rPr>
          <w:rFonts w:ascii="Arial" w:cs="Arial" w:eastAsia="Arial" w:hAnsi="Arial"/>
          <w:sz w:val="17"/>
          <w:szCs w:val="17"/>
          <w:color w:val="auto"/>
        </w:rPr>
      </w:pPr>
    </w:p>
    <w:p>
      <w:pPr>
        <w:ind w:right="20" w:firstLine="436"/>
        <w:spacing w:after="0" w:line="269"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Survival of Certain Representations and Obligations</w:t>
      </w:r>
      <w:r>
        <w:rPr>
          <w:rFonts w:ascii="Arial" w:cs="Arial" w:eastAsia="Arial" w:hAnsi="Arial"/>
          <w:sz w:val="17"/>
          <w:szCs w:val="17"/>
          <w:color w:val="auto"/>
        </w:rPr>
        <w:t>. The respective indemnities, agreements, representations, warranties and other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Securities. If the purchase of the Securities by the Underwriters is not consummated for any reason other than solely because of the termination of this Agreement pursuant to Section 9 hereof or the occurrence of any event specified in clause (iii), (iv), (vi), (vii) or (viii) of Section 7(c) hereof, the Company will reimburse the Underwriters for all out-of-pocket expenses (including fees and disbursements of counsel) reasonably incurred by them in connection with the offering of the Securities, and the respective obligations of the Company and the Underwriters pursuant to Section 8 hereof shall remain in effect. In addition, if any Securities have been purchased hereunder, the representations and warranties in Section 2 hereof and all obligations under Section 5 hereof shall also remain in effect.</w:t>
      </w:r>
    </w:p>
    <w:p>
      <w:pPr>
        <w:spacing w:after="0" w:line="185" w:lineRule="exact"/>
        <w:rPr>
          <w:rFonts w:ascii="Arial" w:cs="Arial" w:eastAsia="Arial" w:hAnsi="Arial"/>
          <w:sz w:val="17"/>
          <w:szCs w:val="17"/>
          <w:color w:val="auto"/>
        </w:rPr>
      </w:pPr>
    </w:p>
    <w:p>
      <w:pPr>
        <w:ind w:right="600" w:firstLine="436"/>
        <w:spacing w:after="0" w:line="291" w:lineRule="auto"/>
        <w:tabs>
          <w:tab w:leader="none" w:pos="703"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will be in writing and, if sent to the Underwriters, will be mailed, delivered or telegraphed and</w:t>
      </w:r>
      <w:r>
        <w:rPr>
          <w:rFonts w:ascii="Arial" w:cs="Arial" w:eastAsia="Arial" w:hAnsi="Arial"/>
          <w:sz w:val="16"/>
          <w:szCs w:val="16"/>
          <w:i w:val="1"/>
          <w:iCs w:val="1"/>
          <w:color w:val="auto"/>
        </w:rPr>
        <w:t xml:space="preserve"> </w:t>
      </w:r>
      <w:r>
        <w:rPr>
          <w:rFonts w:ascii="Arial" w:cs="Arial" w:eastAsia="Arial" w:hAnsi="Arial"/>
          <w:sz w:val="16"/>
          <w:szCs w:val="16"/>
          <w:color w:val="auto"/>
        </w:rPr>
        <w:t>confirmed to the Representatives at J.P. Morgan Securities LLC, 383 Madison Avenue, New York, NY 10179, Attention: Syndicate Desk,</w:t>
      </w: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Fax: 212-270-1063 and Citigroup Global Markets Inc., 388 Greenwich Street, New York NY 10013, Attention: General Counsel, Fax: 646-291-1469 or, if sent to the Company, will be mailed, delivered or telegraphed and confirmed to it at One Technology Way, Norwood, Massachusetts 02062, Attention: General Counsel; provided, however, that any notice to an Underwriter pursuant to Section 8 hereof will be mailed, delivered or telegraphed and confirmed to such Underwriter.</w:t>
      </w:r>
    </w:p>
    <w:p>
      <w:pPr>
        <w:spacing w:after="0" w:line="192" w:lineRule="exact"/>
        <w:rPr>
          <w:rFonts w:ascii="Arial" w:cs="Arial" w:eastAsia="Arial" w:hAnsi="Arial"/>
          <w:sz w:val="16"/>
          <w:szCs w:val="16"/>
          <w:color w:val="auto"/>
        </w:rPr>
      </w:pPr>
    </w:p>
    <w:p>
      <w:pPr>
        <w:ind w:right="60" w:firstLine="436"/>
        <w:spacing w:after="0" w:line="308"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Successors</w:t>
      </w:r>
      <w:r>
        <w:rPr>
          <w:rFonts w:ascii="Arial" w:cs="Arial" w:eastAsia="Arial" w:hAnsi="Arial"/>
          <w:sz w:val="17"/>
          <w:szCs w:val="17"/>
          <w:color w:val="auto"/>
        </w:rPr>
        <w:t>. This Agreement will inure to the benefit of and be binding upon the parties hereto and their respective successors and the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controlling persons referred to in Section 8 hereof, and no other person will have any right or obligation hereunder.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8" w:name="page19"/>
    <w:bookmarkEnd w:id="18"/>
    <w:p>
      <w:pPr>
        <w:ind w:left="-20" w:right="260" w:firstLine="436"/>
        <w:spacing w:after="0" w:line="277" w:lineRule="auto"/>
        <w:tabs>
          <w:tab w:leader="none" w:pos="69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 of Underwriters</w:t>
      </w:r>
      <w:r>
        <w:rPr>
          <w:rFonts w:ascii="Arial" w:cs="Arial" w:eastAsia="Arial" w:hAnsi="Arial"/>
          <w:sz w:val="18"/>
          <w:szCs w:val="18"/>
          <w:color w:val="auto"/>
        </w:rPr>
        <w:t>. The Representatives will act for the several Underwriters in connection with this financing, and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taken by the Representatives jointly will be binding upon all the Underwriters.</w:t>
      </w:r>
    </w:p>
    <w:p>
      <w:pPr>
        <w:spacing w:after="0" w:line="170" w:lineRule="exact"/>
        <w:rPr>
          <w:rFonts w:ascii="Arial" w:cs="Arial" w:eastAsia="Arial" w:hAnsi="Arial"/>
          <w:sz w:val="18"/>
          <w:szCs w:val="18"/>
          <w:color w:val="auto"/>
        </w:rPr>
      </w:pPr>
    </w:p>
    <w:p>
      <w:pPr>
        <w:ind w:left="-20" w:right="180" w:firstLine="436"/>
        <w:spacing w:after="0" w:line="277" w:lineRule="auto"/>
        <w:tabs>
          <w:tab w:leader="none" w:pos="69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w:t>
      </w:r>
    </w:p>
    <w:p>
      <w:pPr>
        <w:spacing w:after="0" w:line="170" w:lineRule="exact"/>
        <w:rPr>
          <w:rFonts w:ascii="Arial" w:cs="Arial" w:eastAsia="Arial" w:hAnsi="Arial"/>
          <w:sz w:val="18"/>
          <w:szCs w:val="18"/>
          <w:color w:val="auto"/>
        </w:rPr>
      </w:pPr>
    </w:p>
    <w:p>
      <w:pPr>
        <w:ind w:left="680" w:hanging="264"/>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Absence of Fiduciary Relationship. </w:t>
      </w:r>
      <w:r>
        <w:rPr>
          <w:rFonts w:ascii="Arial" w:cs="Arial" w:eastAsia="Arial" w:hAnsi="Arial"/>
          <w:sz w:val="18"/>
          <w:szCs w:val="18"/>
          <w:color w:val="auto"/>
        </w:rPr>
        <w:t>The Company acknowledges and agrees that:</w:t>
      </w:r>
    </w:p>
    <w:p>
      <w:pPr>
        <w:spacing w:after="0" w:line="225" w:lineRule="exact"/>
        <w:rPr>
          <w:rFonts w:ascii="Arial" w:cs="Arial" w:eastAsia="Arial" w:hAnsi="Arial"/>
          <w:sz w:val="18"/>
          <w:szCs w:val="18"/>
          <w:color w:val="auto"/>
        </w:rPr>
      </w:pPr>
    </w:p>
    <w:p>
      <w:pPr>
        <w:ind w:left="-20" w:right="60" w:firstLine="987"/>
        <w:spacing w:after="0" w:line="259" w:lineRule="auto"/>
        <w:tabs>
          <w:tab w:leader="none" w:pos="135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No Other Relationship</w:t>
      </w:r>
      <w:r>
        <w:rPr>
          <w:rFonts w:ascii="Arial" w:cs="Arial" w:eastAsia="Arial" w:hAnsi="Arial"/>
          <w:sz w:val="18"/>
          <w:szCs w:val="18"/>
          <w:color w:val="auto"/>
        </w:rPr>
        <w:t>. The Representatives have been retained solely to act as underwriters in connection with the sale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that no fiduciary, advisory or agency relationship between the Company and the Representatives has been created in respect of any of the transactions contemplated by this Agreement or the Final Prospectus, irrespective of whether the Representatives have advised or are advising the Company on other matters;</w:t>
      </w:r>
    </w:p>
    <w:p>
      <w:pPr>
        <w:spacing w:after="0" w:line="186" w:lineRule="exact"/>
        <w:rPr>
          <w:rFonts w:ascii="Arial" w:cs="Arial" w:eastAsia="Arial" w:hAnsi="Arial"/>
          <w:sz w:val="18"/>
          <w:szCs w:val="18"/>
          <w:color w:val="auto"/>
        </w:rPr>
      </w:pPr>
    </w:p>
    <w:p>
      <w:pPr>
        <w:ind w:left="-20" w:right="240" w:firstLine="987"/>
        <w:spacing w:after="0" w:line="263" w:lineRule="auto"/>
        <w:tabs>
          <w:tab w:leader="none" w:pos="136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Arm’s-Length Negotiations</w:t>
      </w:r>
      <w:r>
        <w:rPr>
          <w:rFonts w:ascii="Arial" w:cs="Arial" w:eastAsia="Arial" w:hAnsi="Arial"/>
          <w:sz w:val="18"/>
          <w:szCs w:val="18"/>
          <w:color w:val="auto"/>
        </w:rPr>
        <w:t>. The price of the Securities set forth in this Agreement was established by the Company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and arm’s-length negotiations with the Representatives and the Company is capable of evaluating and understanding and understands and accepts the terms, risks and conditions of the transactions contemplated by this Agreement;</w:t>
      </w:r>
    </w:p>
    <w:p>
      <w:pPr>
        <w:spacing w:after="0" w:line="183" w:lineRule="exact"/>
        <w:rPr>
          <w:rFonts w:ascii="Arial" w:cs="Arial" w:eastAsia="Arial" w:hAnsi="Arial"/>
          <w:sz w:val="18"/>
          <w:szCs w:val="18"/>
          <w:color w:val="auto"/>
        </w:rPr>
      </w:pPr>
    </w:p>
    <w:p>
      <w:pPr>
        <w:jc w:val="both"/>
        <w:ind w:left="-20" w:firstLine="987"/>
        <w:spacing w:after="0" w:line="286" w:lineRule="auto"/>
        <w:tabs>
          <w:tab w:leader="none" w:pos="1351"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Absence of Obligation to Disclose</w:t>
      </w:r>
      <w:r>
        <w:rPr>
          <w:rFonts w:ascii="Arial" w:cs="Arial" w:eastAsia="Arial" w:hAnsi="Arial"/>
          <w:sz w:val="17"/>
          <w:szCs w:val="17"/>
          <w:color w:val="auto"/>
        </w:rPr>
        <w:t>. The Company has been advised that the Representatives and their affiliates are engaged in a broad</w:t>
      </w:r>
      <w:r>
        <w:rPr>
          <w:rFonts w:ascii="Arial" w:cs="Arial" w:eastAsia="Arial" w:hAnsi="Arial"/>
          <w:sz w:val="17"/>
          <w:szCs w:val="17"/>
          <w:i w:val="1"/>
          <w:iCs w:val="1"/>
          <w:color w:val="auto"/>
        </w:rPr>
        <w:t xml:space="preserve"> </w:t>
      </w:r>
      <w:r>
        <w:rPr>
          <w:rFonts w:ascii="Arial" w:cs="Arial" w:eastAsia="Arial" w:hAnsi="Arial"/>
          <w:sz w:val="17"/>
          <w:szCs w:val="17"/>
          <w:color w:val="auto"/>
        </w:rPr>
        <w:t>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165" w:lineRule="exact"/>
        <w:rPr>
          <w:rFonts w:ascii="Arial" w:cs="Arial" w:eastAsia="Arial" w:hAnsi="Arial"/>
          <w:sz w:val="17"/>
          <w:szCs w:val="17"/>
          <w:color w:val="auto"/>
        </w:rPr>
      </w:pPr>
    </w:p>
    <w:p>
      <w:pPr>
        <w:ind w:left="-20" w:firstLine="987"/>
        <w:spacing w:after="0" w:line="259" w:lineRule="auto"/>
        <w:tabs>
          <w:tab w:leader="none" w:pos="1361"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The Company waives, to the fullest extent permitted by law, any claims it may have against the Representatives for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86" w:lineRule="exact"/>
        <w:rPr>
          <w:rFonts w:ascii="Arial" w:cs="Arial" w:eastAsia="Arial" w:hAnsi="Arial"/>
          <w:sz w:val="18"/>
          <w:szCs w:val="18"/>
          <w:color w:val="auto"/>
        </w:rPr>
      </w:pPr>
    </w:p>
    <w:p>
      <w:pPr>
        <w:ind w:left="-20" w:right="100" w:firstLine="436"/>
        <w:spacing w:after="0" w:line="259" w:lineRule="auto"/>
        <w:tabs>
          <w:tab w:leader="none" w:pos="69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Patriot Act</w:t>
      </w:r>
      <w:r>
        <w:rPr>
          <w:rFonts w:ascii="Arial" w:cs="Arial" w:eastAsia="Arial" w:hAnsi="Arial"/>
          <w:sz w:val="18"/>
          <w:szCs w:val="18"/>
          <w:color w:val="auto"/>
        </w:rPr>
        <w:t>. In accordance with the requirements of the USA PATRIOT Act (Title III of Pub. L. 107-56 (signed into law October 26, 2001)),</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2" w:lineRule="exact"/>
        <w:rPr>
          <w:rFonts w:ascii="Arial" w:cs="Arial" w:eastAsia="Arial" w:hAnsi="Arial"/>
          <w:sz w:val="18"/>
          <w:szCs w:val="18"/>
          <w:color w:val="auto"/>
        </w:rPr>
      </w:pPr>
    </w:p>
    <w:p>
      <w:pPr>
        <w:ind w:left="680" w:hanging="264"/>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Applicable Law and Waiver of Jury Trial</w:t>
      </w:r>
      <w:r>
        <w:rPr>
          <w:rFonts w:ascii="Arial" w:cs="Arial" w:eastAsia="Arial" w:hAnsi="Arial"/>
          <w:sz w:val="18"/>
          <w:szCs w:val="18"/>
          <w:b w:val="1"/>
          <w:bCs w:val="1"/>
          <w:color w:val="auto"/>
        </w:rPr>
        <w:t>.</w:t>
      </w:r>
    </w:p>
    <w:p>
      <w:pPr>
        <w:spacing w:after="0" w:line="225" w:lineRule="exact"/>
        <w:rPr>
          <w:sz w:val="20"/>
          <w:szCs w:val="20"/>
          <w:color w:val="auto"/>
        </w:rPr>
      </w:pPr>
    </w:p>
    <w:p>
      <w:pPr>
        <w:ind w:left="800" w:hanging="384"/>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This Agreement shall be governed by, and construed in accordance with, the laws of the State of New York.</w:t>
      </w:r>
    </w:p>
    <w:p>
      <w:pPr>
        <w:spacing w:after="0" w:line="229" w:lineRule="exact"/>
        <w:rPr>
          <w:rFonts w:ascii="Arial" w:cs="Arial" w:eastAsia="Arial" w:hAnsi="Arial"/>
          <w:sz w:val="18"/>
          <w:szCs w:val="18"/>
          <w:color w:val="auto"/>
        </w:rPr>
      </w:pPr>
    </w:p>
    <w:p>
      <w:pPr>
        <w:ind w:left="-20" w:right="100" w:firstLine="436"/>
        <w:spacing w:after="0" w:line="296" w:lineRule="auto"/>
        <w:tabs>
          <w:tab w:leader="none" w:pos="8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161" w:lineRule="exact"/>
        <w:rPr>
          <w:rFonts w:ascii="Arial" w:cs="Arial" w:eastAsia="Arial" w:hAnsi="Arial"/>
          <w:sz w:val="16"/>
          <w:szCs w:val="16"/>
          <w:color w:val="auto"/>
        </w:rPr>
      </w:pPr>
    </w:p>
    <w:p>
      <w:pPr>
        <w:ind w:left="-20" w:right="200" w:firstLine="436"/>
        <w:spacing w:after="0" w:line="277" w:lineRule="auto"/>
        <w:tabs>
          <w:tab w:leader="none" w:pos="7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and the Underwriters hereby irrevocably waive, to the fullest extent permitted by applicable law, any and all right to trial by jury in any legal proceeding arising out of or relating to this Agreement or the transactions contemplated 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19" w:name="page20"/>
    <w:bookmarkEnd w:id="19"/>
    <w:p>
      <w:pPr>
        <w:ind w:left="700" w:hanging="26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79"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1" w:lineRule="exact"/>
        <w:rPr>
          <w:rFonts w:ascii="Arial" w:cs="Arial" w:eastAsia="Arial" w:hAnsi="Arial"/>
          <w:sz w:val="17"/>
          <w:szCs w:val="17"/>
          <w:color w:val="auto"/>
        </w:rPr>
      </w:pPr>
    </w:p>
    <w:p>
      <w:pPr>
        <w:ind w:firstLine="436"/>
        <w:spacing w:after="0" w:line="279" w:lineRule="auto"/>
        <w:tabs>
          <w:tab w:leader="none" w:pos="83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1" w:lineRule="exact"/>
        <w:rPr>
          <w:rFonts w:ascii="Arial" w:cs="Arial" w:eastAsia="Arial" w:hAnsi="Arial"/>
          <w:sz w:val="17"/>
          <w:szCs w:val="17"/>
          <w:color w:val="auto"/>
        </w:rPr>
      </w:pPr>
    </w:p>
    <w:p>
      <w:pPr>
        <w:ind w:left="800" w:hanging="36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used in this Section 18:</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21" w:lineRule="exact"/>
        <w:rPr>
          <w:sz w:val="20"/>
          <w:szCs w:val="20"/>
          <w:color w:val="auto"/>
        </w:rPr>
      </w:pPr>
    </w:p>
    <w:p>
      <w:pPr>
        <w:ind w:left="1780" w:hanging="392"/>
        <w:spacing w:after="0"/>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1"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right="2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 (x) the U.S. Federal Deposit Insurance Act and the regulations promulgated thereunder and (y) Title II of the U.S. Dodd-Frank Wall Street Reform and Consumer Protection Act and the regulations promulgated thereunder.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20" w:name="page21"/>
    <w:bookmarkEnd w:id="20"/>
    <w:p>
      <w:pPr>
        <w:ind w:right="6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the Representatives’ understanding of our agreement, kindly sign and return to the Company one of the counterparts hereof, whereupon it will become a binding agreement between the Company and the several Underwriters in accordance with its terms.</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tbl>
      <w:tblPr>
        <w:tblLayout w:type="fixed"/>
        <w:tblInd w:w="52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Prashanth Mahendra-Rajah</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Prashanth Mahendra-Rajah</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w w:val="99"/>
              </w:rPr>
              <w:t>Senior Vice President, Finance and Chief Financial Officer</w:t>
            </w: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[Signature Page – Underwriting Agreement]</w:t>
      </w:r>
    </w:p>
    <w:p>
      <w:pPr>
        <w:sectPr>
          <w:pgSz w:w="11900" w:h="16838" w:orient="portrait"/>
          <w:cols w:equalWidth="0" w:num="1">
            <w:col w:w="10580"/>
          </w:cols>
          <w:pgMar w:left="880" w:top="274" w:right="439" w:bottom="1440" w:gutter="0" w:footer="0" w:header="0"/>
        </w:sectPr>
      </w:pPr>
    </w:p>
    <w:bookmarkStart w:id="21" w:name="page22"/>
    <w:bookmarkEnd w:id="21"/>
    <w:p>
      <w:pPr>
        <w:ind w:left="160" w:right="3299" w:hanging="17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Underwriting Agreement is hereby confirmed and accepted as of the date first above written.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J.P. M</w:t>
      </w:r>
      <w:r>
        <w:rPr>
          <w:rFonts w:ascii="Arial" w:cs="Arial" w:eastAsia="Arial" w:hAnsi="Arial"/>
          <w:sz w:val="14"/>
          <w:szCs w:val="14"/>
          <w:color w:val="auto"/>
        </w:rPr>
        <w:t>ORGAN</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LLC,</w:t>
      </w:r>
    </w:p>
    <w:p>
      <w:pPr>
        <w:spacing w:after="0" w:line="225"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wp:posOffset>
            </wp:positionV>
            <wp:extent cx="2726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Bottamedi</w:t>
      </w:r>
    </w:p>
    <w:p>
      <w:pPr>
        <w:spacing w:after="0" w:line="23" w:lineRule="exact"/>
        <w:rPr>
          <w:sz w:val="20"/>
          <w:szCs w:val="20"/>
          <w:color w:val="auto"/>
        </w:rPr>
      </w:pPr>
    </w:p>
    <w:p>
      <w:pPr>
        <w:ind w:left="900"/>
        <w:spacing w:after="0"/>
        <w:tabs>
          <w:tab w:leader="none" w:pos="15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Acting on behalf of itself and as a Representative of the</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several Underwriters.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 Underwriting Agreement]</w:t>
      </w:r>
    </w:p>
    <w:p>
      <w:pPr>
        <w:sectPr>
          <w:pgSz w:w="11900" w:h="16838" w:orient="portrait"/>
          <w:cols w:equalWidth="0" w:num="1">
            <w:col w:w="9019"/>
          </w:cols>
          <w:pgMar w:left="1440" w:top="274"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14605</wp:posOffset>
            </wp:positionV>
            <wp:extent cx="20231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1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Brian D. Bednarski</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Acting on behalf of itself and as a</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Representative of the several</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Underwriters.</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[Signature Page – Underwriting Agreement]</w:t>
      </w:r>
    </w:p>
    <w:p>
      <w:pPr>
        <w:sectPr>
          <w:pgSz w:w="11900" w:h="16838" w:orient="portrait"/>
          <w:cols w:equalWidth="0" w:num="1">
            <w:col w:w="9239"/>
          </w:cols>
          <w:pgMar w:left="1220" w:top="274"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080" w:type="dxa"/>
            <w:vAlign w:val="bottom"/>
            <w:gridSpan w:val="2"/>
          </w:tcPr>
          <w:p>
            <w:pPr>
              <w:ind w:left="1400"/>
              <w:spacing w:after="0"/>
              <w:rPr>
                <w:sz w:val="20"/>
                <w:szCs w:val="20"/>
                <w:color w:val="auto"/>
              </w:rPr>
            </w:pPr>
            <w:r>
              <w:rPr>
                <w:rFonts w:ascii="Arial" w:cs="Arial" w:eastAsia="Arial" w:hAnsi="Arial"/>
                <w:sz w:val="18"/>
                <w:szCs w:val="18"/>
                <w:b w:val="1"/>
                <w:bCs w:val="1"/>
                <w:color w:val="auto"/>
              </w:rPr>
              <w:t>SCHEDULE A</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80" w:type="dxa"/>
            <w:vAlign w:val="bottom"/>
            <w:gridSpan w:val="2"/>
          </w:tcPr>
          <w:p>
            <w:pPr>
              <w:ind w:left="920"/>
              <w:spacing w:after="0"/>
              <w:rPr>
                <w:sz w:val="20"/>
                <w:szCs w:val="20"/>
                <w:color w:val="auto"/>
              </w:rPr>
            </w:pPr>
            <w:r>
              <w:rPr>
                <w:rFonts w:ascii="Arial" w:cs="Arial" w:eastAsia="Arial" w:hAnsi="Arial"/>
                <w:sz w:val="18"/>
                <w:szCs w:val="18"/>
                <w:b w:val="1"/>
                <w:bCs w:val="1"/>
                <w:color w:val="auto"/>
              </w:rPr>
              <w:t>to Underwriting Agreement</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27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w w:val="95"/>
              </w:rPr>
              <w:t>Principal Amount of Securities</w:t>
            </w: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5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6080" w:type="dxa"/>
            <w:vAlign w:val="bottom"/>
            <w:gridSpan w:val="2"/>
          </w:tcPr>
          <w:p>
            <w:pPr>
              <w:ind w:left="55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140,000,000</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6080" w:type="dxa"/>
            <w:vAlign w:val="bottom"/>
            <w:gridSpan w:val="2"/>
            <w:shd w:val="clear" w:color="auto" w:fill="CCEEFF"/>
          </w:tcPr>
          <w:p>
            <w:pPr>
              <w:ind w:left="55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40,000,000</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6080" w:type="dxa"/>
            <w:vAlign w:val="bottom"/>
            <w:gridSpan w:val="2"/>
          </w:tcPr>
          <w:p>
            <w:pPr>
              <w:ind w:left="55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40,000,000</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BMO Capital Markets Corp.</w:t>
            </w:r>
          </w:p>
        </w:tc>
        <w:tc>
          <w:tcPr>
            <w:tcW w:w="6080" w:type="dxa"/>
            <w:vAlign w:val="bottom"/>
            <w:gridSpan w:val="2"/>
            <w:shd w:val="clear" w:color="auto" w:fill="CCEEFF"/>
          </w:tcPr>
          <w:p>
            <w:pPr>
              <w:ind w:left="55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12,000,000</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6080" w:type="dxa"/>
            <w:vAlign w:val="bottom"/>
            <w:gridSpan w:val="2"/>
          </w:tcPr>
          <w:p>
            <w:pPr>
              <w:ind w:left="55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12,000,000</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6080" w:type="dxa"/>
            <w:vAlign w:val="bottom"/>
            <w:gridSpan w:val="2"/>
            <w:shd w:val="clear" w:color="auto" w:fill="CCEEFF"/>
          </w:tcPr>
          <w:p>
            <w:pPr>
              <w:ind w:left="55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12,000,000</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Roberts &amp; Ryan Investments Inc.</w:t>
            </w:r>
          </w:p>
        </w:tc>
        <w:tc>
          <w:tcPr>
            <w:tcW w:w="6080" w:type="dxa"/>
            <w:vAlign w:val="bottom"/>
            <w:gridSpan w:val="2"/>
          </w:tcPr>
          <w:p>
            <w:pPr>
              <w:ind w:left="55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4,000,000</w:t>
            </w:r>
          </w:p>
        </w:tc>
      </w:tr>
      <w:tr>
        <w:trPr>
          <w:trHeight w:val="27"/>
        </w:trPr>
        <w:tc>
          <w:tcPr>
            <w:tcW w:w="7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080" w:type="dxa"/>
            <w:vAlign w:val="bottom"/>
            <w:gridSpan w:val="2"/>
            <w:shd w:val="clear" w:color="auto" w:fill="CCEEFF"/>
          </w:tcPr>
          <w:p>
            <w:pPr>
              <w:ind w:left="55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400,000,000</w:t>
            </w:r>
          </w:p>
        </w:tc>
      </w:tr>
      <w:tr>
        <w:trPr>
          <w:trHeight w:val="20"/>
        </w:trPr>
        <w:tc>
          <w:tcPr>
            <w:tcW w:w="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Underwriting Agreement</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General Use Free Writing Prospectuses (included in the General Disclosure Package). </w:t>
      </w:r>
      <w:r>
        <w:rPr>
          <w:rFonts w:ascii="Arial" w:cs="Arial" w:eastAsia="Arial" w:hAnsi="Arial"/>
          <w:sz w:val="18"/>
          <w:szCs w:val="18"/>
          <w:color w:val="auto"/>
        </w:rPr>
        <w:t>“General Use Issuer Free Writing Prospectus” includes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documents: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Pricing term sheet dated April 6, 2020 filed on the date hereof with the Commission pursuant to Rule 433.</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Information Included in the General Disclosure Package. </w:t>
      </w:r>
      <w:r>
        <w:rPr>
          <w:rFonts w:ascii="Arial" w:cs="Arial" w:eastAsia="Arial" w:hAnsi="Arial"/>
          <w:sz w:val="17"/>
          <w:szCs w:val="17"/>
          <w:color w:val="auto"/>
        </w:rPr>
        <w:t>The following information is also included in the General Disclosure Package: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lvl w:ilvl="1">
      <w:lvlJc w:val="left"/>
      <w:lvlText w:val="(%2)"/>
      <w:numFmt w:val="lowerLetter"/>
      <w:start w:val="1"/>
    </w:lvl>
  </w:abstractNum>
  <w:abstractNum w:abstractNumId="2">
    <w:nsid w:val="519B500D"/>
    <w:multiLevelType w:val="hybridMultilevel"/>
    <w:lvl w:ilvl="0">
      <w:lvlJc w:val="left"/>
      <w:lvlText w:val="(%1)"/>
      <w:numFmt w:val="lowerLetter"/>
      <w:start w:val="2"/>
    </w:lvl>
  </w:abstractNum>
  <w:abstractNum w:abstractNumId="3">
    <w:nsid w:val="431BD7B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
    <w:nsid w:val="3F2DBA3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5">
    <w:nsid w:val="7C83E458"/>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6">
    <w:nsid w:val="257130A3"/>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
    <w:nsid w:val="62BBD95A"/>
    <w:multiLevelType w:val="hybridMultilevel"/>
    <w:lvl w:ilvl="0">
      <w:lvlJc w:val="left"/>
      <w:lvlText w:val="(%1)"/>
      <w:numFmt w:val="lowerLetter"/>
      <w:start w:val="7"/>
    </w:lvl>
  </w:abstractNum>
  <w:abstractNum w:abstractNumId="8">
    <w:nsid w:val="436C6125"/>
    <w:multiLevelType w:val="hybridMultilevel"/>
    <w:lvl w:ilvl="0">
      <w:lvlJc w:val="left"/>
      <w:lvlText w:val="(%1)"/>
      <w:numFmt w:val="lowerLetter"/>
      <w:start w:val="35"/>
    </w:lvl>
    <w:lvl w:ilvl="1">
      <w:lvlJc w:val="left"/>
      <w:lvlText w:val="(%2)"/>
      <w:numFmt w:val="lowerLetter"/>
      <w:start w:val="13"/>
    </w:lvl>
  </w:abstractNum>
  <w:abstractNum w:abstractNumId="9">
    <w:nsid w:val="628C895D"/>
    <w:multiLevelType w:val="hybridMultilevel"/>
    <w:lvl w:ilvl="0">
      <w:lvlJc w:val="left"/>
      <w:lvlText w:val="(%1)"/>
      <w:numFmt w:val="lowerLetter"/>
      <w:start w:val="19"/>
    </w:lvl>
  </w:abstractNum>
  <w:abstractNum w:abstractNumId="10">
    <w:nsid w:val="333AB105"/>
    <w:multiLevelType w:val="hybridMultilevel"/>
    <w:lvl w:ilvl="0">
      <w:lvlJc w:val="left"/>
      <w:lvlText w:val="%1"/>
      <w:numFmt w:val="upperLetter"/>
      <w:start w:val="1"/>
    </w:lvl>
    <w:lvl w:ilvl="1">
      <w:lvlJc w:val="left"/>
      <w:lvlText w:val="(%2)"/>
      <w:numFmt w:val="lowerLetter"/>
      <w:start w:val="23"/>
    </w:lvl>
    <w:lvl w:ilvl="2">
      <w:lvlJc w:val="left"/>
      <w:lvlText w:val="(%3)"/>
      <w:numFmt w:val="lowerRoman"/>
      <w:start w:val="1"/>
    </w:lvl>
  </w:abstractNum>
  <w:abstractNum w:abstractNumId="11">
    <w:nsid w:val="721DA317"/>
    <w:multiLevelType w:val="hybridMultilevel"/>
    <w:lvl w:ilvl="0">
      <w:lvlJc w:val="left"/>
      <w:lvlText w:val="(%1)"/>
      <w:numFmt w:val="upperLetter"/>
      <w:start w:val="2"/>
    </w:lvl>
    <w:lvl w:ilvl="1">
      <w:lvlJc w:val="left"/>
      <w:lvlText w:val="(%2)"/>
      <w:numFmt w:val="lowerLetter"/>
      <w:start w:val="23"/>
    </w:lvl>
    <w:lvl w:ilvl="2">
      <w:lvlJc w:val="left"/>
      <w:lvlText w:val="(%3)"/>
      <w:numFmt w:val="lowerRoman"/>
      <w:start w:val="3"/>
    </w:lvl>
  </w:abstractNum>
  <w:abstractNum w:abstractNumId="12">
    <w:nsid w:val="2443A858"/>
    <w:multiLevelType w:val="hybridMultilevel"/>
    <w:lvl w:ilvl="0">
      <w:lvlJc w:val="left"/>
      <w:lvlText w:val="(%1)"/>
      <w:numFmt w:val="lowerLetter"/>
      <w:start w:val="27"/>
    </w:lvl>
  </w:abstractNum>
  <w:abstractNum w:abstractNumId="13">
    <w:nsid w:val="2D1D5AE9"/>
    <w:multiLevelType w:val="hybridMultilevel"/>
    <w:lvl w:ilvl="0">
      <w:lvlJc w:val="left"/>
      <w:lvlText w:val="(%1)"/>
      <w:numFmt w:val="lowerLetter"/>
      <w:start w:val="28"/>
    </w:lvl>
  </w:abstractNum>
  <w:abstractNum w:abstractNumId="14">
    <w:nsid w:val="6763845E"/>
    <w:multiLevelType w:val="hybridMultilevel"/>
    <w:lvl w:ilvl="0">
      <w:lvlJc w:val="left"/>
      <w:lvlText w:val="%1."/>
      <w:numFmt w:val="decimal"/>
      <w:start w:val="3"/>
    </w:lvl>
  </w:abstractNum>
  <w:abstractNum w:abstractNumId="15">
    <w:nsid w:val="75A2A8D4"/>
    <w:multiLevelType w:val="hybridMultilevel"/>
    <w:lvl w:ilvl="0">
      <w:lvlJc w:val="left"/>
      <w:lvlText w:val="%1."/>
      <w:numFmt w:val="decimal"/>
      <w:start w:val="4"/>
    </w:lvl>
    <w:lvl w:ilvl="1">
      <w:lvlJc w:val="left"/>
      <w:lvlText w:val="(%2)"/>
      <w:numFmt w:val="lowerLetter"/>
      <w:start w:val="1"/>
    </w:lvl>
  </w:abstractNum>
  <w:abstractNum w:abstractNumId="16">
    <w:nsid w:val="8EDBDAB"/>
    <w:multiLevelType w:val="hybridMultilevel"/>
    <w:lvl w:ilvl="0">
      <w:lvlJc w:val="left"/>
      <w:lvlText w:val="%1"/>
      <w:numFmt w:val="decimal"/>
      <w:start w:val="1"/>
    </w:lvl>
    <w:lvl w:ilvl="1">
      <w:lvlJc w:val="left"/>
      <w:lvlText w:val="(%2)"/>
      <w:numFmt w:val="lowerLetter"/>
      <w:start w:val="6"/>
    </w:lvl>
  </w:abstractNum>
  <w:abstractNum w:abstractNumId="17">
    <w:nsid w:val="79838CB2"/>
    <w:multiLevelType w:val="hybridMultilevel"/>
    <w:lvl w:ilvl="0">
      <w:lvlJc w:val="left"/>
      <w:lvlText w:val="%1"/>
      <w:numFmt w:val="decimal"/>
      <w:start w:val="172"/>
    </w:lvl>
    <w:lvl w:ilvl="1">
      <w:lvlJc w:val="left"/>
      <w:lvlText w:val="(%2)"/>
      <w:numFmt w:val="lowerLetter"/>
      <w:start w:val="8"/>
    </w:lvl>
  </w:abstractNum>
  <w:abstractNum w:abstractNumId="18">
    <w:nsid w:val="4353D0CD"/>
    <w:multiLevelType w:val="hybridMultilevel"/>
    <w:lvl w:ilvl="0">
      <w:lvlJc w:val="left"/>
      <w:lvlText w:val="%1."/>
      <w:numFmt w:val="decimal"/>
      <w:start w:val="6"/>
    </w:lvl>
    <w:lvl w:ilvl="1">
      <w:lvlJc w:val="left"/>
      <w:lvlText w:val="%2"/>
      <w:numFmt w:val="lowerLetter"/>
      <w:start w:val="1"/>
    </w:lvl>
  </w:abstractNum>
  <w:abstractNum w:abstractNumId="19">
    <w:nsid w:val="B03E0C6"/>
    <w:multiLevelType w:val="hybridMultilevel"/>
    <w:lvl w:ilvl="0">
      <w:lvlJc w:val="left"/>
      <w:lvlText w:val="%1"/>
      <w:numFmt w:val="decimal"/>
      <w:start w:val="1"/>
    </w:lvl>
    <w:lvl w:ilvl="1">
      <w:lvlJc w:val="left"/>
      <w:lvlText w:val="(%2)"/>
      <w:numFmt w:val="lowerLetter"/>
      <w:start w:val="2"/>
    </w:lvl>
  </w:abstractNum>
  <w:abstractNum w:abstractNumId="20">
    <w:nsid w:val="189A769B"/>
    <w:multiLevelType w:val="hybridMultilevel"/>
    <w:lvl w:ilvl="0">
      <w:lvlJc w:val="left"/>
      <w:lvlText w:val="%1."/>
      <w:numFmt w:val="decimal"/>
      <w:start w:val="7"/>
    </w:lvl>
    <w:lvl w:ilvl="1">
      <w:lvlJc w:val="left"/>
      <w:lvlText w:val="(%2)"/>
      <w:numFmt w:val="lowerLetter"/>
      <w:start w:val="1"/>
    </w:lvl>
  </w:abstractNum>
  <w:abstractNum w:abstractNumId="21">
    <w:nsid w:val="54E49EB4"/>
    <w:multiLevelType w:val="hybridMultilevel"/>
    <w:lvl w:ilvl="0">
      <w:lvlJc w:val="left"/>
      <w:lvlText w:val="(%1)"/>
      <w:numFmt w:val="lowerLetter"/>
      <w:start w:val="4"/>
    </w:lvl>
  </w:abstractNum>
  <w:abstractNum w:abstractNumId="22">
    <w:nsid w:val="71F32454"/>
    <w:multiLevelType w:val="hybridMultilevel"/>
    <w:lvl w:ilvl="0">
      <w:lvlJc w:val="left"/>
      <w:lvlText w:val="%1"/>
      <w:numFmt w:val="lowerLetter"/>
      <w:start w:val="1"/>
    </w:lvl>
    <w:lvl w:ilvl="1">
      <w:lvlJc w:val="left"/>
      <w:lvlText w:val="%2."/>
      <w:numFmt w:val="decimal"/>
      <w:start w:val="8"/>
    </w:lvl>
  </w:abstractNum>
  <w:abstractNum w:abstractNumId="23">
    <w:nsid w:val="2CA88611"/>
    <w:multiLevelType w:val="hybridMultilevel"/>
    <w:lvl w:ilvl="0">
      <w:lvlJc w:val="left"/>
      <w:lvlText w:val="(%1)"/>
      <w:numFmt w:val="lowerLetter"/>
      <w:start w:val="2"/>
    </w:lvl>
    <w:lvl w:ilvl="1">
      <w:lvlJc w:val="left"/>
      <w:lvlText w:val="%2"/>
      <w:numFmt w:val="decimal"/>
      <w:start w:val="1"/>
    </w:lvl>
  </w:abstractNum>
  <w:abstractNum w:abstractNumId="24">
    <w:nsid w:val="836C40E"/>
    <w:multiLevelType w:val="hybridMultilevel"/>
    <w:lvl w:ilvl="0">
      <w:lvlJc w:val="left"/>
      <w:lvlText w:val="%1"/>
      <w:numFmt w:val="lowerLetter"/>
      <w:start w:val="1"/>
    </w:lvl>
    <w:lvl w:ilvl="1">
      <w:lvlJc w:val="left"/>
      <w:lvlText w:val="(%2)"/>
      <w:numFmt w:val="lowerLetter"/>
      <w:start w:val="2"/>
    </w:lvl>
  </w:abstractNum>
  <w:abstractNum w:abstractNumId="25">
    <w:nsid w:val="2901D82"/>
    <w:multiLevelType w:val="hybridMultilevel"/>
    <w:lvl w:ilvl="0">
      <w:lvlJc w:val="left"/>
      <w:lvlText w:val="(%1)"/>
      <w:numFmt w:val="lowerLetter"/>
      <w:start w:val="9"/>
    </w:lvl>
    <w:lvl w:ilvl="1">
      <w:lvlJc w:val="left"/>
      <w:lvlText w:val="%2"/>
      <w:numFmt w:val="lowerLetter"/>
      <w:start w:val="1"/>
    </w:lvl>
  </w:abstractNum>
  <w:abstractNum w:abstractNumId="26">
    <w:nsid w:val="3A95F874"/>
    <w:multiLevelType w:val="hybridMultilevel"/>
    <w:lvl w:ilvl="0">
      <w:lvlJc w:val="left"/>
      <w:lvlText w:val="%1."/>
      <w:numFmt w:val="decimal"/>
      <w:start w:val="9"/>
    </w:lvl>
  </w:abstractNum>
  <w:abstractNum w:abstractNumId="27">
    <w:nsid w:val="8138641"/>
    <w:multiLevelType w:val="hybridMultilevel"/>
    <w:lvl w:ilvl="0">
      <w:lvlJc w:val="left"/>
      <w:lvlText w:val="%1."/>
      <w:numFmt w:val="decimal"/>
      <w:start w:val="13"/>
    </w:lvl>
    <w:lvl w:ilvl="1">
      <w:lvlJc w:val="left"/>
      <w:lvlText w:val="(%2)"/>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decimal"/>
      <w:start w:val="18"/>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2020-04-07T15:32:35Z</dcterms:created>
  <dcterms:modified xsi:type="dcterms:W3CDTF">2020-04-07T15:32:35Z</dcterms:modified>
</cp:coreProperties>
</file>