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79"/>
        <w:spacing w:after="0"/>
        <w:rPr>
          <w:sz w:val="20"/>
          <w:szCs w:val="20"/>
          <w:color w:val="auto"/>
        </w:rPr>
      </w:pPr>
      <w:r>
        <w:rPr>
          <w:rFonts w:ascii="Arial" w:cs="Arial" w:eastAsia="Arial" w:hAnsi="Arial"/>
          <w:sz w:val="32"/>
          <w:szCs w:val="32"/>
          <w:b w:val="1"/>
          <w:bCs w:val="1"/>
          <w:color w:val="auto"/>
        </w:rPr>
        <w:t>Form 11-K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(Mark One)</w:t>
      </w:r>
    </w:p>
    <w:p>
      <w:pPr>
        <w:spacing w:after="0" w:line="118" w:lineRule="exact"/>
        <w:rPr>
          <w:sz w:val="20"/>
          <w:szCs w:val="20"/>
          <w:color w:val="auto"/>
        </w:rPr>
      </w:pPr>
    </w:p>
    <w:p>
      <w:pPr>
        <w:ind w:left="138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ANNUAL REPORT PURSUANT TO SECTION 15 (d) OF THE SECURITIES EXCHANGE ACT OF 1934 (NO FEE REQUIRED)</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fiscal year ended December 31, 2009</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15 (d) OF THE SECURITIES EXCHANGE ACT OF 1934 (NO FEE REQUIRED)</w:t>
      </w:r>
    </w:p>
    <w:p>
      <w:pPr>
        <w:spacing w:after="0" w:line="64" w:lineRule="exact"/>
        <w:rPr>
          <w:sz w:val="20"/>
          <w:szCs w:val="20"/>
          <w:color w:val="auto"/>
        </w:rPr>
      </w:pPr>
    </w:p>
    <w:p>
      <w:pPr>
        <w:ind w:left="1380"/>
        <w:spacing w:after="0"/>
        <w:tabs>
          <w:tab w:leader="none" w:pos="46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2352040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1-7819</w:t>
      </w:r>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43"/>
          <w:szCs w:val="43"/>
          <w:b w:val="1"/>
          <w:bCs w:val="1"/>
          <w:color w:val="auto"/>
        </w:rPr>
        <w:t>ANALOG DEVICES, INC.</w:t>
      </w:r>
    </w:p>
    <w:p>
      <w:pPr>
        <w:spacing w:after="0" w:line="55" w:lineRule="exact"/>
        <w:rPr>
          <w:sz w:val="20"/>
          <w:szCs w:val="20"/>
          <w:color w:val="auto"/>
        </w:rPr>
      </w:pPr>
    </w:p>
    <w:p>
      <w:pPr>
        <w:jc w:val="center"/>
        <w:ind w:right="-79"/>
        <w:spacing w:after="0"/>
        <w:rPr>
          <w:sz w:val="20"/>
          <w:szCs w:val="20"/>
          <w:color w:val="auto"/>
        </w:rPr>
      </w:pPr>
      <w:r>
        <w:rPr>
          <w:rFonts w:ascii="Arial" w:cs="Arial" w:eastAsia="Arial" w:hAnsi="Arial"/>
          <w:sz w:val="43"/>
          <w:szCs w:val="43"/>
          <w:b w:val="1"/>
          <w:bCs w:val="1"/>
          <w:color w:val="auto"/>
        </w:rPr>
        <w:t>THE INVESTMENT PARTNERSHIP PLAN</w:t>
      </w:r>
    </w:p>
    <w:p>
      <w:pPr>
        <w:ind w:left="3940"/>
        <w:spacing w:after="0"/>
        <w:rPr>
          <w:sz w:val="20"/>
          <w:szCs w:val="20"/>
          <w:color w:val="auto"/>
        </w:rPr>
      </w:pPr>
      <w:r>
        <w:rPr>
          <w:rFonts w:ascii="Arial" w:cs="Arial" w:eastAsia="Arial" w:hAnsi="Arial"/>
          <w:sz w:val="18"/>
          <w:szCs w:val="18"/>
          <w:i w:val="1"/>
          <w:iCs w:val="1"/>
          <w:color w:val="auto"/>
        </w:rPr>
        <w:t>(Full title of the plan and the address of the plan,</w:t>
      </w:r>
    </w:p>
    <w:p>
      <w:pPr>
        <w:spacing w:after="0" w:line="7" w:lineRule="exact"/>
        <w:rPr>
          <w:sz w:val="20"/>
          <w:szCs w:val="20"/>
          <w:color w:val="auto"/>
        </w:rPr>
      </w:pPr>
    </w:p>
    <w:p>
      <w:pPr>
        <w:ind w:left="4000"/>
        <w:spacing w:after="0"/>
        <w:rPr>
          <w:sz w:val="20"/>
          <w:szCs w:val="20"/>
          <w:color w:val="auto"/>
        </w:rPr>
      </w:pPr>
      <w:r>
        <w:rPr>
          <w:rFonts w:ascii="Arial" w:cs="Arial" w:eastAsia="Arial" w:hAnsi="Arial"/>
          <w:sz w:val="18"/>
          <w:szCs w:val="18"/>
          <w:i w:val="1"/>
          <w:iCs w:val="1"/>
          <w:color w:val="auto"/>
        </w:rPr>
        <w:t>if different from that of the issuer named below)</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(Name of issuer of the securities held pursuant to the plan and the</w:t>
      </w:r>
    </w:p>
    <w:p>
      <w:pPr>
        <w:spacing w:after="0" w:line="7"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address of its principal executive office)</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One Technology Way</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Norwood, Massachusetts 02062-9106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561340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2" w:right="319"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THE INVESTMENT PARTNERSHIP PLAN</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0000EE"/>
        </w:rPr>
        <w:t>Financial Statements</w:t>
      </w:r>
    </w:p>
    <w:p>
      <w:pPr>
        <w:spacing w:after="0" w:line="225" w:lineRule="exact"/>
        <w:rPr>
          <w:sz w:val="20"/>
          <w:szCs w:val="20"/>
          <w:color w:val="auto"/>
        </w:rPr>
      </w:pPr>
    </w:p>
    <w:p>
      <w:pPr>
        <w:ind w:left="120" w:hanging="112"/>
        <w:spacing w:after="0"/>
        <w:tabs>
          <w:tab w:leader="none" w:pos="120" w:val="left"/>
        </w:tabs>
        <w:numPr>
          <w:ilvl w:val="0"/>
          <w:numId w:val="3"/>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Report of Independent Registered Public Accounting Firm.</w:t>
        </w:r>
      </w:hyperlink>
    </w:p>
    <w:p>
      <w:pPr>
        <w:spacing w:after="0" w:line="225" w:lineRule="exact"/>
        <w:rPr>
          <w:rFonts w:ascii="Arial" w:cs="Arial" w:eastAsia="Arial" w:hAnsi="Arial"/>
          <w:sz w:val="18"/>
          <w:szCs w:val="18"/>
          <w:u w:val="single" w:color="auto"/>
          <w:color w:val="0000EE"/>
        </w:rPr>
      </w:pPr>
    </w:p>
    <w:p>
      <w:pPr>
        <w:ind w:left="120" w:hanging="112"/>
        <w:spacing w:after="0"/>
        <w:tabs>
          <w:tab w:leader="none" w:pos="120" w:val="left"/>
        </w:tabs>
        <w:numPr>
          <w:ilvl w:val="0"/>
          <w:numId w:val="3"/>
        </w:numPr>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Audited Statements of Net Assets Available for Benefits as of December 31, 2009 and 2008.</w:t>
        </w:r>
      </w:hyperlink>
    </w:p>
    <w:p>
      <w:pPr>
        <w:spacing w:after="0" w:line="225" w:lineRule="exact"/>
        <w:rPr>
          <w:rFonts w:ascii="Arial" w:cs="Arial" w:eastAsia="Arial" w:hAnsi="Arial"/>
          <w:sz w:val="18"/>
          <w:szCs w:val="18"/>
          <w:u w:val="single" w:color="auto"/>
          <w:color w:val="0000EE"/>
        </w:rPr>
      </w:pPr>
    </w:p>
    <w:p>
      <w:pPr>
        <w:ind w:left="120" w:hanging="112"/>
        <w:spacing w:after="0"/>
        <w:tabs>
          <w:tab w:leader="none" w:pos="120" w:val="left"/>
        </w:tabs>
        <w:numPr>
          <w:ilvl w:val="0"/>
          <w:numId w:val="3"/>
        </w:numPr>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Audited Statements of Changes in Net Assets Available for Benefits for the Years Ended December 31, 2009 and 2008.</w:t>
        </w:r>
      </w:hyperlink>
    </w:p>
    <w:p>
      <w:pPr>
        <w:spacing w:after="0" w:line="248" w:lineRule="exact"/>
        <w:rPr>
          <w:rFonts w:ascii="Arial" w:cs="Arial" w:eastAsia="Arial" w:hAnsi="Arial"/>
          <w:sz w:val="16"/>
          <w:szCs w:val="16"/>
          <w:u w:val="single" w:color="auto"/>
          <w:color w:val="0000EE"/>
        </w:rPr>
      </w:pPr>
    </w:p>
    <w:p>
      <w:pPr>
        <w:ind w:left="120" w:hanging="112"/>
        <w:spacing w:after="0"/>
        <w:tabs>
          <w:tab w:leader="none" w:pos="120" w:val="left"/>
        </w:tabs>
        <w:numPr>
          <w:ilvl w:val="0"/>
          <w:numId w:val="3"/>
        </w:numPr>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Notes to Financial Statements.</w:t>
        </w:r>
      </w:hyperlink>
    </w:p>
    <w:p>
      <w:pPr>
        <w:spacing w:after="0" w:line="225" w:lineRule="exact"/>
        <w:rPr>
          <w:rFonts w:ascii="Arial" w:cs="Arial" w:eastAsia="Arial" w:hAnsi="Arial"/>
          <w:sz w:val="16"/>
          <w:szCs w:val="16"/>
          <w:u w:val="single" w:color="auto"/>
          <w:color w:val="0000EE"/>
        </w:rPr>
      </w:pPr>
    </w:p>
    <w:p>
      <w:pPr>
        <w:ind w:left="4960"/>
        <w:spacing w:after="0"/>
        <w:rPr>
          <w:rFonts w:ascii="Arial" w:cs="Arial" w:eastAsia="Arial" w:hAnsi="Arial"/>
          <w:sz w:val="18"/>
          <w:szCs w:val="18"/>
          <w:u w:val="single" w:color="auto"/>
          <w:color w:val="0000EE"/>
        </w:rPr>
      </w:pPr>
      <w:hyperlink w:anchor="page16">
        <w:r>
          <w:rPr>
            <w:rFonts w:ascii="Arial" w:cs="Arial" w:eastAsia="Arial" w:hAnsi="Arial"/>
            <w:sz w:val="18"/>
            <w:szCs w:val="18"/>
            <w:u w:val="single" w:color="auto"/>
            <w:color w:val="0000EE"/>
          </w:rPr>
          <w:t>Supplemental Schedule</w:t>
        </w:r>
      </w:hyperlink>
    </w:p>
    <w:p>
      <w:pPr>
        <w:spacing w:after="0" w:line="225" w:lineRule="exact"/>
        <w:rPr>
          <w:rFonts w:ascii="Arial" w:cs="Arial" w:eastAsia="Arial" w:hAnsi="Arial"/>
          <w:sz w:val="16"/>
          <w:szCs w:val="16"/>
          <w:u w:val="single" w:color="auto"/>
          <w:color w:val="0000EE"/>
        </w:rPr>
      </w:pPr>
    </w:p>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 Schedule H-Line 4i — Schedule of Assets (Held at End of Year).</w:t>
        </w:r>
      </w:hyperlink>
    </w:p>
    <w:p>
      <w:pPr>
        <w:spacing w:after="0" w:line="225" w:lineRule="exact"/>
        <w:rPr>
          <w:rFonts w:ascii="Arial" w:cs="Arial" w:eastAsia="Arial" w:hAnsi="Arial"/>
          <w:sz w:val="16"/>
          <w:szCs w:val="16"/>
          <w:u w:val="single" w:color="auto"/>
          <w:color w:val="0000EE"/>
        </w:rPr>
      </w:pPr>
    </w:p>
    <w:p>
      <w:pPr>
        <w:ind w:left="5720"/>
        <w:spacing w:after="0"/>
        <w:rPr>
          <w:sz w:val="20"/>
          <w:szCs w:val="20"/>
          <w:color w:val="auto"/>
        </w:rPr>
      </w:pPr>
      <w:r>
        <w:rPr>
          <w:rFonts w:ascii="Arial" w:cs="Arial" w:eastAsia="Arial" w:hAnsi="Arial"/>
          <w:sz w:val="18"/>
          <w:szCs w:val="18"/>
          <w:color w:val="auto"/>
        </w:rPr>
        <w:t>Exhibits</w:t>
      </w:r>
    </w:p>
    <w:p>
      <w:pPr>
        <w:spacing w:after="0" w:line="225" w:lineRule="exact"/>
        <w:rPr>
          <w:rFonts w:ascii="Arial" w:cs="Arial" w:eastAsia="Arial" w:hAnsi="Arial"/>
          <w:sz w:val="16"/>
          <w:szCs w:val="16"/>
          <w:u w:val="single" w:color="auto"/>
          <w:color w:val="0000EE"/>
        </w:rPr>
      </w:pPr>
    </w:p>
    <w:p>
      <w:pPr>
        <w:ind w:left="60" w:right="4639" w:hanging="52"/>
        <w:spacing w:after="0" w:line="275" w:lineRule="auto"/>
        <w:tabs>
          <w:tab w:leader="none" w:pos="121"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Consent of Independent Registered Public Accounting Firm, filed herewith. </w:t>
      </w:r>
      <w:r>
        <w:rPr>
          <w:rFonts w:ascii="Arial" w:cs="Arial" w:eastAsia="Arial" w:hAnsi="Arial"/>
          <w:sz w:val="17"/>
          <w:szCs w:val="17"/>
          <w:u w:val="single" w:color="auto"/>
          <w:color w:val="0000EE"/>
        </w:rPr>
        <w:t>EX-23.1</w:t>
      </w:r>
    </w:p>
    <w:p>
      <w:pPr>
        <w:spacing w:after="0" w:line="147" w:lineRule="exact"/>
        <w:rPr>
          <w:rFonts w:ascii="Arial" w:cs="Arial" w:eastAsia="Arial" w:hAnsi="Arial"/>
          <w:sz w:val="16"/>
          <w:szCs w:val="16"/>
          <w:u w:val="single" w:color="auto"/>
          <w:color w:val="0000EE"/>
        </w:rPr>
      </w:pPr>
    </w:p>
    <w:p>
      <w:pPr>
        <w:ind w:left="5660"/>
        <w:spacing w:after="0"/>
        <w:rPr>
          <w:sz w:val="20"/>
          <w:szCs w:val="20"/>
          <w:color w:val="auto"/>
        </w:rPr>
      </w:pPr>
      <w:r>
        <w:rPr>
          <w:rFonts w:ascii="Arial" w:cs="Arial" w:eastAsia="Arial" w:hAnsi="Arial"/>
          <w:sz w:val="18"/>
          <w:szCs w:val="18"/>
          <w:color w:val="auto"/>
        </w:rPr>
        <w:t>2</w:t>
      </w:r>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62"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Administration Committee and Participants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Partnership Plan</w:t>
      </w:r>
    </w:p>
    <w:p>
      <w:pPr>
        <w:spacing w:after="0" w:line="103"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We have audited the accompanying statements of net assets available for benefits of the Analog Devices, Inc. The Investment Partnership Plan as of December 31, 2009 and 2008,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3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Plan’s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Plan’s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5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at December 31, 2009 and 2008, and the changes in its net assets available for benefits for the years then ended, in conformity with U.S. generally accepted accounting principles.</w:t>
      </w:r>
    </w:p>
    <w:p>
      <w:pPr>
        <w:spacing w:after="0" w:line="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audits were performed for the purpose of forming an opinion on the financial statements taken as a whole. The accompanying supplemental schedule of assets (held at end of year) as of December 31, 2009, is presented for purposes of additional analysis and is not a required part of the financial statements but is supplementary information required by the Department of Labor’s Rules and Regulations for Reporting and Disclosure under the Employee Retirement Income Security Act of 1974. This supplemental schedule is the responsibility of the Plan’s management. The supplemental schedule has been subjected to the auditing procedures applied in our audits of the financial statements and, in our opinion, is fairly stated in all material respects in relation to the financial statements taken as a whole.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11, 2010</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NET ASSETS AVAILABLE FOR BENEFITS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 and 2008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color w:val="auto"/>
              </w:rPr>
              <w:t>2009</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6560" w:type="dxa"/>
            <w:vAlign w:val="bottom"/>
            <w:gridSpan w:val="3"/>
            <w:shd w:val="clear" w:color="auto" w:fill="CCEEFF"/>
          </w:tcPr>
          <w:p>
            <w:pPr>
              <w:jc w:val="right"/>
              <w:ind w:right="5620"/>
              <w:spacing w:after="0"/>
              <w:rPr>
                <w:sz w:val="20"/>
                <w:szCs w:val="20"/>
                <w:color w:val="auto"/>
              </w:rPr>
            </w:pPr>
            <w:r>
              <w:rPr>
                <w:rFonts w:ascii="Arial" w:cs="Arial" w:eastAsia="Arial" w:hAnsi="Arial"/>
                <w:sz w:val="18"/>
                <w:szCs w:val="18"/>
                <w:color w:val="auto"/>
              </w:rPr>
              <w:t>ASSETS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6560" w:type="dxa"/>
            <w:vAlign w:val="bottom"/>
            <w:gridSpan w:val="3"/>
          </w:tcPr>
          <w:p>
            <w:pPr>
              <w:jc w:val="right"/>
              <w:ind w:right="340"/>
              <w:spacing w:after="0"/>
              <w:rPr>
                <w:sz w:val="20"/>
                <w:szCs w:val="20"/>
                <w:color w:val="auto"/>
              </w:rPr>
            </w:pPr>
            <w:r>
              <w:rPr>
                <w:rFonts w:ascii="Arial" w:cs="Arial" w:eastAsia="Arial" w:hAnsi="Arial"/>
                <w:sz w:val="18"/>
                <w:szCs w:val="18"/>
                <w:color w:val="auto"/>
              </w:rPr>
              <w:t>$ 706,756,647</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$ 560,894,025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Accrued interest and dividends</w:t>
            </w:r>
          </w:p>
        </w:tc>
        <w:tc>
          <w:tcPr>
            <w:tcW w:w="6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19,956</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27,525</w:t>
            </w:r>
          </w:p>
        </w:tc>
        <w:tc>
          <w:tcPr>
            <w:tcW w:w="0" w:type="dxa"/>
            <w:vAlign w:val="bottom"/>
          </w:tcPr>
          <w:p>
            <w:pPr>
              <w:spacing w:after="0"/>
              <w:rPr>
                <w:sz w:val="1"/>
                <w:szCs w:val="1"/>
                <w:color w:val="auto"/>
              </w:rPr>
            </w:pPr>
          </w:p>
        </w:tc>
      </w:tr>
      <w:tr>
        <w:trPr>
          <w:trHeight w:val="432"/>
        </w:trPr>
        <w:tc>
          <w:tcPr>
            <w:tcW w:w="3440" w:type="dxa"/>
            <w:vAlign w:val="bottom"/>
            <w:gridSpan w:val="2"/>
          </w:tcPr>
          <w:p>
            <w:pPr>
              <w:spacing w:after="0"/>
              <w:rPr>
                <w:sz w:val="20"/>
                <w:szCs w:val="20"/>
                <w:color w:val="auto"/>
              </w:rPr>
            </w:pPr>
            <w:r>
              <w:rPr>
                <w:rFonts w:ascii="Arial" w:cs="Arial" w:eastAsia="Arial" w:hAnsi="Arial"/>
                <w:sz w:val="18"/>
                <w:szCs w:val="18"/>
                <w:color w:val="auto"/>
              </w:rPr>
              <w:t>Participant loans receivable</w:t>
            </w:r>
          </w:p>
        </w:tc>
        <w:tc>
          <w:tcPr>
            <w:tcW w:w="6560" w:type="dxa"/>
            <w:vAlign w:val="bottom"/>
            <w:gridSpan w:val="3"/>
          </w:tcPr>
          <w:p>
            <w:pPr>
              <w:jc w:val="right"/>
              <w:ind w:right="340"/>
              <w:spacing w:after="0"/>
              <w:rPr>
                <w:sz w:val="20"/>
                <w:szCs w:val="20"/>
                <w:color w:val="auto"/>
              </w:rPr>
            </w:pPr>
            <w:r>
              <w:rPr>
                <w:rFonts w:ascii="Arial" w:cs="Arial" w:eastAsia="Arial" w:hAnsi="Arial"/>
                <w:sz w:val="18"/>
                <w:szCs w:val="18"/>
                <w:color w:val="auto"/>
              </w:rPr>
              <w:t>8,632,849</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8,536,073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420" w:type="dxa"/>
            <w:vAlign w:val="bottom"/>
          </w:tcPr>
          <w:p>
            <w:pPr>
              <w:spacing w:after="0"/>
              <w:rPr>
                <w:sz w:val="19"/>
                <w:szCs w:val="19"/>
                <w:color w:val="auto"/>
              </w:rPr>
            </w:pPr>
          </w:p>
        </w:tc>
        <w:tc>
          <w:tcPr>
            <w:tcW w:w="52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65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715,409,452</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569,457,623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5200" w:type="dxa"/>
            <w:vAlign w:val="bottom"/>
          </w:tcPr>
          <w:p>
            <w:pPr>
              <w:jc w:val="right"/>
              <w:ind w:right="3890"/>
              <w:spacing w:after="0"/>
              <w:rPr>
                <w:sz w:val="20"/>
                <w:szCs w:val="20"/>
                <w:color w:val="auto"/>
              </w:rPr>
            </w:pPr>
            <w:r>
              <w:rPr>
                <w:rFonts w:ascii="Arial" w:cs="Arial" w:eastAsia="Arial" w:hAnsi="Arial"/>
                <w:sz w:val="18"/>
                <w:szCs w:val="18"/>
                <w:color w:val="auto"/>
              </w:rPr>
              <w:t>LIABILITIES</w:t>
            </w:r>
          </w:p>
        </w:tc>
        <w:tc>
          <w:tcPr>
            <w:tcW w:w="10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w w:val="93"/>
              </w:rPr>
              <w:t>Payables — Pending investment transactions</w:t>
            </w:r>
          </w:p>
        </w:tc>
        <w:tc>
          <w:tcPr>
            <w:tcW w:w="5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(130,000)</w:t>
            </w:r>
          </w:p>
        </w:tc>
        <w:tc>
          <w:tcPr>
            <w:tcW w:w="0" w:type="dxa"/>
            <w:vAlign w:val="bottom"/>
          </w:tcPr>
          <w:p>
            <w:pPr>
              <w:spacing w:after="0"/>
              <w:rPr>
                <w:sz w:val="1"/>
                <w:szCs w:val="1"/>
                <w:color w:val="auto"/>
              </w:rPr>
            </w:pPr>
          </w:p>
        </w:tc>
      </w:tr>
      <w:tr>
        <w:trPr>
          <w:trHeight w:val="20"/>
        </w:trPr>
        <w:tc>
          <w:tcPr>
            <w:tcW w:w="3440" w:type="dxa"/>
            <w:vAlign w:val="bottom"/>
            <w:gridSpan w:val="2"/>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440" w:type="dxa"/>
            <w:vAlign w:val="bottom"/>
            <w:gridSpan w:val="2"/>
          </w:tcPr>
          <w:p>
            <w:pPr>
              <w:spacing w:after="0"/>
              <w:rPr>
                <w:sz w:val="20"/>
                <w:szCs w:val="20"/>
                <w:color w:val="auto"/>
              </w:rPr>
            </w:pPr>
            <w:r>
              <w:rPr>
                <w:rFonts w:ascii="Arial" w:cs="Arial" w:eastAsia="Arial" w:hAnsi="Arial"/>
                <w:sz w:val="18"/>
                <w:szCs w:val="18"/>
                <w:color w:val="auto"/>
              </w:rPr>
              <w:t>Net assets available for benefits</w:t>
            </w:r>
          </w:p>
        </w:tc>
        <w:tc>
          <w:tcPr>
            <w:tcW w:w="6560" w:type="dxa"/>
            <w:vAlign w:val="bottom"/>
            <w:gridSpan w:val="3"/>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715,409,182</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569,327,623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560" w:type="dxa"/>
            <w:vAlign w:val="bottom"/>
            <w:gridSpan w:val="3"/>
          </w:tcPr>
          <w:p>
            <w:pPr>
              <w:jc w:val="right"/>
              <w:ind w:right="3380"/>
              <w:spacing w:after="0"/>
              <w:rPr>
                <w:sz w:val="20"/>
                <w:szCs w:val="20"/>
                <w:color w:val="auto"/>
              </w:rPr>
            </w:pPr>
            <w:r>
              <w:rPr>
                <w:rFonts w:ascii="Arial" w:cs="Arial" w:eastAsia="Arial" w:hAnsi="Arial"/>
                <w:sz w:val="18"/>
                <w:szCs w:val="18"/>
                <w:color w:val="auto"/>
              </w:rPr>
              <w:t>See accompanying notes.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00" w:type="dxa"/>
            <w:vAlign w:val="bottom"/>
          </w:tcPr>
          <w:p>
            <w:pPr>
              <w:jc w:val="right"/>
              <w:ind w:right="2790"/>
              <w:spacing w:after="0"/>
              <w:rPr>
                <w:sz w:val="20"/>
                <w:szCs w:val="20"/>
                <w:color w:val="auto"/>
              </w:rPr>
            </w:pPr>
            <w:r>
              <w:rPr>
                <w:rFonts w:ascii="Arial" w:cs="Arial" w:eastAsia="Arial" w:hAnsi="Arial"/>
                <w:sz w:val="18"/>
                <w:szCs w:val="18"/>
                <w:color w:val="auto"/>
              </w:rPr>
              <w:t>4</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20" w:type="dxa"/>
            <w:vAlign w:val="bottom"/>
            <w:tcBorders>
              <w:bottom w:val="single" w:sz="8" w:color="808080"/>
            </w:tcBorders>
          </w:tcPr>
          <w:p>
            <w:pPr>
              <w:spacing w:after="0"/>
              <w:rPr>
                <w:sz w:val="19"/>
                <w:szCs w:val="19"/>
                <w:color w:val="auto"/>
              </w:rPr>
            </w:pPr>
          </w:p>
        </w:tc>
        <w:tc>
          <w:tcPr>
            <w:tcW w:w="52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STATEMENTS OF CHANGES IN NET ASSETS AVAILABLE FOR BENEFITS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2009 and 2008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color w:val="auto"/>
              </w:rPr>
              <w:t>2009</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Interest income on employee loans</w:t>
            </w:r>
          </w:p>
        </w:tc>
        <w:tc>
          <w:tcPr>
            <w:tcW w:w="4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668,706</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507,948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Net appreciation (depreciation) in fair value of investments</w:t>
            </w:r>
          </w:p>
        </w:tc>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137,983,537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(254,915,479)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Dividends, interest and capital gains distributions</w:t>
            </w: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10,749,417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24,572,907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investment income (loss)</w:t>
            </w:r>
          </w:p>
        </w:tc>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149,401,660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(229,834,624)</w:t>
            </w:r>
          </w:p>
        </w:tc>
        <w:tc>
          <w:tcPr>
            <w:tcW w:w="0" w:type="dxa"/>
            <w:vAlign w:val="bottom"/>
          </w:tcPr>
          <w:p>
            <w:pPr>
              <w:spacing w:after="0"/>
              <w:rPr>
                <w:sz w:val="1"/>
                <w:szCs w:val="1"/>
                <w:color w:val="auto"/>
              </w:rPr>
            </w:pPr>
          </w:p>
        </w:tc>
      </w:tr>
      <w:tr>
        <w:trPr>
          <w:trHeight w:val="432"/>
        </w:trPr>
        <w:tc>
          <w:tcPr>
            <w:tcW w:w="4640" w:type="dxa"/>
            <w:vAlign w:val="bottom"/>
            <w:gridSpan w:val="2"/>
          </w:tcPr>
          <w:p>
            <w:pPr>
              <w:spacing w:after="0"/>
              <w:rPr>
                <w:sz w:val="20"/>
                <w:szCs w:val="20"/>
                <w:color w:val="auto"/>
              </w:rPr>
            </w:pPr>
            <w:r>
              <w:rPr>
                <w:rFonts w:ascii="Arial" w:cs="Arial" w:eastAsia="Arial" w:hAnsi="Arial"/>
                <w:sz w:val="18"/>
                <w:szCs w:val="18"/>
                <w:color w:val="auto"/>
              </w:rPr>
              <w:t>Contributions:</w:t>
            </w:r>
          </w:p>
        </w:tc>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Employer</w:t>
            </w:r>
          </w:p>
        </w:tc>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21,331,936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21,639,705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rPr>
              <w:t>Employee</w:t>
            </w: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w w:val="99"/>
              </w:rPr>
              <w:t>26,606,256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31,194,766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contributions</w:t>
            </w:r>
          </w:p>
        </w:tc>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9"/>
              </w:rPr>
              <w:t>47,938,192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52,834,471</w:t>
            </w:r>
          </w:p>
        </w:tc>
        <w:tc>
          <w:tcPr>
            <w:tcW w:w="0" w:type="dxa"/>
            <w:vAlign w:val="bottom"/>
          </w:tcPr>
          <w:p>
            <w:pPr>
              <w:spacing w:after="0"/>
              <w:rPr>
                <w:sz w:val="1"/>
                <w:szCs w:val="1"/>
                <w:color w:val="auto"/>
              </w:rPr>
            </w:pPr>
          </w:p>
        </w:tc>
      </w:tr>
      <w:tr>
        <w:trPr>
          <w:trHeight w:val="432"/>
        </w:trPr>
        <w:tc>
          <w:tcPr>
            <w:tcW w:w="4640" w:type="dxa"/>
            <w:vAlign w:val="bottom"/>
            <w:gridSpan w:val="2"/>
          </w:tcPr>
          <w:p>
            <w:pPr>
              <w:spacing w:after="0"/>
              <w:rPr>
                <w:sz w:val="20"/>
                <w:szCs w:val="20"/>
                <w:color w:val="auto"/>
              </w:rPr>
            </w:pPr>
            <w:r>
              <w:rPr>
                <w:rFonts w:ascii="Arial" w:cs="Arial" w:eastAsia="Arial" w:hAnsi="Arial"/>
                <w:sz w:val="18"/>
                <w:szCs w:val="18"/>
                <w:color w:val="auto"/>
              </w:rPr>
              <w:t>Transfer out</w:t>
            </w:r>
          </w:p>
        </w:tc>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(27,342,143)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Participant withdrawals</w:t>
            </w:r>
          </w:p>
        </w:tc>
        <w:tc>
          <w:tcPr>
            <w:tcW w:w="3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4"/>
              </w:rPr>
              <w:t>(51,258,293)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(56,054,917)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620" w:type="dxa"/>
            <w:vAlign w:val="bottom"/>
          </w:tcPr>
          <w:p>
            <w:pPr>
              <w:ind w:left="200"/>
              <w:spacing w:after="0"/>
              <w:rPr>
                <w:sz w:val="20"/>
                <w:szCs w:val="20"/>
                <w:color w:val="auto"/>
              </w:rPr>
            </w:pPr>
            <w:r>
              <w:rPr>
                <w:rFonts w:ascii="Arial" w:cs="Arial" w:eastAsia="Arial" w:hAnsi="Arial"/>
                <w:sz w:val="18"/>
                <w:szCs w:val="18"/>
                <w:color w:val="auto"/>
                <w:w w:val="93"/>
              </w:rPr>
              <w:t>Net increase (decrease) in net assets available for benefits</w:t>
            </w:r>
          </w:p>
        </w:tc>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9"/>
              </w:rPr>
              <w:t>146,081,559</w:t>
            </w: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(260,397,213)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at beginning of year</w:t>
            </w:r>
          </w:p>
        </w:tc>
        <w:tc>
          <w:tcPr>
            <w:tcW w:w="3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569,327,623</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829,724,836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640" w:type="dxa"/>
            <w:vAlign w:val="bottom"/>
            <w:gridSpan w:val="2"/>
          </w:tcPr>
          <w:p>
            <w:pPr>
              <w:spacing w:after="0"/>
              <w:rPr>
                <w:sz w:val="20"/>
                <w:szCs w:val="20"/>
                <w:color w:val="auto"/>
              </w:rPr>
            </w:pPr>
            <w:r>
              <w:rPr>
                <w:rFonts w:ascii="Arial" w:cs="Arial" w:eastAsia="Arial" w:hAnsi="Arial"/>
                <w:sz w:val="18"/>
                <w:szCs w:val="18"/>
                <w:color w:val="auto"/>
              </w:rPr>
              <w:t>Net assets available for benefits at end of year</w:t>
            </w:r>
          </w:p>
        </w:tc>
        <w:tc>
          <w:tcPr>
            <w:tcW w:w="39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9"/>
              </w:rPr>
              <w:t>715,409,182</w:t>
            </w:r>
          </w:p>
        </w:tc>
        <w:tc>
          <w:tcPr>
            <w:tcW w:w="340" w:type="dxa"/>
            <w:vAlign w:val="bottom"/>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569,327,623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4040" w:type="dxa"/>
            <w:vAlign w:val="bottom"/>
            <w:gridSpan w:val="2"/>
          </w:tcPr>
          <w:p>
            <w:pPr>
              <w:jc w:val="center"/>
              <w:ind w:right="1810"/>
              <w:spacing w:after="0"/>
              <w:rPr>
                <w:sz w:val="20"/>
                <w:szCs w:val="20"/>
                <w:color w:val="auto"/>
              </w:rPr>
            </w:pPr>
            <w:r>
              <w:rPr>
                <w:rFonts w:ascii="Arial" w:cs="Arial" w:eastAsia="Arial" w:hAnsi="Arial"/>
                <w:sz w:val="18"/>
                <w:szCs w:val="18"/>
                <w:color w:val="auto"/>
                <w:w w:val="87"/>
              </w:rPr>
              <w:t>See accompanying notes.</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3940" w:type="dxa"/>
            <w:vAlign w:val="bottom"/>
          </w:tcPr>
          <w:p>
            <w:pPr>
              <w:jc w:val="right"/>
              <w:ind w:right="27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20" w:type="dxa"/>
            <w:vAlign w:val="bottom"/>
            <w:tcBorders>
              <w:bottom w:val="single" w:sz="8" w:color="808080"/>
            </w:tcBorders>
          </w:tcPr>
          <w:p>
            <w:pPr>
              <w:spacing w:after="0"/>
              <w:rPr>
                <w:sz w:val="19"/>
                <w:szCs w:val="19"/>
                <w:color w:val="auto"/>
              </w:rPr>
            </w:pPr>
          </w:p>
        </w:tc>
        <w:tc>
          <w:tcPr>
            <w:tcW w:w="3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Years ended December 31, 2009 and 2008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w:t>
      </w:r>
      <w:r>
        <w:rPr>
          <w:rFonts w:ascii="Arial" w:cs="Arial" w:eastAsia="Arial" w:hAnsi="Arial"/>
          <w:sz w:val="18"/>
          <w:szCs w:val="18"/>
          <w:b w:val="1"/>
          <w:bCs w:val="1"/>
          <w:color w:val="auto"/>
        </w:rPr>
        <w:t xml:space="preserve"> Description of Plan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description of the Analog Devices, Inc. (the “Company”) The Investment Partnership Plan (the “Plan”) provides only general information.</w:t>
      </w:r>
    </w:p>
    <w:p>
      <w:pPr>
        <w:spacing w:after="0" w:line="4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Participants should refer to the Plan agreement for a more complete description of the Plan’s provisions.</w:t>
      </w:r>
    </w:p>
    <w:p>
      <w:pPr>
        <w:spacing w:after="0" w:line="103" w:lineRule="exact"/>
        <w:rPr>
          <w:sz w:val="20"/>
          <w:szCs w:val="20"/>
          <w:color w:val="auto"/>
        </w:rPr>
      </w:pPr>
    </w:p>
    <w:p>
      <w:pPr>
        <w:ind w:left="240" w:right="600" w:hanging="4"/>
        <w:spacing w:after="0" w:line="277"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General</w:t>
      </w:r>
      <w:r>
        <w:rPr>
          <w:rFonts w:ascii="Arial" w:cs="Arial" w:eastAsia="Arial" w:hAnsi="Arial"/>
          <w:sz w:val="18"/>
          <w:szCs w:val="18"/>
          <w:color w:val="auto"/>
        </w:rPr>
        <w:t>. The Plan is a contributory defined contribution plan sponsored and administered by the Company. It is subject to the provisions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Retirement Income Security Act of 1974 (“ERISA”).</w:t>
      </w:r>
    </w:p>
    <w:p>
      <w:pPr>
        <w:spacing w:after="0" w:line="62" w:lineRule="exact"/>
        <w:rPr>
          <w:rFonts w:ascii="Arial" w:cs="Arial" w:eastAsia="Arial" w:hAnsi="Arial"/>
          <w:sz w:val="18"/>
          <w:szCs w:val="18"/>
          <w:color w:val="auto"/>
        </w:rPr>
      </w:pPr>
    </w:p>
    <w:p>
      <w:pPr>
        <w:ind w:left="240" w:right="20" w:hanging="4"/>
        <w:spacing w:after="0" w:line="264"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Transfer out of Plan Assets. </w:t>
      </w:r>
      <w:r>
        <w:rPr>
          <w:rFonts w:ascii="Arial" w:cs="Arial" w:eastAsia="Arial" w:hAnsi="Arial"/>
          <w:sz w:val="18"/>
          <w:szCs w:val="18"/>
          <w:color w:val="auto"/>
        </w:rPr>
        <w:t>During fiscal year 2008, the Company sold its baseband chipset business and related support operations (Baseband Chipset</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to MediaTek Inc. As a result of this transaction, those participants of the Plan whose employment transferred with the sale of this business had their account balances transferred from the Plan to MediaTek Inc.’s 401K plan.</w:t>
      </w:r>
    </w:p>
    <w:p>
      <w:pPr>
        <w:spacing w:after="0" w:line="73" w:lineRule="exact"/>
        <w:rPr>
          <w:rFonts w:ascii="Arial" w:cs="Arial" w:eastAsia="Arial" w:hAnsi="Arial"/>
          <w:sz w:val="18"/>
          <w:szCs w:val="18"/>
          <w:color w:val="auto"/>
        </w:rPr>
      </w:pPr>
    </w:p>
    <w:p>
      <w:pPr>
        <w:ind w:left="240" w:right="100" w:hanging="4"/>
        <w:spacing w:after="0" w:line="264"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Domestic employees of the Company are eligible to participate in the Plan on the first day of employment. The Company contributions are</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on the first day following one year of service. For eligibility purposes, a year of service is a 12-month period during which an employee completes at least 1,000 hours of service.</w:t>
      </w:r>
    </w:p>
    <w:p>
      <w:pPr>
        <w:spacing w:after="0" w:line="73" w:lineRule="exact"/>
        <w:rPr>
          <w:rFonts w:ascii="Arial" w:cs="Arial" w:eastAsia="Arial" w:hAnsi="Arial"/>
          <w:sz w:val="18"/>
          <w:szCs w:val="18"/>
          <w:color w:val="auto"/>
        </w:rPr>
      </w:pPr>
    </w:p>
    <w:p>
      <w:pPr>
        <w:ind w:left="240" w:hanging="4"/>
        <w:spacing w:after="0" w:line="271" w:lineRule="auto"/>
        <w:tabs>
          <w:tab w:leader="none" w:pos="4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Contributions</w:t>
      </w:r>
      <w:r>
        <w:rPr>
          <w:rFonts w:ascii="Arial" w:cs="Arial" w:eastAsia="Arial" w:hAnsi="Arial"/>
          <w:sz w:val="17"/>
          <w:szCs w:val="17"/>
          <w:color w:val="auto"/>
        </w:rPr>
        <w:t>. Basic contributions are made at the sole discretion of the Company. For 2009 and 2008, the Company decided to make the annual basic</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contribution at 5% of each participant’s total eligible compensation. The Internal Revenue Service defined total eligible compensation as an amount not to exceed $245,000 for 2009 and $230,000 for 2008. For 2010, this amount will remain at $245,000. In addition to the basic contribution, the Company matches each participant’s pre-tax contribution, if any, by contributing an amount not to exceed 3% of such participant’s total eligible compensation. A participant may voluntarily contribute to the Plan up to 50% of his or her pre-tax total eligible compensation; however, pre-tax contributions could not exceed $16,500 in 2009 and $15,500 in 2008. This amount will remain at $16,500 for 2010. An employee who does not elect to make pre-tax contributions to the Plan nor gives the Company notice of his or her intent not to contribute within sixty days of his or her employment commencement date will be automatically enrolled to make a pre-tax contribution of 4% of his or her eligible compensation.</w:t>
      </w:r>
    </w:p>
    <w:p>
      <w:pPr>
        <w:spacing w:after="0" w:line="71" w:lineRule="exact"/>
        <w:rPr>
          <w:sz w:val="20"/>
          <w:szCs w:val="20"/>
          <w:color w:val="auto"/>
        </w:rPr>
      </w:pPr>
    </w:p>
    <w:p>
      <w:pPr>
        <w:ind w:left="240" w:right="120"/>
        <w:spacing w:after="0" w:line="277" w:lineRule="auto"/>
        <w:rPr>
          <w:sz w:val="20"/>
          <w:szCs w:val="20"/>
          <w:color w:val="auto"/>
        </w:rPr>
      </w:pPr>
      <w:r>
        <w:rPr>
          <w:rFonts w:ascii="Arial" w:cs="Arial" w:eastAsia="Arial" w:hAnsi="Arial"/>
          <w:sz w:val="18"/>
          <w:szCs w:val="18"/>
          <w:color w:val="auto"/>
        </w:rPr>
        <w:t>Company contributions, participants’ pre-tax contributions and the net investment income related to all contributions are excluded from the participants’ income for federal income tax purposes until such amounts are withdrawn or distributed.</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Years ended December 31, 2009 and 2008</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5. </w:t>
      </w:r>
      <w:r>
        <w:rPr>
          <w:rFonts w:ascii="Arial" w:cs="Arial" w:eastAsia="Arial" w:hAnsi="Arial"/>
          <w:sz w:val="18"/>
          <w:szCs w:val="18"/>
          <w:i w:val="1"/>
          <w:iCs w:val="1"/>
          <w:color w:val="auto"/>
        </w:rPr>
        <w:t>Investment Options</w:t>
      </w:r>
      <w:r>
        <w:rPr>
          <w:rFonts w:ascii="Arial" w:cs="Arial" w:eastAsia="Arial" w:hAnsi="Arial"/>
          <w:sz w:val="18"/>
          <w:szCs w:val="18"/>
          <w:color w:val="auto"/>
        </w:rPr>
        <w:t>. The investment options of the Plan are listed below.</w:t>
      </w:r>
    </w:p>
    <w:p>
      <w:pPr>
        <w:spacing w:after="0" w:line="117"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Analog Devices, Inc. Stock Fund</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Calamos Growth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Diversified International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Equity Income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Growth Company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Growth &amp; Income Portfolio</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Low-Priced Stock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Income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2000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2005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2010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2015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2020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2025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2030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2035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2040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2045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Freedom 2050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Institutional Money Market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Magellan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U.S. Bond Index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Fidelity U.S. Equity Index Commingled Pool</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Hotchkis and Wiley Mid-Cap Value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Spartan International Index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Templeton Foreign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Royce Low-Priced Stock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Vanguard Mid-Cap Index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Vanguard Short-Term Bond Index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Vanguard Small-Cap Index Fund</w:t>
      </w:r>
    </w:p>
    <w:p>
      <w:pPr>
        <w:spacing w:after="0" w:line="9"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Vanguard Inflation Protected Securities Fund</w:t>
      </w:r>
    </w:p>
    <w:p>
      <w:pPr>
        <w:spacing w:after="0" w:line="103" w:lineRule="exact"/>
        <w:rPr>
          <w:sz w:val="20"/>
          <w:szCs w:val="20"/>
          <w:color w:val="auto"/>
        </w:rPr>
      </w:pPr>
    </w:p>
    <w:p>
      <w:pPr>
        <w:ind w:left="240"/>
        <w:spacing w:after="0" w:line="277" w:lineRule="auto"/>
        <w:rPr>
          <w:sz w:val="20"/>
          <w:szCs w:val="20"/>
          <w:color w:val="auto"/>
        </w:rPr>
      </w:pPr>
      <w:r>
        <w:rPr>
          <w:rFonts w:ascii="Arial" w:cs="Arial" w:eastAsia="Arial" w:hAnsi="Arial"/>
          <w:sz w:val="18"/>
          <w:szCs w:val="18"/>
          <w:color w:val="auto"/>
        </w:rPr>
        <w:t>Additionally, participants have the option to invest assets in a self-directed brokerage service that allows participants access to a wide variety of stocks, bonds, short-term securities and mutual funds.</w:t>
      </w:r>
    </w:p>
    <w:p>
      <w:pPr>
        <w:spacing w:after="0" w:line="62" w:lineRule="exact"/>
        <w:rPr>
          <w:sz w:val="20"/>
          <w:szCs w:val="20"/>
          <w:color w:val="auto"/>
        </w:rPr>
      </w:pPr>
    </w:p>
    <w:p>
      <w:pPr>
        <w:ind w:left="240" w:right="240" w:hanging="4"/>
        <w:spacing w:after="0" w:line="277"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Vesting</w:t>
      </w:r>
      <w:r>
        <w:rPr>
          <w:rFonts w:ascii="Arial" w:cs="Arial" w:eastAsia="Arial" w:hAnsi="Arial"/>
          <w:sz w:val="18"/>
          <w:szCs w:val="18"/>
          <w:color w:val="auto"/>
        </w:rPr>
        <w:t>.</w:t>
      </w:r>
      <w:r>
        <w:rPr>
          <w:rFonts w:ascii="Arial" w:cs="Arial" w:eastAsia="Arial" w:hAnsi="Arial"/>
          <w:sz w:val="18"/>
          <w:szCs w:val="18"/>
          <w:i w:val="1"/>
          <w:iCs w:val="1"/>
          <w:color w:val="auto"/>
        </w:rPr>
        <w:t xml:space="preserve"> Employee contributions</w:t>
      </w:r>
      <w:r>
        <w:rPr>
          <w:rFonts w:ascii="Arial" w:cs="Arial" w:eastAsia="Arial" w:hAnsi="Arial"/>
          <w:sz w:val="18"/>
          <w:szCs w:val="18"/>
          <w:color w:val="auto"/>
        </w:rPr>
        <w:t>: Employee contributions are immediately 100% vested and nonforfeitable at the time they are deducted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compensation. Investment income on employee contributions vests as earned.</w:t>
      </w:r>
    </w:p>
    <w:p>
      <w:pPr>
        <w:spacing w:after="0" w:line="14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419" w:right="5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2009 and 2008</w:t>
      </w:r>
    </w:p>
    <w:p>
      <w:pPr>
        <w:spacing w:after="0" w:line="117" w:lineRule="exact"/>
        <w:rPr>
          <w:sz w:val="20"/>
          <w:szCs w:val="20"/>
          <w:color w:val="auto"/>
        </w:rPr>
      </w:pPr>
    </w:p>
    <w:p>
      <w:pPr>
        <w:jc w:val="center"/>
        <w:ind w:right="60"/>
        <w:spacing w:after="0"/>
        <w:rPr>
          <w:sz w:val="20"/>
          <w:szCs w:val="20"/>
          <w:color w:val="auto"/>
        </w:rPr>
      </w:pPr>
      <w:r>
        <w:rPr>
          <w:rFonts w:ascii="Arial" w:cs="Arial" w:eastAsia="Arial" w:hAnsi="Arial"/>
          <w:sz w:val="17"/>
          <w:szCs w:val="17"/>
          <w:i w:val="1"/>
          <w:iCs w:val="1"/>
          <w:color w:val="auto"/>
        </w:rPr>
        <w:t xml:space="preserve">Company Contributions: </w:t>
      </w:r>
      <w:r>
        <w:rPr>
          <w:rFonts w:ascii="Arial" w:cs="Arial" w:eastAsia="Arial" w:hAnsi="Arial"/>
          <w:sz w:val="17"/>
          <w:szCs w:val="17"/>
          <w:color w:val="auto"/>
        </w:rPr>
        <w:t>Company basic and match contributions and investment earnings thereon become fully vested upon the first to occur of</w:t>
      </w:r>
    </w:p>
    <w:p>
      <w:pPr>
        <w:spacing w:after="0" w:line="35" w:lineRule="exact"/>
        <w:rPr>
          <w:sz w:val="20"/>
          <w:szCs w:val="20"/>
          <w:color w:val="auto"/>
        </w:rPr>
      </w:pPr>
    </w:p>
    <w:p>
      <w:pPr>
        <w:ind w:left="240" w:right="160" w:hanging="4"/>
        <w:spacing w:after="0" w:line="255" w:lineRule="auto"/>
        <w:tabs>
          <w:tab w:leader="none" w:pos="455"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completion of three years of service with the Company, (ii) reaching age 65 while employed by the Company, (iii) death or permanent disability while employed by the Company or (iv) if employment is terminated by the Company due to job elimination, the closing of a facility or as the result of the disposition of a business unit.</w:t>
      </w:r>
    </w:p>
    <w:p>
      <w:pPr>
        <w:spacing w:after="0" w:line="82" w:lineRule="exact"/>
        <w:rPr>
          <w:sz w:val="20"/>
          <w:szCs w:val="20"/>
          <w:color w:val="auto"/>
        </w:rPr>
      </w:pPr>
    </w:p>
    <w:p>
      <w:pPr>
        <w:ind w:left="240" w:right="220" w:hanging="4"/>
        <w:spacing w:after="0" w:line="276" w:lineRule="auto"/>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Benefits</w:t>
      </w:r>
      <w:r>
        <w:rPr>
          <w:rFonts w:ascii="Arial" w:cs="Arial" w:eastAsia="Arial" w:hAnsi="Arial"/>
          <w:sz w:val="17"/>
          <w:szCs w:val="17"/>
          <w:color w:val="auto"/>
        </w:rPr>
        <w:t>. Upon normal retirement at age 65, death, permanent disability or termination of employment, the participant’s vested benefits are paid to the</w:t>
      </w:r>
      <w:r>
        <w:rPr>
          <w:rFonts w:ascii="Arial" w:cs="Arial" w:eastAsia="Arial" w:hAnsi="Arial"/>
          <w:sz w:val="17"/>
          <w:szCs w:val="17"/>
          <w:i w:val="1"/>
          <w:iCs w:val="1"/>
          <w:color w:val="auto"/>
        </w:rPr>
        <w:t xml:space="preserve"> </w:t>
      </w:r>
      <w:r>
        <w:rPr>
          <w:rFonts w:ascii="Arial" w:cs="Arial" w:eastAsia="Arial" w:hAnsi="Arial"/>
          <w:sz w:val="17"/>
          <w:szCs w:val="17"/>
          <w:color w:val="auto"/>
        </w:rPr>
        <w:t>participant or his or her beneficiary, at the election of the participant, either in a lump sum or in monthly installments over a period of up to ten years. A participant may elect to defer payment of his or her account until he or she attains age 70 1/2. However, if a participant’s vested benefits are less than $1,000 upon termination of employment, distribution will be made in the form of a lump-sum payment within one year following termination of employment. Participants may request an in-service withdrawal for any reason after he or she attains age 59 1/2.</w:t>
      </w:r>
    </w:p>
    <w:p>
      <w:pPr>
        <w:spacing w:after="0" w:line="64" w:lineRule="exact"/>
        <w:rPr>
          <w:rFonts w:ascii="Arial" w:cs="Arial" w:eastAsia="Arial" w:hAnsi="Arial"/>
          <w:sz w:val="17"/>
          <w:szCs w:val="17"/>
          <w:color w:val="auto"/>
        </w:rPr>
      </w:pPr>
    </w:p>
    <w:p>
      <w:pPr>
        <w:ind w:left="240" w:right="40" w:hanging="4"/>
        <w:spacing w:after="0" w:line="276" w:lineRule="auto"/>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Loans</w:t>
      </w:r>
      <w:r>
        <w:rPr>
          <w:rFonts w:ascii="Arial" w:cs="Arial" w:eastAsia="Arial" w:hAnsi="Arial"/>
          <w:sz w:val="17"/>
          <w:szCs w:val="17"/>
          <w:color w:val="auto"/>
        </w:rPr>
        <w:t>. Participants may borrow the lesser of 50% of their vested account balance, as defined by the plan, or $50,000. Participants repay loans plus</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to their accounts through payroll deductions, generally over a five-year period unless for the purchase of a primary residence, in which case the repayment period may be extended up to a maximum of twenty years. Beginning October 1, 2009, the interest rate on loans, which is announced quarterly, is Prime plus 1%. Prior to October 1, 2009, the interest rate on loans, which was announced quarterly, was tied to the interest rate of Treasury Bonds with 3- and 10-year maturities. Once determined, the interest rate is fixed for the duration of the loan.</w:t>
      </w:r>
    </w:p>
    <w:p>
      <w:pPr>
        <w:spacing w:after="0" w:line="64" w:lineRule="exact"/>
        <w:rPr>
          <w:rFonts w:ascii="Arial" w:cs="Arial" w:eastAsia="Arial" w:hAnsi="Arial"/>
          <w:sz w:val="17"/>
          <w:szCs w:val="17"/>
          <w:color w:val="auto"/>
        </w:rPr>
      </w:pPr>
    </w:p>
    <w:p>
      <w:pPr>
        <w:ind w:left="240" w:hanging="4"/>
        <w:spacing w:after="0" w:line="279" w:lineRule="auto"/>
        <w:tabs>
          <w:tab w:leader="none" w:pos="42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Accounting</w:t>
      </w:r>
      <w:r>
        <w:rPr>
          <w:rFonts w:ascii="Arial" w:cs="Arial" w:eastAsia="Arial" w:hAnsi="Arial"/>
          <w:sz w:val="17"/>
          <w:szCs w:val="17"/>
          <w:color w:val="auto"/>
        </w:rPr>
        <w:t>. A separate account is maintained for each participant. Account balances are adjusted periodically for employee and Company contributions,</w:t>
      </w:r>
      <w:r>
        <w:rPr>
          <w:rFonts w:ascii="Arial" w:cs="Arial" w:eastAsia="Arial" w:hAnsi="Arial"/>
          <w:sz w:val="17"/>
          <w:szCs w:val="17"/>
          <w:i w:val="1"/>
          <w:iCs w:val="1"/>
          <w:color w:val="auto"/>
        </w:rPr>
        <w:t xml:space="preserve"> </w:t>
      </w:r>
      <w:r>
        <w:rPr>
          <w:rFonts w:ascii="Arial" w:cs="Arial" w:eastAsia="Arial" w:hAnsi="Arial"/>
          <w:sz w:val="17"/>
          <w:szCs w:val="17"/>
          <w:color w:val="auto"/>
        </w:rPr>
        <w:t>withdrawals and a pro rata share of net investment income or loss. Forfeitures that arise when participants terminate employment with the Company prior to vesting are used to offset future Company contributions and administrative expenses of the Plan. If an employee who had terminated returns to the employment of the Company within five years, any amount that had been forfeited will be reinstated by the Company.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2009 and 2008</w:t>
      </w:r>
    </w:p>
    <w:p>
      <w:pPr>
        <w:spacing w:after="0" w:line="117" w:lineRule="exact"/>
        <w:rPr>
          <w:sz w:val="20"/>
          <w:szCs w:val="20"/>
          <w:color w:val="auto"/>
        </w:rPr>
      </w:pPr>
    </w:p>
    <w:p>
      <w:pPr>
        <w:ind w:left="240" w:right="80"/>
        <w:spacing w:after="0" w:line="264" w:lineRule="auto"/>
        <w:rPr>
          <w:sz w:val="20"/>
          <w:szCs w:val="20"/>
          <w:color w:val="auto"/>
        </w:rPr>
      </w:pPr>
      <w:r>
        <w:rPr>
          <w:rFonts w:ascii="Arial" w:cs="Arial" w:eastAsia="Arial" w:hAnsi="Arial"/>
          <w:sz w:val="18"/>
          <w:szCs w:val="18"/>
          <w:color w:val="auto"/>
        </w:rPr>
        <w:t>All transactions of the Plan (including contributions, withdrawals and exchanges) have been accounted for and reported using units as well as dollars. Net investment income (loss) in each fund is allocated based on the shares or units in each participant’s account, except for the Self-Directed Brokerage Service, whereby earnings are recorded on a transaction specific basis.</w:t>
      </w:r>
    </w:p>
    <w:p>
      <w:pPr>
        <w:spacing w:after="0" w:line="73" w:lineRule="exact"/>
        <w:rPr>
          <w:sz w:val="20"/>
          <w:szCs w:val="20"/>
          <w:color w:val="auto"/>
        </w:rPr>
      </w:pPr>
    </w:p>
    <w:p>
      <w:pPr>
        <w:ind w:left="240" w:right="380" w:hanging="4"/>
        <w:spacing w:after="0" w:line="312" w:lineRule="auto"/>
        <w:tabs>
          <w:tab w:leader="none" w:pos="510"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Investment allocation</w:t>
      </w:r>
      <w:r>
        <w:rPr>
          <w:rFonts w:ascii="Arial" w:cs="Arial" w:eastAsia="Arial" w:hAnsi="Arial"/>
          <w:sz w:val="16"/>
          <w:szCs w:val="16"/>
          <w:color w:val="auto"/>
        </w:rPr>
        <w:t>. The vested and nonvested share of a participant’s account balance is invested in one or more of the investment options</w:t>
      </w:r>
      <w:r>
        <w:rPr>
          <w:rFonts w:ascii="Arial" w:cs="Arial" w:eastAsia="Arial" w:hAnsi="Arial"/>
          <w:sz w:val="16"/>
          <w:szCs w:val="16"/>
          <w:i w:val="1"/>
          <w:iCs w:val="1"/>
          <w:color w:val="auto"/>
        </w:rPr>
        <w:t xml:space="preserve"> </w:t>
      </w:r>
      <w:r>
        <w:rPr>
          <w:rFonts w:ascii="Arial" w:cs="Arial" w:eastAsia="Arial" w:hAnsi="Arial"/>
          <w:sz w:val="16"/>
          <w:szCs w:val="16"/>
          <w:color w:val="auto"/>
        </w:rPr>
        <w:t>depending upon the allocation instructions of the participant. In the absence of such allocation instructions, all amounts accruing to the participant are invested in a Fidelity Freedom Fund, based on their projected retirement timeframe. Participants may change this election at any time.</w:t>
      </w:r>
    </w:p>
    <w:p>
      <w:pPr>
        <w:spacing w:after="0" w:line="38" w:lineRule="exact"/>
        <w:rPr>
          <w:rFonts w:ascii="Arial" w:cs="Arial" w:eastAsia="Arial" w:hAnsi="Arial"/>
          <w:sz w:val="16"/>
          <w:szCs w:val="16"/>
          <w:color w:val="auto"/>
        </w:rPr>
      </w:pPr>
    </w:p>
    <w:p>
      <w:pPr>
        <w:ind w:left="240" w:right="380" w:hanging="4"/>
        <w:spacing w:after="0" w:line="342" w:lineRule="auto"/>
        <w:tabs>
          <w:tab w:leader="none" w:pos="503" w:val="left"/>
        </w:tabs>
        <w:numPr>
          <w:ilvl w:val="1"/>
          <w:numId w:val="9"/>
        </w:numPr>
        <w:rPr>
          <w:rFonts w:ascii="Arial" w:cs="Arial" w:eastAsia="Arial" w:hAnsi="Arial"/>
          <w:sz w:val="16"/>
          <w:szCs w:val="16"/>
          <w:color w:val="auto"/>
        </w:rPr>
      </w:pPr>
      <w:r>
        <w:rPr>
          <w:rFonts w:ascii="Arial" w:cs="Arial" w:eastAsia="Arial" w:hAnsi="Arial"/>
          <w:sz w:val="16"/>
          <w:szCs w:val="16"/>
          <w:i w:val="1"/>
          <w:iCs w:val="1"/>
          <w:color w:val="auto"/>
        </w:rPr>
        <w:t>Continuation of the Plan</w:t>
      </w:r>
      <w:r>
        <w:rPr>
          <w:rFonts w:ascii="Arial" w:cs="Arial" w:eastAsia="Arial" w:hAnsi="Arial"/>
          <w:sz w:val="16"/>
          <w:szCs w:val="16"/>
          <w:color w:val="auto"/>
        </w:rPr>
        <w:t>. While the Company has not expressed any intent to terminate the Plan or suspend contributions, it is free to do so at any</w:t>
      </w:r>
      <w:r>
        <w:rPr>
          <w:rFonts w:ascii="Arial" w:cs="Arial" w:eastAsia="Arial" w:hAnsi="Arial"/>
          <w:sz w:val="16"/>
          <w:szCs w:val="16"/>
          <w:i w:val="1"/>
          <w:iCs w:val="1"/>
          <w:color w:val="auto"/>
        </w:rPr>
        <w:t xml:space="preserve"> </w:t>
      </w:r>
      <w:r>
        <w:rPr>
          <w:rFonts w:ascii="Arial" w:cs="Arial" w:eastAsia="Arial" w:hAnsi="Arial"/>
          <w:sz w:val="16"/>
          <w:szCs w:val="16"/>
          <w:color w:val="auto"/>
        </w:rPr>
        <w:t>time. In the event of such termination or suspension, each participant would have a nonforfeitable right to all monies in his or her account.</w:t>
      </w:r>
    </w:p>
    <w:p>
      <w:pPr>
        <w:spacing w:after="0" w:line="119" w:lineRule="exact"/>
        <w:rPr>
          <w:rFonts w:ascii="Arial" w:cs="Arial" w:eastAsia="Arial" w:hAnsi="Arial"/>
          <w:sz w:val="16"/>
          <w:szCs w:val="16"/>
          <w:color w:val="auto"/>
        </w:rPr>
      </w:pPr>
    </w:p>
    <w:p>
      <w:pPr>
        <w:ind w:left="220" w:hanging="212"/>
        <w:spacing w:after="0"/>
        <w:tabs>
          <w:tab w:leader="none" w:pos="2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21" w:lineRule="exact"/>
        <w:rPr>
          <w:rFonts w:ascii="Arial" w:cs="Arial" w:eastAsia="Arial" w:hAnsi="Arial"/>
          <w:sz w:val="18"/>
          <w:szCs w:val="18"/>
          <w:b w:val="1"/>
          <w:bCs w:val="1"/>
          <w:color w:val="auto"/>
        </w:rPr>
      </w:pPr>
    </w:p>
    <w:p>
      <w:pPr>
        <w:ind w:left="420" w:hanging="184"/>
        <w:spacing w:after="0"/>
        <w:tabs>
          <w:tab w:leader="none" w:pos="420" w:val="left"/>
        </w:tabs>
        <w:numPr>
          <w:ilvl w:val="1"/>
          <w:numId w:val="10"/>
        </w:numPr>
        <w:rPr>
          <w:rFonts w:ascii="Arial" w:cs="Arial" w:eastAsia="Arial" w:hAnsi="Arial"/>
          <w:sz w:val="18"/>
          <w:szCs w:val="18"/>
          <w:color w:val="auto"/>
        </w:rPr>
      </w:pPr>
      <w:r>
        <w:rPr>
          <w:rFonts w:ascii="Arial" w:cs="Arial" w:eastAsia="Arial" w:hAnsi="Arial"/>
          <w:sz w:val="18"/>
          <w:szCs w:val="18"/>
          <w:i w:val="1"/>
          <w:iCs w:val="1"/>
          <w:color w:val="auto"/>
        </w:rPr>
        <w:t>Basis of presentation</w:t>
      </w:r>
      <w:r>
        <w:rPr>
          <w:rFonts w:ascii="Arial" w:cs="Arial" w:eastAsia="Arial" w:hAnsi="Arial"/>
          <w:sz w:val="18"/>
          <w:szCs w:val="18"/>
          <w:color w:val="auto"/>
        </w:rPr>
        <w:t>. The accompanying financial statements have been prepared on the accrual basis of accounting.</w:t>
      </w:r>
    </w:p>
    <w:p>
      <w:pPr>
        <w:spacing w:after="0" w:line="117" w:lineRule="exact"/>
        <w:rPr>
          <w:rFonts w:ascii="Arial" w:cs="Arial" w:eastAsia="Arial" w:hAnsi="Arial"/>
          <w:sz w:val="18"/>
          <w:szCs w:val="18"/>
          <w:color w:val="auto"/>
        </w:rPr>
      </w:pPr>
    </w:p>
    <w:p>
      <w:pPr>
        <w:ind w:left="240" w:hanging="4"/>
        <w:spacing w:after="0" w:line="287" w:lineRule="auto"/>
        <w:tabs>
          <w:tab w:leader="none" w:pos="420" w:val="left"/>
        </w:tabs>
        <w:numPr>
          <w:ilvl w:val="1"/>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New accounting pronouncements. </w:t>
      </w:r>
      <w:r>
        <w:rPr>
          <w:rFonts w:ascii="Arial" w:cs="Arial" w:eastAsia="Arial" w:hAnsi="Arial"/>
          <w:sz w:val="16"/>
          <w:szCs w:val="16"/>
          <w:color w:val="auto"/>
        </w:rPr>
        <w:t>In September 2009, the Financial Accounting Standards Board (FASB) issued Accounting Standards Update 2009-12,</w:t>
      </w:r>
      <w:r>
        <w:rPr>
          <w:rFonts w:ascii="Arial" w:cs="Arial" w:eastAsia="Arial" w:hAnsi="Arial"/>
          <w:sz w:val="16"/>
          <w:szCs w:val="16"/>
          <w:i w:val="1"/>
          <w:iCs w:val="1"/>
          <w:color w:val="auto"/>
        </w:rPr>
        <w:t xml:space="preserve"> Investments in Certain Equities That Calculate Net Asset Value per Share </w:t>
      </w:r>
      <w:r>
        <w:rPr>
          <w:rFonts w:ascii="Arial" w:cs="Arial" w:eastAsia="Arial" w:hAnsi="Arial"/>
          <w:sz w:val="16"/>
          <w:szCs w:val="16"/>
          <w:color w:val="auto"/>
        </w:rPr>
        <w:t>(or Equivalent) (ASU 2009-12). ASU 2009-12 provides amendments to</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Accounting Standards Codification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The amendments permit, as a practical expedient, a reporting entity to estimate the fair value of an investment that is within the scope of ASU 2009-12 using the net asset value per share (or its equivalent) of the investment if the net asset value of the investment (or its equivalent) is calculated in a manner consistent with the measurement principles of ASC 946, </w:t>
      </w:r>
      <w:r>
        <w:rPr>
          <w:rFonts w:ascii="Arial" w:cs="Arial" w:eastAsia="Arial" w:hAnsi="Arial"/>
          <w:sz w:val="16"/>
          <w:szCs w:val="16"/>
          <w:i w:val="1"/>
          <w:iCs w:val="1"/>
          <w:color w:val="auto"/>
        </w:rPr>
        <w:t xml:space="preserve">Financial Services — Investment Companies, </w:t>
      </w:r>
      <w:r>
        <w:rPr>
          <w:rFonts w:ascii="Arial" w:cs="Arial" w:eastAsia="Arial" w:hAnsi="Arial"/>
          <w:sz w:val="16"/>
          <w:szCs w:val="16"/>
          <w:color w:val="auto"/>
        </w:rPr>
        <w:t>as of the reporting entity’s measurement date. ASC 946 requires investment companies to report their</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assets at fair value in accordance with the principles of ASC 820. The amendments also require disclosures regarding the attributes of investments within the scope of ASU 2009-12, such as the nature of any restrictions on the investor’s ability to redeem its investments at the measurement date, any unfunded capital commitments, and the investment strategies of the investees. The disclosures are required (by major category) for all investments within the scope of ASU 2009-12 regardless of whether the fair value of the investment is measured using the practical expedient. The amended guidance is effective for interim and annual periods ending after December 15, 2009. The Plan adopted ASU 2009-12 during its fiscal year ended December 31, 2009. The adoption of ASU 2009-12 did not have a material impact on the Plan’s financial statements.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2009 and 2008</w:t>
      </w:r>
    </w:p>
    <w:p>
      <w:pPr>
        <w:spacing w:after="0" w:line="117" w:lineRule="exact"/>
        <w:rPr>
          <w:sz w:val="20"/>
          <w:szCs w:val="20"/>
          <w:color w:val="auto"/>
        </w:rPr>
      </w:pPr>
    </w:p>
    <w:p>
      <w:pPr>
        <w:ind w:left="240" w:right="260" w:firstLine="225"/>
        <w:spacing w:after="0" w:line="308" w:lineRule="auto"/>
        <w:rPr>
          <w:sz w:val="20"/>
          <w:szCs w:val="20"/>
          <w:color w:val="auto"/>
        </w:rPr>
      </w:pPr>
      <w:r>
        <w:rPr>
          <w:rFonts w:ascii="Arial" w:cs="Arial" w:eastAsia="Arial" w:hAnsi="Arial"/>
          <w:sz w:val="17"/>
          <w:szCs w:val="17"/>
          <w:color w:val="auto"/>
        </w:rPr>
        <w:t xml:space="preserve">In May 2009, the FASB issued ASC 855, </w:t>
      </w:r>
      <w:r>
        <w:rPr>
          <w:rFonts w:ascii="Arial" w:cs="Arial" w:eastAsia="Arial" w:hAnsi="Arial"/>
          <w:sz w:val="17"/>
          <w:szCs w:val="17"/>
          <w:i w:val="1"/>
          <w:iCs w:val="1"/>
          <w:color w:val="auto"/>
        </w:rPr>
        <w:t>Subsequent Events,</w:t>
      </w:r>
      <w:r>
        <w:rPr>
          <w:rFonts w:ascii="Arial" w:cs="Arial" w:eastAsia="Arial" w:hAnsi="Arial"/>
          <w:sz w:val="17"/>
          <w:szCs w:val="17"/>
          <w:color w:val="auto"/>
        </w:rPr>
        <w:t xml:space="preserve"> that established general standards of accounting for and disclosure of events that occur after the statement of net assets available for benefits date. This new guidance was effective for periods ending after June 15, 2009.</w:t>
      </w:r>
    </w:p>
    <w:p>
      <w:pPr>
        <w:spacing w:after="0" w:line="38" w:lineRule="exact"/>
        <w:rPr>
          <w:sz w:val="20"/>
          <w:szCs w:val="20"/>
          <w:color w:val="auto"/>
        </w:rPr>
      </w:pPr>
    </w:p>
    <w:p>
      <w:pPr>
        <w:ind w:left="240" w:right="100" w:firstLine="225"/>
        <w:spacing w:after="0" w:line="288" w:lineRule="auto"/>
        <w:rPr>
          <w:sz w:val="20"/>
          <w:szCs w:val="20"/>
          <w:color w:val="auto"/>
        </w:rPr>
      </w:pPr>
      <w:r>
        <w:rPr>
          <w:rFonts w:ascii="Arial" w:cs="Arial" w:eastAsia="Arial" w:hAnsi="Arial"/>
          <w:sz w:val="16"/>
          <w:szCs w:val="16"/>
          <w:color w:val="auto"/>
        </w:rPr>
        <w:t xml:space="preserve">In April 2009, the FASB issued ASC 820-10-65-4, </w:t>
      </w:r>
      <w:r>
        <w:rPr>
          <w:rFonts w:ascii="Arial" w:cs="Arial" w:eastAsia="Arial" w:hAnsi="Arial"/>
          <w:sz w:val="16"/>
          <w:szCs w:val="16"/>
          <w:i w:val="1"/>
          <w:iCs w:val="1"/>
          <w:color w:val="auto"/>
        </w:rPr>
        <w:t>Determining Fair Value When the Volume and Level of Activity for the Asset or Liability Have</w:t>
      </w:r>
      <w:r>
        <w:rPr>
          <w:rFonts w:ascii="Arial" w:cs="Arial" w:eastAsia="Arial" w:hAnsi="Arial"/>
          <w:sz w:val="16"/>
          <w:szCs w:val="16"/>
          <w:color w:val="auto"/>
        </w:rPr>
        <w:t xml:space="preserve"> </w:t>
      </w:r>
      <w:r>
        <w:rPr>
          <w:rFonts w:ascii="Arial" w:cs="Arial" w:eastAsia="Arial" w:hAnsi="Arial"/>
          <w:sz w:val="16"/>
          <w:szCs w:val="16"/>
          <w:i w:val="1"/>
          <w:iCs w:val="1"/>
          <w:color w:val="auto"/>
        </w:rPr>
        <w:t>Significantly Decreased and Identifying Transactions That are Not Orderly</w:t>
      </w:r>
      <w:r>
        <w:rPr>
          <w:rFonts w:ascii="Arial" w:cs="Arial" w:eastAsia="Arial" w:hAnsi="Arial"/>
          <w:sz w:val="16"/>
          <w:szCs w:val="16"/>
          <w:color w:val="auto"/>
        </w:rPr>
        <w:t>. ASC 820-10-65-4 provides additional guidance on estimating fair value when</w:t>
      </w:r>
      <w:r>
        <w:rPr>
          <w:rFonts w:ascii="Arial" w:cs="Arial" w:eastAsia="Arial" w:hAnsi="Arial"/>
          <w:sz w:val="16"/>
          <w:szCs w:val="16"/>
          <w:i w:val="1"/>
          <w:iCs w:val="1"/>
          <w:color w:val="auto"/>
        </w:rPr>
        <w:t xml:space="preserve"> </w:t>
      </w:r>
      <w:r>
        <w:rPr>
          <w:rFonts w:ascii="Arial" w:cs="Arial" w:eastAsia="Arial" w:hAnsi="Arial"/>
          <w:sz w:val="16"/>
          <w:szCs w:val="16"/>
          <w:color w:val="auto"/>
        </w:rPr>
        <w:t>the volume and level of activity for an asset or liability have significantly decreased in relation to normal market activity for the asset or liability. ASC</w:t>
      </w:r>
    </w:p>
    <w:p>
      <w:pPr>
        <w:ind w:left="240"/>
        <w:spacing w:after="0" w:line="302" w:lineRule="auto"/>
        <w:rPr>
          <w:sz w:val="20"/>
          <w:szCs w:val="20"/>
          <w:color w:val="auto"/>
        </w:rPr>
      </w:pPr>
      <w:r>
        <w:rPr>
          <w:rFonts w:ascii="Arial" w:cs="Arial" w:eastAsia="Arial" w:hAnsi="Arial"/>
          <w:sz w:val="16"/>
          <w:szCs w:val="16"/>
          <w:color w:val="auto"/>
        </w:rPr>
        <w:t xml:space="preserve">820-10-65-4 also provides additional guidance on circumstances that may indicate that a transaction is not orderly and on defining major categories of debt and equity securities in meeting the disclosure requirements of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The Plan adopted ASC 820-10-65-4 during its fiscal year ended December 31, 2009. The adoption of ASC 820-10-65-4 did not have a material impact on the Plan’s financial statements.</w:t>
      </w:r>
    </w:p>
    <w:p>
      <w:pPr>
        <w:spacing w:after="0" w:line="47" w:lineRule="exact"/>
        <w:rPr>
          <w:sz w:val="20"/>
          <w:szCs w:val="20"/>
          <w:color w:val="auto"/>
        </w:rPr>
      </w:pPr>
    </w:p>
    <w:p>
      <w:pPr>
        <w:ind w:left="240" w:right="120" w:hanging="4"/>
        <w:spacing w:after="0" w:line="279" w:lineRule="auto"/>
        <w:tabs>
          <w:tab w:leader="none" w:pos="42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Investments. </w:t>
      </w:r>
      <w:r>
        <w:rPr>
          <w:rFonts w:ascii="Arial" w:cs="Arial" w:eastAsia="Arial" w:hAnsi="Arial"/>
          <w:sz w:val="17"/>
          <w:szCs w:val="17"/>
          <w:color w:val="auto"/>
        </w:rPr>
        <w:t>Investments are reported at fair value. ASC 820 defines fair value as the price that would be received to sell an asset or paid to transfer a</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in an orderly transaction between market participants at the measurement date. The Plan establishes a three level hierarchy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three levels of the fair value hierarchy are described below:</w:t>
      </w:r>
    </w:p>
    <w:p>
      <w:pPr>
        <w:spacing w:after="0" w:line="117" w:lineRule="exact"/>
        <w:rPr>
          <w:sz w:val="20"/>
          <w:szCs w:val="20"/>
          <w:color w:val="auto"/>
        </w:rPr>
      </w:pPr>
    </w:p>
    <w:p>
      <w:pPr>
        <w:ind w:left="240" w:right="80"/>
        <w:spacing w:after="0" w:line="277" w:lineRule="auto"/>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Level 1 inputs are quoted prices (unadjusted) in active markets for identical assets or liabilities that the reporting entity has the ability to access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measurement date.</w:t>
      </w:r>
    </w:p>
    <w:p>
      <w:pPr>
        <w:spacing w:after="0" w:line="62" w:lineRule="exact"/>
        <w:rPr>
          <w:sz w:val="20"/>
          <w:szCs w:val="20"/>
          <w:color w:val="auto"/>
        </w:rPr>
      </w:pPr>
    </w:p>
    <w:p>
      <w:pPr>
        <w:jc w:val="both"/>
        <w:ind w:left="240" w:right="580"/>
        <w:spacing w:after="0" w:line="264"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Level 2 inputs are inputs other than quoted prices included within Level 1 that are observable for the asset or liability, either directly or</w:t>
      </w:r>
      <w:r>
        <w:rPr>
          <w:rFonts w:ascii="Arial" w:cs="Arial" w:eastAsia="Arial" w:hAnsi="Arial"/>
          <w:sz w:val="18"/>
          <w:szCs w:val="18"/>
          <w:i w:val="1"/>
          <w:iCs w:val="1"/>
          <w:color w:val="auto"/>
        </w:rPr>
        <w:t xml:space="preserve"> </w:t>
      </w:r>
      <w:r>
        <w:rPr>
          <w:rFonts w:ascii="Arial" w:cs="Arial" w:eastAsia="Arial" w:hAnsi="Arial"/>
          <w:sz w:val="18"/>
          <w:szCs w:val="18"/>
          <w:color w:val="auto"/>
        </w:rPr>
        <w:t>indirectly. If the asset or liability has a specified (contractual) term, a Level 2 input must be observable for substantially the full term of the asset or liability.</w:t>
      </w:r>
    </w:p>
    <w:p>
      <w:pPr>
        <w:spacing w:after="0" w:line="73" w:lineRule="exact"/>
        <w:rPr>
          <w:sz w:val="20"/>
          <w:szCs w:val="20"/>
          <w:color w:val="auto"/>
        </w:rPr>
      </w:pPr>
    </w:p>
    <w:p>
      <w:pPr>
        <w:ind w:left="240" w:right="480"/>
        <w:spacing w:after="0" w:line="277"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Level 3 inputs are unobservable inputs for the asset or liability in which there is little, if any market activity for the asset or liability at the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date.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Years ended December 31, 2009 and 2008</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fair values of the Plan’s investments at December 31, 2009 and December 31, 2008 are measured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56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Level 1</w:t>
            </w:r>
          </w:p>
        </w:tc>
        <w:tc>
          <w:tcPr>
            <w:tcW w:w="348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Assets at Fair Value as of December 31, 2009</w:t>
            </w:r>
          </w:p>
        </w:tc>
        <w:tc>
          <w:tcPr>
            <w:tcW w:w="16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740" w:type="dxa"/>
            <w:vAlign w:val="bottom"/>
          </w:tcPr>
          <w:p>
            <w:pPr>
              <w:jc w:val="right"/>
              <w:ind w:right="513"/>
              <w:spacing w:after="0"/>
              <w:rPr>
                <w:sz w:val="20"/>
                <w:szCs w:val="20"/>
                <w:color w:val="auto"/>
              </w:rPr>
            </w:pPr>
            <w:r>
              <w:rPr>
                <w:rFonts w:ascii="Arial" w:cs="Arial" w:eastAsia="Arial" w:hAnsi="Arial"/>
                <w:sz w:val="14"/>
                <w:szCs w:val="14"/>
                <w:b w:val="1"/>
                <w:bCs w:val="1"/>
                <w:color w:val="auto"/>
              </w:rPr>
              <w:t>Level 2</w:t>
            </w:r>
          </w:p>
        </w:tc>
        <w:tc>
          <w:tcPr>
            <w:tcW w:w="1740" w:type="dxa"/>
            <w:vAlign w:val="bottom"/>
          </w:tcPr>
          <w:p>
            <w:pPr>
              <w:jc w:val="right"/>
              <w:ind w:right="552"/>
              <w:spacing w:after="0"/>
              <w:rPr>
                <w:sz w:val="20"/>
                <w:szCs w:val="20"/>
                <w:color w:val="auto"/>
              </w:rPr>
            </w:pPr>
            <w:r>
              <w:rPr>
                <w:rFonts w:ascii="Arial" w:cs="Arial" w:eastAsia="Arial" w:hAnsi="Arial"/>
                <w:sz w:val="14"/>
                <w:szCs w:val="14"/>
                <w:b w:val="1"/>
                <w:bCs w:val="1"/>
                <w:color w:val="auto"/>
              </w:rPr>
              <w:t>Level 3</w:t>
            </w: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Stock Investments</w:t>
            </w:r>
          </w:p>
        </w:tc>
        <w:tc>
          <w:tcPr>
            <w:tcW w:w="1560" w:type="dxa"/>
            <w:vAlign w:val="bottom"/>
          </w:tcPr>
          <w:p>
            <w:pPr>
              <w:jc w:val="right"/>
              <w:ind w:right="312"/>
              <w:spacing w:after="0"/>
              <w:rPr>
                <w:sz w:val="20"/>
                <w:szCs w:val="20"/>
                <w:color w:val="auto"/>
              </w:rPr>
            </w:pPr>
            <w:r>
              <w:rPr>
                <w:rFonts w:ascii="Arial" w:cs="Arial" w:eastAsia="Arial" w:hAnsi="Arial"/>
                <w:sz w:val="18"/>
                <w:szCs w:val="18"/>
                <w:color w:val="auto"/>
              </w:rPr>
              <w:t>$254,153,533</w:t>
            </w:r>
          </w:p>
        </w:tc>
        <w:tc>
          <w:tcPr>
            <w:tcW w:w="174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72"/>
              <w:spacing w:after="0"/>
              <w:rPr>
                <w:sz w:val="20"/>
                <w:szCs w:val="20"/>
                <w:color w:val="auto"/>
              </w:rPr>
            </w:pPr>
            <w:r>
              <w:rPr>
                <w:rFonts w:ascii="Arial" w:cs="Arial" w:eastAsia="Arial" w:hAnsi="Arial"/>
                <w:sz w:val="18"/>
                <w:szCs w:val="18"/>
                <w:color w:val="auto"/>
              </w:rPr>
              <w:t>$254,153,533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 Term Investments</w:t>
            </w:r>
          </w:p>
        </w:tc>
        <w:tc>
          <w:tcPr>
            <w:tcW w:w="15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137,303,798</w:t>
            </w:r>
          </w:p>
        </w:tc>
        <w:tc>
          <w:tcPr>
            <w:tcW w:w="174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137,303,798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Blended Fund Investments</w:t>
            </w:r>
          </w:p>
        </w:tc>
        <w:tc>
          <w:tcPr>
            <w:tcW w:w="1560" w:type="dxa"/>
            <w:vAlign w:val="bottom"/>
          </w:tcPr>
          <w:p>
            <w:pPr>
              <w:jc w:val="right"/>
              <w:ind w:right="312"/>
              <w:spacing w:after="0"/>
              <w:rPr>
                <w:sz w:val="20"/>
                <w:szCs w:val="20"/>
                <w:color w:val="auto"/>
              </w:rPr>
            </w:pPr>
            <w:r>
              <w:rPr>
                <w:rFonts w:ascii="Arial" w:cs="Arial" w:eastAsia="Arial" w:hAnsi="Arial"/>
                <w:sz w:val="18"/>
                <w:szCs w:val="18"/>
                <w:color w:val="auto"/>
              </w:rPr>
              <w:t>61,881,061</w:t>
            </w:r>
          </w:p>
        </w:tc>
        <w:tc>
          <w:tcPr>
            <w:tcW w:w="174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72"/>
              <w:spacing w:after="0"/>
              <w:rPr>
                <w:sz w:val="20"/>
                <w:szCs w:val="20"/>
                <w:color w:val="auto"/>
              </w:rPr>
            </w:pPr>
            <w:r>
              <w:rPr>
                <w:rFonts w:ascii="Arial" w:cs="Arial" w:eastAsia="Arial" w:hAnsi="Arial"/>
                <w:sz w:val="18"/>
                <w:szCs w:val="18"/>
                <w:color w:val="auto"/>
              </w:rPr>
              <w:t>61,881,061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Investments</w:t>
            </w:r>
          </w:p>
        </w:tc>
        <w:tc>
          <w:tcPr>
            <w:tcW w:w="156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51,977,839</w:t>
            </w:r>
          </w:p>
        </w:tc>
        <w:tc>
          <w:tcPr>
            <w:tcW w:w="174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51,977,839</w:t>
            </w: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Total Mutual Funds</w:t>
            </w:r>
          </w:p>
        </w:tc>
        <w:tc>
          <w:tcPr>
            <w:tcW w:w="1560" w:type="dxa"/>
            <w:vAlign w:val="bottom"/>
          </w:tcPr>
          <w:p>
            <w:pPr>
              <w:jc w:val="right"/>
              <w:ind w:right="312"/>
              <w:spacing w:after="0"/>
              <w:rPr>
                <w:sz w:val="20"/>
                <w:szCs w:val="20"/>
                <w:color w:val="auto"/>
              </w:rPr>
            </w:pPr>
            <w:r>
              <w:rPr>
                <w:rFonts w:ascii="Arial" w:cs="Arial" w:eastAsia="Arial" w:hAnsi="Arial"/>
                <w:sz w:val="18"/>
                <w:szCs w:val="18"/>
                <w:color w:val="auto"/>
              </w:rPr>
              <w:t>$505,316,231</w:t>
            </w:r>
          </w:p>
        </w:tc>
        <w:tc>
          <w:tcPr>
            <w:tcW w:w="174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72"/>
              <w:spacing w:after="0"/>
              <w:rPr>
                <w:sz w:val="20"/>
                <w:szCs w:val="20"/>
                <w:color w:val="auto"/>
              </w:rPr>
            </w:pPr>
            <w:r>
              <w:rPr>
                <w:rFonts w:ascii="Arial" w:cs="Arial" w:eastAsia="Arial" w:hAnsi="Arial"/>
                <w:sz w:val="18"/>
                <w:szCs w:val="18"/>
                <w:color w:val="auto"/>
              </w:rPr>
              <w:t>$505,316,231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Analog Common Stock Fund</w:t>
            </w:r>
          </w:p>
        </w:tc>
        <w:tc>
          <w:tcPr>
            <w:tcW w:w="15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101,381,902</w:t>
            </w:r>
          </w:p>
        </w:tc>
        <w:tc>
          <w:tcPr>
            <w:tcW w:w="174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101,381,902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Self-directed Brokerage Account</w:t>
            </w:r>
          </w:p>
        </w:tc>
        <w:tc>
          <w:tcPr>
            <w:tcW w:w="1560" w:type="dxa"/>
            <w:vAlign w:val="bottom"/>
          </w:tcPr>
          <w:p>
            <w:pPr>
              <w:jc w:val="right"/>
              <w:ind w:right="312"/>
              <w:spacing w:after="0"/>
              <w:rPr>
                <w:sz w:val="20"/>
                <w:szCs w:val="20"/>
                <w:color w:val="auto"/>
              </w:rPr>
            </w:pPr>
            <w:r>
              <w:rPr>
                <w:rFonts w:ascii="Arial" w:cs="Arial" w:eastAsia="Arial" w:hAnsi="Arial"/>
                <w:sz w:val="18"/>
                <w:szCs w:val="18"/>
                <w:color w:val="auto"/>
              </w:rPr>
              <w:t>74,157,097</w:t>
            </w:r>
          </w:p>
        </w:tc>
        <w:tc>
          <w:tcPr>
            <w:tcW w:w="174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72"/>
              <w:spacing w:after="0"/>
              <w:rPr>
                <w:sz w:val="20"/>
                <w:szCs w:val="20"/>
                <w:color w:val="auto"/>
              </w:rPr>
            </w:pPr>
            <w:r>
              <w:rPr>
                <w:rFonts w:ascii="Arial" w:cs="Arial" w:eastAsia="Arial" w:hAnsi="Arial"/>
                <w:sz w:val="18"/>
                <w:szCs w:val="18"/>
                <w:color w:val="auto"/>
              </w:rPr>
              <w:t>74,157,097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Commingled Fund</w:t>
            </w:r>
          </w:p>
        </w:tc>
        <w:tc>
          <w:tcPr>
            <w:tcW w:w="15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$25,901,417</w:t>
            </w:r>
          </w:p>
        </w:tc>
        <w:tc>
          <w:tcPr>
            <w:tcW w:w="17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25,901,417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Participant Loans</w:t>
            </w:r>
          </w:p>
        </w:tc>
        <w:tc>
          <w:tcPr>
            <w:tcW w:w="15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$8,632,849</w:t>
            </w:r>
          </w:p>
        </w:tc>
        <w:tc>
          <w:tcPr>
            <w:tcW w:w="16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8,632,849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Investments at Fair Value</w:t>
            </w:r>
          </w:p>
        </w:tc>
        <w:tc>
          <w:tcPr>
            <w:tcW w:w="156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$680,855,230</w:t>
            </w:r>
          </w:p>
        </w:tc>
        <w:tc>
          <w:tcPr>
            <w:tcW w:w="174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b w:val="1"/>
                <w:bCs w:val="1"/>
                <w:color w:val="auto"/>
              </w:rPr>
              <w:t>$25,901,417</w:t>
            </w:r>
          </w:p>
        </w:tc>
        <w:tc>
          <w:tcPr>
            <w:tcW w:w="174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b w:val="1"/>
                <w:bCs w:val="1"/>
                <w:color w:val="auto"/>
              </w:rPr>
              <w:t>$8,632,849</w:t>
            </w:r>
          </w:p>
        </w:tc>
        <w:tc>
          <w:tcPr>
            <w:tcW w:w="16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$715,389,496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480" w:type="dxa"/>
            <w:vAlign w:val="bottom"/>
            <w:tcBorders>
              <w:bottom w:val="single" w:sz="8" w:color="auto"/>
            </w:tcBorders>
            <w:gridSpan w:val="2"/>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560" w:type="dxa"/>
            <w:vAlign w:val="bottom"/>
            <w:vMerge w:val="restart"/>
          </w:tcPr>
          <w:p>
            <w:pPr>
              <w:jc w:val="right"/>
              <w:ind w:right="552"/>
              <w:spacing w:after="0"/>
              <w:rPr>
                <w:sz w:val="20"/>
                <w:szCs w:val="20"/>
                <w:color w:val="auto"/>
              </w:rPr>
            </w:pPr>
            <w:r>
              <w:rPr>
                <w:rFonts w:ascii="Arial" w:cs="Arial" w:eastAsia="Arial" w:hAnsi="Arial"/>
                <w:sz w:val="14"/>
                <w:szCs w:val="14"/>
                <w:b w:val="1"/>
                <w:bCs w:val="1"/>
                <w:color w:val="auto"/>
              </w:rPr>
              <w:t>Level 1</w:t>
            </w:r>
          </w:p>
        </w:tc>
        <w:tc>
          <w:tcPr>
            <w:tcW w:w="348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Assets at Fair Value as of December 31, 2008</w:t>
            </w:r>
          </w:p>
        </w:tc>
        <w:tc>
          <w:tcPr>
            <w:tcW w:w="1600" w:type="dxa"/>
            <w:vAlign w:val="bottom"/>
            <w:vMerge w:val="restart"/>
          </w:tcPr>
          <w:p>
            <w:pPr>
              <w:jc w:val="right"/>
              <w:ind w:right="4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1740" w:type="dxa"/>
            <w:vAlign w:val="bottom"/>
          </w:tcPr>
          <w:p>
            <w:pPr>
              <w:jc w:val="right"/>
              <w:ind w:right="513"/>
              <w:spacing w:after="0"/>
              <w:rPr>
                <w:sz w:val="20"/>
                <w:szCs w:val="20"/>
                <w:color w:val="auto"/>
              </w:rPr>
            </w:pPr>
            <w:r>
              <w:rPr>
                <w:rFonts w:ascii="Arial" w:cs="Arial" w:eastAsia="Arial" w:hAnsi="Arial"/>
                <w:sz w:val="14"/>
                <w:szCs w:val="14"/>
                <w:b w:val="1"/>
                <w:bCs w:val="1"/>
                <w:color w:val="auto"/>
              </w:rPr>
              <w:t>Level 2</w:t>
            </w:r>
          </w:p>
        </w:tc>
        <w:tc>
          <w:tcPr>
            <w:tcW w:w="1740" w:type="dxa"/>
            <w:vAlign w:val="bottom"/>
          </w:tcPr>
          <w:p>
            <w:pPr>
              <w:jc w:val="right"/>
              <w:ind w:right="552"/>
              <w:spacing w:after="0"/>
              <w:rPr>
                <w:sz w:val="20"/>
                <w:szCs w:val="20"/>
                <w:color w:val="auto"/>
              </w:rPr>
            </w:pPr>
            <w:r>
              <w:rPr>
                <w:rFonts w:ascii="Arial" w:cs="Arial" w:eastAsia="Arial" w:hAnsi="Arial"/>
                <w:sz w:val="14"/>
                <w:szCs w:val="14"/>
                <w:b w:val="1"/>
                <w:bCs w:val="1"/>
                <w:color w:val="auto"/>
              </w:rPr>
              <w:t>Level 3</w:t>
            </w: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Mutual Funds</w:t>
            </w:r>
          </w:p>
        </w:tc>
        <w:tc>
          <w:tcPr>
            <w:tcW w:w="15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Stock Investments</w:t>
            </w:r>
          </w:p>
        </w:tc>
        <w:tc>
          <w:tcPr>
            <w:tcW w:w="1560" w:type="dxa"/>
            <w:vAlign w:val="bottom"/>
          </w:tcPr>
          <w:p>
            <w:pPr>
              <w:jc w:val="right"/>
              <w:ind w:right="312"/>
              <w:spacing w:after="0"/>
              <w:rPr>
                <w:sz w:val="20"/>
                <w:szCs w:val="20"/>
                <w:color w:val="auto"/>
              </w:rPr>
            </w:pPr>
            <w:r>
              <w:rPr>
                <w:rFonts w:ascii="Arial" w:cs="Arial" w:eastAsia="Arial" w:hAnsi="Arial"/>
                <w:sz w:val="18"/>
                <w:szCs w:val="18"/>
                <w:color w:val="auto"/>
              </w:rPr>
              <w:t>$183,196,822</w:t>
            </w:r>
          </w:p>
        </w:tc>
        <w:tc>
          <w:tcPr>
            <w:tcW w:w="174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72"/>
              <w:spacing w:after="0"/>
              <w:rPr>
                <w:sz w:val="20"/>
                <w:szCs w:val="20"/>
                <w:color w:val="auto"/>
              </w:rPr>
            </w:pPr>
            <w:r>
              <w:rPr>
                <w:rFonts w:ascii="Arial" w:cs="Arial" w:eastAsia="Arial" w:hAnsi="Arial"/>
                <w:sz w:val="18"/>
                <w:szCs w:val="18"/>
                <w:color w:val="auto"/>
              </w:rPr>
              <w:t>$183,196,822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 Term Investments</w:t>
            </w:r>
          </w:p>
        </w:tc>
        <w:tc>
          <w:tcPr>
            <w:tcW w:w="15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150,027,980</w:t>
            </w:r>
          </w:p>
        </w:tc>
        <w:tc>
          <w:tcPr>
            <w:tcW w:w="174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150,027,980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ind w:left="200"/>
              <w:spacing w:after="0"/>
              <w:rPr>
                <w:sz w:val="20"/>
                <w:szCs w:val="20"/>
                <w:color w:val="auto"/>
              </w:rPr>
            </w:pPr>
            <w:r>
              <w:rPr>
                <w:rFonts w:ascii="Arial" w:cs="Arial" w:eastAsia="Arial" w:hAnsi="Arial"/>
                <w:sz w:val="18"/>
                <w:szCs w:val="18"/>
                <w:color w:val="auto"/>
              </w:rPr>
              <w:t>Blended Fund Investments</w:t>
            </w:r>
          </w:p>
        </w:tc>
        <w:tc>
          <w:tcPr>
            <w:tcW w:w="1560" w:type="dxa"/>
            <w:vAlign w:val="bottom"/>
          </w:tcPr>
          <w:p>
            <w:pPr>
              <w:jc w:val="right"/>
              <w:ind w:right="312"/>
              <w:spacing w:after="0"/>
              <w:rPr>
                <w:sz w:val="20"/>
                <w:szCs w:val="20"/>
                <w:color w:val="auto"/>
              </w:rPr>
            </w:pPr>
            <w:r>
              <w:rPr>
                <w:rFonts w:ascii="Arial" w:cs="Arial" w:eastAsia="Arial" w:hAnsi="Arial"/>
                <w:sz w:val="18"/>
                <w:szCs w:val="18"/>
                <w:color w:val="auto"/>
              </w:rPr>
              <w:t>44,147,447</w:t>
            </w:r>
          </w:p>
        </w:tc>
        <w:tc>
          <w:tcPr>
            <w:tcW w:w="174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72"/>
              <w:spacing w:after="0"/>
              <w:rPr>
                <w:sz w:val="20"/>
                <w:szCs w:val="20"/>
                <w:color w:val="auto"/>
              </w:rPr>
            </w:pPr>
            <w:r>
              <w:rPr>
                <w:rFonts w:ascii="Arial" w:cs="Arial" w:eastAsia="Arial" w:hAnsi="Arial"/>
                <w:sz w:val="18"/>
                <w:szCs w:val="18"/>
                <w:color w:val="auto"/>
              </w:rPr>
              <w:t>44,147,447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Investments</w:t>
            </w:r>
          </w:p>
        </w:tc>
        <w:tc>
          <w:tcPr>
            <w:tcW w:w="156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rPr>
              <w:t>46,677,401</w:t>
            </w:r>
          </w:p>
        </w:tc>
        <w:tc>
          <w:tcPr>
            <w:tcW w:w="174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rPr>
              <w:t>46,677,401</w:t>
            </w:r>
          </w:p>
        </w:tc>
        <w:tc>
          <w:tcPr>
            <w:tcW w:w="0" w:type="dxa"/>
            <w:vAlign w:val="bottom"/>
          </w:tcPr>
          <w:p>
            <w:pPr>
              <w:spacing w:after="0"/>
              <w:rPr>
                <w:sz w:val="1"/>
                <w:szCs w:val="1"/>
                <w:color w:val="auto"/>
              </w:rPr>
            </w:pPr>
          </w:p>
        </w:tc>
      </w:tr>
      <w:tr>
        <w:trPr>
          <w:trHeight w:val="223"/>
        </w:trPr>
        <w:tc>
          <w:tcPr>
            <w:tcW w:w="4780" w:type="dxa"/>
            <w:vAlign w:val="bottom"/>
            <w:gridSpan w:val="2"/>
          </w:tcPr>
          <w:p>
            <w:pPr>
              <w:spacing w:after="0"/>
              <w:rPr>
                <w:sz w:val="20"/>
                <w:szCs w:val="20"/>
                <w:color w:val="auto"/>
              </w:rPr>
            </w:pPr>
            <w:r>
              <w:rPr>
                <w:rFonts w:ascii="Arial" w:cs="Arial" w:eastAsia="Arial" w:hAnsi="Arial"/>
                <w:sz w:val="18"/>
                <w:szCs w:val="18"/>
                <w:color w:val="auto"/>
              </w:rPr>
              <w:t>Total Mutual Funds</w:t>
            </w:r>
          </w:p>
        </w:tc>
        <w:tc>
          <w:tcPr>
            <w:tcW w:w="1560" w:type="dxa"/>
            <w:vAlign w:val="bottom"/>
          </w:tcPr>
          <w:p>
            <w:pPr>
              <w:jc w:val="right"/>
              <w:ind w:right="312"/>
              <w:spacing w:after="0"/>
              <w:rPr>
                <w:sz w:val="20"/>
                <w:szCs w:val="20"/>
                <w:color w:val="auto"/>
              </w:rPr>
            </w:pPr>
            <w:r>
              <w:rPr>
                <w:rFonts w:ascii="Arial" w:cs="Arial" w:eastAsia="Arial" w:hAnsi="Arial"/>
                <w:sz w:val="18"/>
                <w:szCs w:val="18"/>
                <w:color w:val="auto"/>
              </w:rPr>
              <w:t>$424,049,650</w:t>
            </w:r>
          </w:p>
        </w:tc>
        <w:tc>
          <w:tcPr>
            <w:tcW w:w="174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72"/>
              <w:spacing w:after="0"/>
              <w:rPr>
                <w:sz w:val="20"/>
                <w:szCs w:val="20"/>
                <w:color w:val="auto"/>
              </w:rPr>
            </w:pPr>
            <w:r>
              <w:rPr>
                <w:rFonts w:ascii="Arial" w:cs="Arial" w:eastAsia="Arial" w:hAnsi="Arial"/>
                <w:sz w:val="18"/>
                <w:szCs w:val="18"/>
                <w:color w:val="auto"/>
              </w:rPr>
              <w:t>$424,049,650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Analog Common Stock Fund</w:t>
            </w:r>
          </w:p>
        </w:tc>
        <w:tc>
          <w:tcPr>
            <w:tcW w:w="15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63,079,711</w:t>
            </w:r>
          </w:p>
        </w:tc>
        <w:tc>
          <w:tcPr>
            <w:tcW w:w="174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63,079,711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Self-directed Brokerage Account</w:t>
            </w:r>
          </w:p>
        </w:tc>
        <w:tc>
          <w:tcPr>
            <w:tcW w:w="1560" w:type="dxa"/>
            <w:vAlign w:val="bottom"/>
          </w:tcPr>
          <w:p>
            <w:pPr>
              <w:jc w:val="right"/>
              <w:ind w:right="312"/>
              <w:spacing w:after="0"/>
              <w:rPr>
                <w:sz w:val="20"/>
                <w:szCs w:val="20"/>
                <w:color w:val="auto"/>
              </w:rPr>
            </w:pPr>
            <w:r>
              <w:rPr>
                <w:rFonts w:ascii="Arial" w:cs="Arial" w:eastAsia="Arial" w:hAnsi="Arial"/>
                <w:sz w:val="18"/>
                <w:szCs w:val="18"/>
                <w:color w:val="auto"/>
              </w:rPr>
              <w:t>56,066,534</w:t>
            </w:r>
          </w:p>
        </w:tc>
        <w:tc>
          <w:tcPr>
            <w:tcW w:w="1740" w:type="dxa"/>
            <w:vAlign w:val="bottom"/>
          </w:tcPr>
          <w:p>
            <w:pPr>
              <w:jc w:val="right"/>
              <w:ind w:right="333"/>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172"/>
              <w:spacing w:after="0"/>
              <w:rPr>
                <w:sz w:val="20"/>
                <w:szCs w:val="20"/>
                <w:color w:val="auto"/>
              </w:rPr>
            </w:pPr>
            <w:r>
              <w:rPr>
                <w:rFonts w:ascii="Arial" w:cs="Arial" w:eastAsia="Arial" w:hAnsi="Arial"/>
                <w:sz w:val="18"/>
                <w:szCs w:val="18"/>
                <w:color w:val="auto"/>
              </w:rPr>
              <w:t>56,066,534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Commingled Fund</w:t>
            </w:r>
          </w:p>
        </w:tc>
        <w:tc>
          <w:tcPr>
            <w:tcW w:w="1560" w:type="dxa"/>
            <w:vAlign w:val="bottom"/>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ind w:right="333"/>
              <w:spacing w:after="0"/>
              <w:rPr>
                <w:sz w:val="20"/>
                <w:szCs w:val="20"/>
                <w:color w:val="auto"/>
              </w:rPr>
            </w:pPr>
            <w:r>
              <w:rPr>
                <w:rFonts w:ascii="Arial" w:cs="Arial" w:eastAsia="Arial" w:hAnsi="Arial"/>
                <w:sz w:val="18"/>
                <w:szCs w:val="18"/>
                <w:color w:val="auto"/>
              </w:rPr>
              <w:t>$17,698,130</w:t>
            </w:r>
          </w:p>
        </w:tc>
        <w:tc>
          <w:tcPr>
            <w:tcW w:w="174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rPr>
              <w:t>17,698,130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Participant Loans</w:t>
            </w:r>
          </w:p>
        </w:tc>
        <w:tc>
          <w:tcPr>
            <w:tcW w:w="156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rPr>
              <w:t>$8,536,073</w:t>
            </w:r>
          </w:p>
        </w:tc>
        <w:tc>
          <w:tcPr>
            <w:tcW w:w="16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8,536,073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7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Investments at Fair Value</w:t>
            </w:r>
          </w:p>
        </w:tc>
        <w:tc>
          <w:tcPr>
            <w:tcW w:w="156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b w:val="1"/>
                <w:bCs w:val="1"/>
                <w:color w:val="auto"/>
              </w:rPr>
              <w:t>$543,195,895</w:t>
            </w:r>
          </w:p>
        </w:tc>
        <w:tc>
          <w:tcPr>
            <w:tcW w:w="1740" w:type="dxa"/>
            <w:vAlign w:val="bottom"/>
            <w:tcBorders>
              <w:bottom w:val="single" w:sz="8" w:color="auto"/>
            </w:tcBorders>
            <w:shd w:val="clear" w:color="auto" w:fill="CCEEFF"/>
          </w:tcPr>
          <w:p>
            <w:pPr>
              <w:jc w:val="right"/>
              <w:ind w:right="333"/>
              <w:spacing w:after="0"/>
              <w:rPr>
                <w:sz w:val="20"/>
                <w:szCs w:val="20"/>
                <w:color w:val="auto"/>
              </w:rPr>
            </w:pPr>
            <w:r>
              <w:rPr>
                <w:rFonts w:ascii="Arial" w:cs="Arial" w:eastAsia="Arial" w:hAnsi="Arial"/>
                <w:sz w:val="18"/>
                <w:szCs w:val="18"/>
                <w:b w:val="1"/>
                <w:bCs w:val="1"/>
                <w:color w:val="auto"/>
              </w:rPr>
              <w:t>$17,698,130</w:t>
            </w:r>
          </w:p>
        </w:tc>
        <w:tc>
          <w:tcPr>
            <w:tcW w:w="174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b w:val="1"/>
                <w:bCs w:val="1"/>
                <w:color w:val="auto"/>
              </w:rPr>
              <w:t>$8,536,073</w:t>
            </w:r>
          </w:p>
        </w:tc>
        <w:tc>
          <w:tcPr>
            <w:tcW w:w="160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b w:val="1"/>
                <w:bCs w:val="1"/>
                <w:color w:val="auto"/>
              </w:rPr>
              <w:t>$569,430,098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560" w:type="dxa"/>
            <w:vAlign w:val="bottom"/>
          </w:tcPr>
          <w:p>
            <w:pPr>
              <w:jc w:val="right"/>
              <w:ind w:right="452"/>
              <w:spacing w:after="0"/>
              <w:rPr>
                <w:sz w:val="20"/>
                <w:szCs w:val="20"/>
                <w:color w:val="auto"/>
              </w:rPr>
            </w:pPr>
            <w:r>
              <w:rPr>
                <w:rFonts w:ascii="Arial" w:cs="Arial" w:eastAsia="Arial" w:hAnsi="Arial"/>
                <w:sz w:val="18"/>
                <w:szCs w:val="18"/>
                <w:color w:val="auto"/>
              </w:rPr>
              <w:t>11</w:t>
            </w:r>
          </w:p>
        </w:tc>
        <w:tc>
          <w:tcPr>
            <w:tcW w:w="1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6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1740" w:type="dxa"/>
            <w:vAlign w:val="bottom"/>
            <w:tcBorders>
              <w:bottom w:val="single" w:sz="8" w:color="808080"/>
            </w:tcBorders>
          </w:tcPr>
          <w:p>
            <w:pPr>
              <w:spacing w:after="0"/>
              <w:rPr>
                <w:sz w:val="19"/>
                <w:szCs w:val="19"/>
                <w:color w:val="auto"/>
              </w:rPr>
            </w:pPr>
          </w:p>
        </w:tc>
        <w:tc>
          <w:tcPr>
            <w:tcW w:w="16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Years ended December 31, 2009 and 2008</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Mutual Funds: </w:t>
      </w:r>
      <w:r>
        <w:rPr>
          <w:rFonts w:ascii="Arial" w:cs="Arial" w:eastAsia="Arial" w:hAnsi="Arial"/>
          <w:sz w:val="18"/>
          <w:szCs w:val="18"/>
          <w:color w:val="auto"/>
        </w:rPr>
        <w:t>valued at the net asset value (“NAV”) of shares held by the Plan at year end based on quoted prices in the active market.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Common Stocks: </w:t>
      </w:r>
      <w:r>
        <w:rPr>
          <w:rFonts w:ascii="Arial" w:cs="Arial" w:eastAsia="Arial" w:hAnsi="Arial"/>
          <w:sz w:val="18"/>
          <w:szCs w:val="18"/>
          <w:color w:val="auto"/>
        </w:rPr>
        <w:t>valued based on quoted market price on which the individual securities are traded.</w:t>
      </w:r>
    </w:p>
    <w:p>
      <w:pPr>
        <w:spacing w:after="0" w:line="117" w:lineRule="exact"/>
        <w:rPr>
          <w:sz w:val="20"/>
          <w:szCs w:val="20"/>
          <w:color w:val="auto"/>
        </w:rPr>
      </w:pPr>
    </w:p>
    <w:p>
      <w:pPr>
        <w:jc w:val="both"/>
        <w:ind w:left="240" w:right="100" w:firstLine="225"/>
        <w:spacing w:after="0" w:line="264" w:lineRule="auto"/>
        <w:rPr>
          <w:sz w:val="20"/>
          <w:szCs w:val="20"/>
          <w:color w:val="auto"/>
        </w:rPr>
      </w:pPr>
      <w:r>
        <w:rPr>
          <w:rFonts w:ascii="Arial" w:cs="Arial" w:eastAsia="Arial" w:hAnsi="Arial"/>
          <w:sz w:val="18"/>
          <w:szCs w:val="18"/>
          <w:i w:val="1"/>
          <w:iCs w:val="1"/>
          <w:color w:val="auto"/>
        </w:rPr>
        <w:t xml:space="preserve">Commingled Fund: </w:t>
      </w:r>
      <w:r>
        <w:rPr>
          <w:rFonts w:ascii="Arial" w:cs="Arial" w:eastAsia="Arial" w:hAnsi="Arial"/>
          <w:sz w:val="18"/>
          <w:szCs w:val="18"/>
          <w:color w:val="auto"/>
        </w:rPr>
        <w:t>valued at redemption price on the last business day of the plan year, where value is based on the fair value of the underlying assets</w:t>
      </w:r>
      <w:r>
        <w:rPr>
          <w:rFonts w:ascii="Arial" w:cs="Arial" w:eastAsia="Arial" w:hAnsi="Arial"/>
          <w:sz w:val="18"/>
          <w:szCs w:val="18"/>
          <w:i w:val="1"/>
          <w:iCs w:val="1"/>
          <w:color w:val="auto"/>
        </w:rPr>
        <w:t xml:space="preserve"> </w:t>
      </w:r>
      <w:r>
        <w:rPr>
          <w:rFonts w:ascii="Arial" w:cs="Arial" w:eastAsia="Arial" w:hAnsi="Arial"/>
          <w:sz w:val="18"/>
          <w:szCs w:val="18"/>
          <w:color w:val="auto"/>
        </w:rPr>
        <w:t>held by the fund. The U.S. Equity Index Commingled Pool is the only commingled fund held by the Plan. Its strategy is to provide investment results that correspond to the total return performance of common stock publicly traded in the United States.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Participant Loans: </w:t>
      </w:r>
      <w:r>
        <w:rPr>
          <w:rFonts w:ascii="Arial" w:cs="Arial" w:eastAsia="Arial" w:hAnsi="Arial"/>
          <w:sz w:val="18"/>
          <w:szCs w:val="18"/>
          <w:color w:val="auto"/>
        </w:rPr>
        <w:t>valued at their outstanding balance, which approximates fair value.</w:t>
      </w:r>
    </w:p>
    <w:p>
      <w:pPr>
        <w:spacing w:after="0" w:line="117"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color w:val="auto"/>
        </w:rPr>
        <w:t>A summary of changes in the fair value of the Plan’s level 3 investments during the years ended December 31, 2009 and December 31, 2008 is as follows:</w:t>
      </w:r>
    </w:p>
    <w:p>
      <w:pPr>
        <w:sectPr>
          <w:pgSz w:w="11900" w:h="16838" w:orient="portrait"/>
          <w:cols w:equalWidth="0" w:num="1">
            <w:col w:w="11400"/>
          </w:cols>
          <w:pgMar w:left="240" w:top="419" w:right="25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Beginning Fair Value</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Purchases, Sales, Issuances, Settlements (net)</w:t>
      </w:r>
    </w:p>
    <w:p>
      <w:pPr>
        <w:spacing w:after="0" w:line="5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Ending Fair Value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1360"/>
        <w:spacing w:after="0"/>
        <w:rPr>
          <w:sz w:val="20"/>
          <w:szCs w:val="20"/>
          <w:color w:val="auto"/>
        </w:rPr>
      </w:pPr>
      <w:r>
        <w:rPr>
          <w:rFonts w:ascii="Arial" w:cs="Arial" w:eastAsia="Arial" w:hAnsi="Arial"/>
          <w:sz w:val="14"/>
          <w:szCs w:val="14"/>
          <w:b w:val="1"/>
          <w:bCs w:val="1"/>
          <w:color w:val="auto"/>
        </w:rPr>
        <w:t>Participant Loans</w:t>
      </w:r>
    </w:p>
    <w:tbl>
      <w:tblPr>
        <w:tblLayout w:type="fixed"/>
        <w:tblInd w:w="0" w:type="dxa"/>
        <w:tblCellMar>
          <w:top w:w="0" w:type="dxa"/>
          <w:left w:w="0" w:type="dxa"/>
          <w:bottom w:w="0" w:type="dxa"/>
          <w:right w:w="0" w:type="dxa"/>
        </w:tblCellMar>
      </w:tblPr>
      <w:tr>
        <w:trPr>
          <w:trHeight w:val="159"/>
        </w:trPr>
        <w:tc>
          <w:tcPr>
            <w:tcW w:w="1720" w:type="dxa"/>
            <w:vAlign w:val="bottom"/>
            <w:tcBorders>
              <w:bottom w:val="single" w:sz="8" w:color="auto"/>
            </w:tcBorders>
          </w:tcPr>
          <w:p>
            <w:pPr>
              <w:jc w:val="right"/>
              <w:ind w:right="214"/>
              <w:spacing w:after="0" w:line="159" w:lineRule="exact"/>
              <w:rPr>
                <w:sz w:val="20"/>
                <w:szCs w:val="20"/>
                <w:color w:val="auto"/>
              </w:rPr>
            </w:pPr>
            <w:r>
              <w:rPr>
                <w:rFonts w:ascii="Arial" w:cs="Arial" w:eastAsia="Arial" w:hAnsi="Arial"/>
                <w:sz w:val="14"/>
                <w:szCs w:val="14"/>
                <w:b w:val="1"/>
                <w:bCs w:val="1"/>
                <w:color w:val="auto"/>
              </w:rPr>
              <w:t>December 31, 2009</w:t>
            </w:r>
          </w:p>
        </w:tc>
        <w:tc>
          <w:tcPr>
            <w:tcW w:w="400" w:type="dxa"/>
            <w:vAlign w:val="bottom"/>
          </w:tcPr>
          <w:p>
            <w:pPr>
              <w:spacing w:after="0"/>
              <w:rPr>
                <w:sz w:val="13"/>
                <w:szCs w:val="13"/>
                <w:color w:val="auto"/>
              </w:rPr>
            </w:pPr>
          </w:p>
        </w:tc>
        <w:tc>
          <w:tcPr>
            <w:tcW w:w="1740" w:type="dxa"/>
            <w:vAlign w:val="bottom"/>
            <w:tcBorders>
              <w:bottom w:val="single" w:sz="8" w:color="auto"/>
            </w:tcBorders>
          </w:tcPr>
          <w:p>
            <w:pPr>
              <w:jc w:val="right"/>
              <w:ind w:right="219"/>
              <w:spacing w:after="0" w:line="159" w:lineRule="exact"/>
              <w:rPr>
                <w:sz w:val="20"/>
                <w:szCs w:val="20"/>
                <w:color w:val="auto"/>
              </w:rPr>
            </w:pPr>
            <w:r>
              <w:rPr>
                <w:rFonts w:ascii="Arial" w:cs="Arial" w:eastAsia="Arial" w:hAnsi="Arial"/>
                <w:sz w:val="14"/>
                <w:szCs w:val="14"/>
                <w:b w:val="1"/>
                <w:bCs w:val="1"/>
                <w:color w:val="auto"/>
              </w:rPr>
              <w:t>December 31, 2008</w:t>
            </w:r>
          </w:p>
        </w:tc>
      </w:tr>
      <w:tr>
        <w:trPr>
          <w:trHeight w:val="195"/>
        </w:trPr>
        <w:tc>
          <w:tcPr>
            <w:tcW w:w="1720" w:type="dxa"/>
            <w:vAlign w:val="bottom"/>
          </w:tcPr>
          <w:p>
            <w:pPr>
              <w:jc w:val="right"/>
              <w:ind w:right="414"/>
              <w:spacing w:after="0" w:line="195" w:lineRule="exact"/>
              <w:rPr>
                <w:sz w:val="20"/>
                <w:szCs w:val="20"/>
                <w:color w:val="auto"/>
              </w:rPr>
            </w:pPr>
            <w:r>
              <w:rPr>
                <w:rFonts w:ascii="Arial" w:cs="Arial" w:eastAsia="Arial" w:hAnsi="Arial"/>
                <w:sz w:val="18"/>
                <w:szCs w:val="18"/>
                <w:color w:val="auto"/>
              </w:rPr>
              <w:t>$8,536,073</w:t>
            </w:r>
          </w:p>
        </w:tc>
        <w:tc>
          <w:tcPr>
            <w:tcW w:w="400" w:type="dxa"/>
            <w:vAlign w:val="bottom"/>
          </w:tcPr>
          <w:p>
            <w:pPr>
              <w:spacing w:after="0"/>
              <w:rPr>
                <w:sz w:val="16"/>
                <w:szCs w:val="16"/>
                <w:color w:val="auto"/>
              </w:rPr>
            </w:pPr>
          </w:p>
        </w:tc>
        <w:tc>
          <w:tcPr>
            <w:tcW w:w="1740" w:type="dxa"/>
            <w:vAlign w:val="bottom"/>
          </w:tcPr>
          <w:p>
            <w:pPr>
              <w:jc w:val="right"/>
              <w:ind w:right="439"/>
              <w:spacing w:after="0" w:line="195" w:lineRule="exact"/>
              <w:rPr>
                <w:sz w:val="20"/>
                <w:szCs w:val="20"/>
                <w:color w:val="auto"/>
              </w:rPr>
            </w:pPr>
            <w:r>
              <w:rPr>
                <w:rFonts w:ascii="Arial" w:cs="Arial" w:eastAsia="Arial" w:hAnsi="Arial"/>
                <w:sz w:val="18"/>
                <w:szCs w:val="18"/>
                <w:color w:val="auto"/>
              </w:rPr>
              <w:t>$8,671,238</w:t>
            </w:r>
          </w:p>
        </w:tc>
      </w:tr>
      <w:tr>
        <w:trPr>
          <w:trHeight w:val="230"/>
        </w:trPr>
        <w:tc>
          <w:tcPr>
            <w:tcW w:w="172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color w:val="auto"/>
              </w:rPr>
              <w:t>96,776</w:t>
            </w:r>
          </w:p>
        </w:tc>
        <w:tc>
          <w:tcPr>
            <w:tcW w:w="2140" w:type="dxa"/>
            <w:vAlign w:val="bottom"/>
            <w:tcBorders>
              <w:bottom w:val="single" w:sz="8" w:color="auto"/>
            </w:tcBorders>
            <w:gridSpan w:val="2"/>
          </w:tcPr>
          <w:p>
            <w:pPr>
              <w:jc w:val="right"/>
              <w:ind w:right="379"/>
              <w:spacing w:after="0"/>
              <w:rPr>
                <w:sz w:val="20"/>
                <w:szCs w:val="20"/>
                <w:color w:val="auto"/>
              </w:rPr>
            </w:pPr>
            <w:r>
              <w:rPr>
                <w:rFonts w:ascii="Arial" w:cs="Arial" w:eastAsia="Arial" w:hAnsi="Arial"/>
                <w:sz w:val="18"/>
                <w:szCs w:val="18"/>
                <w:color w:val="auto"/>
              </w:rPr>
              <w:t>(135,165)</w:t>
            </w:r>
          </w:p>
        </w:tc>
      </w:tr>
      <w:tr>
        <w:trPr>
          <w:trHeight w:val="223"/>
        </w:trPr>
        <w:tc>
          <w:tcPr>
            <w:tcW w:w="172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color w:val="auto"/>
              </w:rPr>
              <w:t>$8,632,849</w:t>
            </w:r>
          </w:p>
        </w:tc>
        <w:tc>
          <w:tcPr>
            <w:tcW w:w="2140" w:type="dxa"/>
            <w:vAlign w:val="bottom"/>
            <w:tcBorders>
              <w:bottom w:val="single" w:sz="8" w:color="auto"/>
            </w:tcBorders>
            <w:gridSpan w:val="2"/>
          </w:tcPr>
          <w:p>
            <w:pPr>
              <w:jc w:val="right"/>
              <w:ind w:right="439"/>
              <w:spacing w:after="0"/>
              <w:rPr>
                <w:sz w:val="20"/>
                <w:szCs w:val="20"/>
                <w:color w:val="auto"/>
              </w:rPr>
            </w:pPr>
            <w:r>
              <w:rPr>
                <w:rFonts w:ascii="Arial" w:cs="Arial" w:eastAsia="Arial" w:hAnsi="Arial"/>
                <w:sz w:val="18"/>
                <w:szCs w:val="18"/>
                <w:color w:val="auto"/>
              </w:rPr>
              <w:t>$8,536,073</w:t>
            </w:r>
          </w:p>
        </w:tc>
      </w:tr>
      <w:tr>
        <w:trPr>
          <w:trHeight w:val="20"/>
        </w:trPr>
        <w:tc>
          <w:tcPr>
            <w:tcW w:w="1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-454025</wp:posOffset>
            </wp:positionV>
            <wp:extent cx="651764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517640" cy="137160"/>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-162560</wp:posOffset>
            </wp:positionV>
            <wp:extent cx="651764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6280" w:space="720"/>
            <w:col w:w="4400"/>
          </w:cols>
          <w:pgMar w:left="240" w:top="419" w:right="259" w:bottom="1440" w:gutter="0" w:footer="0" w:header="0"/>
          <w:type w:val="continuous"/>
        </w:sectPr>
      </w:pPr>
    </w:p>
    <w:p>
      <w:pPr>
        <w:ind w:left="240" w:hanging="4"/>
        <w:spacing w:after="0" w:line="277"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Contributions. </w:t>
      </w:r>
      <w:r>
        <w:rPr>
          <w:rFonts w:ascii="Arial" w:cs="Arial" w:eastAsia="Arial" w:hAnsi="Arial"/>
          <w:sz w:val="18"/>
          <w:szCs w:val="18"/>
          <w:color w:val="auto"/>
        </w:rPr>
        <w:t>Contributions from employees are recorded when the Company makes payroll deductions from plan participants. Company contributions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are accrued at the end of the period in which they become obligations of the Company based upon the terms of the Plan.</w:t>
      </w:r>
    </w:p>
    <w:p>
      <w:pPr>
        <w:spacing w:after="0" w:line="62" w:lineRule="exact"/>
        <w:rPr>
          <w:rFonts w:ascii="Arial" w:cs="Arial" w:eastAsia="Arial" w:hAnsi="Arial"/>
          <w:sz w:val="18"/>
          <w:szCs w:val="18"/>
          <w:color w:val="auto"/>
        </w:rPr>
      </w:pPr>
    </w:p>
    <w:p>
      <w:pPr>
        <w:jc w:val="both"/>
        <w:ind w:left="240" w:hanging="4"/>
        <w:spacing w:after="0" w:line="264" w:lineRule="auto"/>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Investment income (loss)</w:t>
      </w:r>
      <w:r>
        <w:rPr>
          <w:rFonts w:ascii="Arial" w:cs="Arial" w:eastAsia="Arial" w:hAnsi="Arial"/>
          <w:sz w:val="18"/>
          <w:szCs w:val="18"/>
          <w:color w:val="auto"/>
        </w:rPr>
        <w:t>. Net investment income (loss) consists of interest income, dividends and capital gain/loss distributions, realized gains or losses</w:t>
      </w:r>
      <w:r>
        <w:rPr>
          <w:rFonts w:ascii="Arial" w:cs="Arial" w:eastAsia="Arial" w:hAnsi="Arial"/>
          <w:sz w:val="18"/>
          <w:szCs w:val="18"/>
          <w:i w:val="1"/>
          <w:iCs w:val="1"/>
          <w:color w:val="auto"/>
        </w:rPr>
        <w:t xml:space="preserve"> </w:t>
      </w:r>
      <w:r>
        <w:rPr>
          <w:rFonts w:ascii="Arial" w:cs="Arial" w:eastAsia="Arial" w:hAnsi="Arial"/>
          <w:sz w:val="18"/>
          <w:szCs w:val="18"/>
          <w:color w:val="auto"/>
        </w:rPr>
        <w:t>on sales of investments and the change in net unrealized appreciation (depreciation) between the cost and market value of investments at the beginning and end of the period.</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All interest, dividends and capital gains distributions are reinvested in the respective funds and are recorded as earned on an accrual basis.</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December 31, 2009 and 2008</w:t>
      </w:r>
    </w:p>
    <w:p>
      <w:pPr>
        <w:spacing w:after="0" w:line="117" w:lineRule="exact"/>
        <w:rPr>
          <w:sz w:val="20"/>
          <w:szCs w:val="20"/>
          <w:color w:val="auto"/>
        </w:rPr>
      </w:pPr>
    </w:p>
    <w:p>
      <w:pPr>
        <w:ind w:left="240" w:right="80" w:hanging="4"/>
        <w:spacing w:after="0" w:line="257" w:lineRule="auto"/>
        <w:tabs>
          <w:tab w:leader="none" w:pos="42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Income tax status. </w:t>
      </w:r>
      <w:r>
        <w:rPr>
          <w:rFonts w:ascii="Arial" w:cs="Arial" w:eastAsia="Arial" w:hAnsi="Arial"/>
          <w:sz w:val="18"/>
          <w:szCs w:val="18"/>
          <w:color w:val="auto"/>
        </w:rPr>
        <w:t>The Plan has received a determination letter from the Internal Revenue Service, dated May 1, 2003, stating that the Plan is qualified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Section 401(a) of the Internal Revenue Code (the “Code”) and, therefore, the related trust is exempt from taxation. Subsequent to this determination by the Internal Revenue Service, the Plan was amended. Once qualified, the Plan is required to operate in conformity with the Code to maintain its qualification. The Plan Committee believes the Plan is being operated in compliance with the applicable requirements of the Code and therefore believes that the Plan, as amended, is qualified and the related trust is tax exempt.</w:t>
      </w:r>
    </w:p>
    <w:p>
      <w:pPr>
        <w:spacing w:after="0" w:line="80" w:lineRule="exact"/>
        <w:rPr>
          <w:rFonts w:ascii="Arial" w:cs="Arial" w:eastAsia="Arial" w:hAnsi="Arial"/>
          <w:sz w:val="18"/>
          <w:szCs w:val="18"/>
          <w:i w:val="1"/>
          <w:iCs w:val="1"/>
          <w:color w:val="auto"/>
        </w:rPr>
      </w:pPr>
    </w:p>
    <w:p>
      <w:pPr>
        <w:ind w:left="240" w:right="20" w:hanging="4"/>
        <w:spacing w:after="0" w:line="286" w:lineRule="auto"/>
        <w:tabs>
          <w:tab w:leader="none" w:pos="420" w:val="left"/>
        </w:tabs>
        <w:numPr>
          <w:ilvl w:val="0"/>
          <w:numId w:val="13"/>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Related Party. </w:t>
      </w:r>
      <w:r>
        <w:rPr>
          <w:rFonts w:ascii="Arial" w:cs="Arial" w:eastAsia="Arial" w:hAnsi="Arial"/>
          <w:sz w:val="17"/>
          <w:szCs w:val="17"/>
          <w:color w:val="auto"/>
        </w:rPr>
        <w:t>Certain Plan investments are shares of mutual funds managed by FMR Corp. FMR Corp. is a related party to the trustee and recordkeeper</w:t>
      </w:r>
      <w:r>
        <w:rPr>
          <w:rFonts w:ascii="Arial" w:cs="Arial" w:eastAsia="Arial" w:hAnsi="Arial"/>
          <w:sz w:val="17"/>
          <w:szCs w:val="17"/>
          <w:i w:val="1"/>
          <w:iCs w:val="1"/>
          <w:color w:val="auto"/>
        </w:rPr>
        <w:t xml:space="preserve"> </w:t>
      </w:r>
      <w:r>
        <w:rPr>
          <w:rFonts w:ascii="Arial" w:cs="Arial" w:eastAsia="Arial" w:hAnsi="Arial"/>
          <w:sz w:val="17"/>
          <w:szCs w:val="17"/>
          <w:color w:val="auto"/>
        </w:rPr>
        <w:t>of the Plan, and therefore, these transactions qualify as party-in-interest transactions. Fees paid by the Company to the trustee and recordkeeper for administrative expenses amounted to $33,425 and $34,896 for the years ended December 31, 2009 and 2008, respectively.</w:t>
      </w:r>
    </w:p>
    <w:p>
      <w:pPr>
        <w:spacing w:after="0" w:line="57" w:lineRule="exact"/>
        <w:rPr>
          <w:sz w:val="20"/>
          <w:szCs w:val="20"/>
          <w:color w:val="auto"/>
        </w:rPr>
      </w:pPr>
    </w:p>
    <w:p>
      <w:pPr>
        <w:ind w:left="240" w:right="60"/>
        <w:spacing w:after="0" w:line="264" w:lineRule="auto"/>
        <w:rPr>
          <w:sz w:val="20"/>
          <w:szCs w:val="20"/>
          <w:color w:val="auto"/>
        </w:rPr>
      </w:pPr>
      <w:r>
        <w:rPr>
          <w:rFonts w:ascii="Arial" w:cs="Arial" w:eastAsia="Arial" w:hAnsi="Arial"/>
          <w:sz w:val="18"/>
          <w:szCs w:val="18"/>
          <w:color w:val="auto"/>
        </w:rPr>
        <w:t>The Plan also offers the Analog Devices, Inc. Common Stock Fund investment option. The Analog Devices, Inc. Common Stock Fund is designed for investment in the common stock of the Company. In addition, some of the investments in the Plan hold the Company’s Common stock. These transactions qualify as party-in-interest transactions.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Loans to participants also qualify as party-in-interest transactions.</w:t>
      </w:r>
    </w:p>
    <w:p>
      <w:pPr>
        <w:spacing w:after="0" w:line="117" w:lineRule="exact"/>
        <w:rPr>
          <w:sz w:val="20"/>
          <w:szCs w:val="20"/>
          <w:color w:val="auto"/>
        </w:rPr>
      </w:pPr>
    </w:p>
    <w:p>
      <w:pPr>
        <w:ind w:left="240" w:hanging="4"/>
        <w:spacing w:after="0" w:line="277" w:lineRule="auto"/>
        <w:tabs>
          <w:tab w:leader="none" w:pos="42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Administrative expenses</w:t>
      </w:r>
      <w:r>
        <w:rPr>
          <w:rFonts w:ascii="Arial" w:cs="Arial" w:eastAsia="Arial" w:hAnsi="Arial"/>
          <w:sz w:val="18"/>
          <w:szCs w:val="18"/>
          <w:color w:val="auto"/>
        </w:rPr>
        <w:t>. For the years ended December 31, 2009 and 2008, the Company elected to pay the administrative expenses of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resulting from participant loans and investment fees are deducted directly from participant accounts.</w:t>
      </w:r>
    </w:p>
    <w:p>
      <w:pPr>
        <w:spacing w:after="0" w:line="62" w:lineRule="exact"/>
        <w:rPr>
          <w:rFonts w:ascii="Arial" w:cs="Arial" w:eastAsia="Arial" w:hAnsi="Arial"/>
          <w:sz w:val="18"/>
          <w:szCs w:val="18"/>
          <w:i w:val="1"/>
          <w:iCs w:val="1"/>
          <w:color w:val="auto"/>
        </w:rPr>
      </w:pPr>
    </w:p>
    <w:p>
      <w:pPr>
        <w:ind w:left="240" w:right="200" w:hanging="4"/>
        <w:spacing w:after="0" w:line="286" w:lineRule="auto"/>
        <w:tabs>
          <w:tab w:leader="none" w:pos="420" w:val="left"/>
        </w:tabs>
        <w:numPr>
          <w:ilvl w:val="0"/>
          <w:numId w:val="14"/>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Use of estimates. </w:t>
      </w:r>
      <w:r>
        <w:rPr>
          <w:rFonts w:ascii="Arial" w:cs="Arial" w:eastAsia="Arial" w:hAnsi="Arial"/>
          <w:sz w:val="17"/>
          <w:szCs w:val="17"/>
          <w:color w:val="auto"/>
        </w:rPr>
        <w:t>The preparation of financial statements in conformity with U.S. generally accepted accounting principles requires management to</w:t>
      </w:r>
      <w:r>
        <w:rPr>
          <w:rFonts w:ascii="Arial" w:cs="Arial" w:eastAsia="Arial" w:hAnsi="Arial"/>
          <w:sz w:val="17"/>
          <w:szCs w:val="17"/>
          <w:i w:val="1"/>
          <w:iCs w:val="1"/>
          <w:color w:val="auto"/>
        </w:rPr>
        <w:t xml:space="preserve"> </w:t>
      </w:r>
      <w:r>
        <w:rPr>
          <w:rFonts w:ascii="Arial" w:cs="Arial" w:eastAsia="Arial" w:hAnsi="Arial"/>
          <w:sz w:val="17"/>
          <w:szCs w:val="17"/>
          <w:color w:val="auto"/>
        </w:rPr>
        <w:t>make estimates that affect the reported amounts of assets and liabilities at the date of the financial statements and the reported amounts of changes in net assets available for benefits during the reporting period. Actual results could differ from those estimates</w:t>
      </w:r>
      <w:r>
        <w:rPr>
          <w:rFonts w:ascii="Arial" w:cs="Arial" w:eastAsia="Arial" w:hAnsi="Arial"/>
          <w:sz w:val="17"/>
          <w:szCs w:val="17"/>
          <w:i w:val="1"/>
          <w:iCs w:val="1"/>
          <w:color w:val="auto"/>
        </w:rPr>
        <w:t>.</w:t>
      </w:r>
    </w:p>
    <w:p>
      <w:pPr>
        <w:spacing w:after="0" w:line="57" w:lineRule="exact"/>
        <w:rPr>
          <w:rFonts w:ascii="Arial" w:cs="Arial" w:eastAsia="Arial" w:hAnsi="Arial"/>
          <w:sz w:val="17"/>
          <w:szCs w:val="17"/>
          <w:i w:val="1"/>
          <w:iCs w:val="1"/>
          <w:color w:val="auto"/>
        </w:rPr>
      </w:pPr>
    </w:p>
    <w:p>
      <w:pPr>
        <w:ind w:left="240" w:right="40" w:hanging="4"/>
        <w:spacing w:after="0" w:line="277" w:lineRule="auto"/>
        <w:tabs>
          <w:tab w:leader="none" w:pos="51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Risk and uncertainties. </w:t>
      </w:r>
      <w:r>
        <w:rPr>
          <w:rFonts w:ascii="Arial" w:cs="Arial" w:eastAsia="Arial" w:hAnsi="Arial"/>
          <w:sz w:val="18"/>
          <w:szCs w:val="18"/>
          <w:color w:val="auto"/>
        </w:rPr>
        <w:t>The Plan and its participants invest in various securities. Investment securities are exposed to various risks such as interest rate,</w:t>
      </w:r>
      <w:r>
        <w:rPr>
          <w:rFonts w:ascii="Arial" w:cs="Arial" w:eastAsia="Arial" w:hAnsi="Arial"/>
          <w:sz w:val="18"/>
          <w:szCs w:val="18"/>
          <w:i w:val="1"/>
          <w:iCs w:val="1"/>
          <w:color w:val="auto"/>
        </w:rPr>
        <w:t xml:space="preserve"> </w:t>
      </w:r>
      <w:r>
        <w:rPr>
          <w:rFonts w:ascii="Arial" w:cs="Arial" w:eastAsia="Arial" w:hAnsi="Arial"/>
          <w:sz w:val="18"/>
          <w:szCs w:val="18"/>
          <w:color w:val="auto"/>
        </w:rPr>
        <w:t>market liquidity and credit risks. Due to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December 31, 2009 and 2008</w:t>
      </w:r>
    </w:p>
    <w:p>
      <w:pPr>
        <w:spacing w:after="0" w:line="117" w:lineRule="exact"/>
        <w:rPr>
          <w:sz w:val="20"/>
          <w:szCs w:val="20"/>
          <w:color w:val="auto"/>
        </w:rPr>
      </w:pPr>
    </w:p>
    <w:p>
      <w:pPr>
        <w:ind w:left="240" w:right="140"/>
        <w:spacing w:after="0" w:line="264" w:lineRule="auto"/>
        <w:rPr>
          <w:sz w:val="20"/>
          <w:szCs w:val="20"/>
          <w:color w:val="auto"/>
        </w:rPr>
      </w:pPr>
      <w:r>
        <w:rPr>
          <w:rFonts w:ascii="Arial" w:cs="Arial" w:eastAsia="Arial" w:hAnsi="Arial"/>
          <w:sz w:val="18"/>
          <w:szCs w:val="18"/>
          <w:color w:val="auto"/>
        </w:rPr>
        <w:t>the level of risk associated with certain investment securities, it is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8"/>
          <w:szCs w:val="18"/>
          <w:color w:val="auto"/>
        </w:rPr>
        <w:t>.</w:t>
      </w:r>
      <w:r>
        <w:rPr>
          <w:rFonts w:ascii="Arial" w:cs="Arial" w:eastAsia="Arial" w:hAnsi="Arial"/>
          <w:sz w:val="18"/>
          <w:szCs w:val="18"/>
          <w:b w:val="1"/>
          <w:bCs w:val="1"/>
          <w:color w:val="auto"/>
        </w:rPr>
        <w:t xml:space="preserve"> Trustee and Plan Recordkeeper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Fidelity Management Trust Company and Fidelity Institutional Retirement Services Company serve as trustee and recordkeeper, respectively, to the Plan.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r>
        <w:rPr>
          <w:rFonts w:ascii="Arial" w:cs="Arial" w:eastAsia="Arial" w:hAnsi="Arial"/>
          <w:sz w:val="18"/>
          <w:szCs w:val="18"/>
          <w:color w:val="auto"/>
        </w:rPr>
        <w:t>.</w:t>
      </w:r>
      <w:r>
        <w:rPr>
          <w:rFonts w:ascii="Arial" w:cs="Arial" w:eastAsia="Arial" w:hAnsi="Arial"/>
          <w:sz w:val="18"/>
          <w:szCs w:val="18"/>
          <w:b w:val="1"/>
          <w:bCs w:val="1"/>
          <w:color w:val="auto"/>
        </w:rPr>
        <w:t xml:space="preserve"> Investments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investments represent five percent or more of the Plan’s net assets:</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1188"/>
              <w:spacing w:after="0"/>
              <w:rPr>
                <w:sz w:val="20"/>
                <w:szCs w:val="20"/>
                <w:color w:val="auto"/>
              </w:rPr>
            </w:pPr>
            <w:r>
              <w:rPr>
                <w:rFonts w:ascii="Arial" w:cs="Arial" w:eastAsia="Arial" w:hAnsi="Arial"/>
                <w:sz w:val="14"/>
                <w:szCs w:val="14"/>
                <w:i w:val="1"/>
                <w:iCs w:val="1"/>
                <w:color w:val="auto"/>
                <w:w w:val="93"/>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20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color w:val="auto"/>
              </w:rPr>
              <w:t>2009</w:t>
            </w:r>
          </w:p>
        </w:tc>
        <w:tc>
          <w:tcPr>
            <w:tcW w:w="22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Borders>
              <w:bottom w:val="single" w:sz="8" w:color="auto"/>
            </w:tcBorders>
          </w:tcPr>
          <w:p>
            <w:pPr>
              <w:jc w:val="right"/>
              <w:ind w:right="508"/>
              <w:spacing w:after="0" w:line="142" w:lineRule="exact"/>
              <w:rPr>
                <w:sz w:val="20"/>
                <w:szCs w:val="20"/>
                <w:color w:val="auto"/>
              </w:rPr>
            </w:pPr>
            <w:r>
              <w:rPr>
                <w:rFonts w:ascii="Arial" w:cs="Arial" w:eastAsia="Arial" w:hAnsi="Arial"/>
                <w:sz w:val="14"/>
                <w:szCs w:val="14"/>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Analog Devices, Inc. Common Stock Fund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$101,381,902</w:t>
            </w:r>
          </w:p>
        </w:tc>
        <w:tc>
          <w:tcPr>
            <w:tcW w:w="210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$ 63,079,711</w:t>
            </w:r>
          </w:p>
        </w:tc>
        <w:tc>
          <w:tcPr>
            <w:tcW w:w="0" w:type="dxa"/>
            <w:vAlign w:val="bottom"/>
          </w:tcPr>
          <w:p>
            <w:pPr>
              <w:spacing w:after="0"/>
              <w:rPr>
                <w:sz w:val="1"/>
                <w:szCs w:val="1"/>
                <w:color w:val="auto"/>
              </w:rPr>
            </w:pPr>
          </w:p>
        </w:tc>
      </w:tr>
      <w:tr>
        <w:trPr>
          <w:trHeight w:val="432"/>
        </w:trPr>
        <w:tc>
          <w:tcPr>
            <w:tcW w:w="6980" w:type="dxa"/>
            <w:vAlign w:val="bottom"/>
            <w:gridSpan w:val="2"/>
          </w:tcPr>
          <w:p>
            <w:pPr>
              <w:spacing w:after="0"/>
              <w:rPr>
                <w:sz w:val="20"/>
                <w:szCs w:val="20"/>
                <w:color w:val="auto"/>
              </w:rPr>
            </w:pPr>
            <w:r>
              <w:rPr>
                <w:rFonts w:ascii="Arial" w:cs="Arial" w:eastAsia="Arial" w:hAnsi="Arial"/>
                <w:sz w:val="18"/>
                <w:szCs w:val="18"/>
                <w:color w:val="auto"/>
              </w:rPr>
              <w:t>Fidelity Equity Income Fund</w:t>
            </w:r>
          </w:p>
        </w:tc>
        <w:tc>
          <w:tcPr>
            <w:tcW w:w="1200" w:type="dxa"/>
            <w:vAlign w:val="bottom"/>
          </w:tcPr>
          <w:p>
            <w:pPr>
              <w:jc w:val="right"/>
              <w:spacing w:after="0"/>
              <w:rPr>
                <w:sz w:val="20"/>
                <w:szCs w:val="20"/>
                <w:color w:val="auto"/>
              </w:rPr>
            </w:pPr>
            <w:r>
              <w:rPr>
                <w:rFonts w:ascii="Arial" w:cs="Arial" w:eastAsia="Arial" w:hAnsi="Arial"/>
                <w:sz w:val="18"/>
                <w:szCs w:val="18"/>
                <w:color w:val="auto"/>
              </w:rPr>
              <w:t>36,927,632</w:t>
            </w:r>
          </w:p>
        </w:tc>
        <w:tc>
          <w:tcPr>
            <w:tcW w:w="2100" w:type="dxa"/>
            <w:vAlign w:val="bottom"/>
            <w:gridSpan w:val="3"/>
          </w:tcPr>
          <w:p>
            <w:pPr>
              <w:jc w:val="right"/>
              <w:ind w:right="208"/>
              <w:spacing w:after="0"/>
              <w:rPr>
                <w:sz w:val="20"/>
                <w:szCs w:val="20"/>
                <w:color w:val="auto"/>
              </w:rPr>
            </w:pPr>
            <w:r>
              <w:rPr>
                <w:rFonts w:ascii="Arial" w:cs="Arial" w:eastAsia="Arial" w:hAnsi="Arial"/>
                <w:sz w:val="18"/>
                <w:szCs w:val="18"/>
                <w:color w:val="auto"/>
              </w:rPr>
              <w:t>29,921,832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Fidelity Growth Company Fund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48,144,525</w:t>
            </w:r>
          </w:p>
        </w:tc>
        <w:tc>
          <w:tcPr>
            <w:tcW w:w="210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33,388,142</w:t>
            </w:r>
          </w:p>
        </w:tc>
        <w:tc>
          <w:tcPr>
            <w:tcW w:w="0" w:type="dxa"/>
            <w:vAlign w:val="bottom"/>
          </w:tcPr>
          <w:p>
            <w:pPr>
              <w:spacing w:after="0"/>
              <w:rPr>
                <w:sz w:val="1"/>
                <w:szCs w:val="1"/>
                <w:color w:val="auto"/>
              </w:rPr>
            </w:pPr>
          </w:p>
        </w:tc>
      </w:tr>
      <w:tr>
        <w:trPr>
          <w:trHeight w:val="432"/>
        </w:trPr>
        <w:tc>
          <w:tcPr>
            <w:tcW w:w="6980" w:type="dxa"/>
            <w:vAlign w:val="bottom"/>
            <w:gridSpan w:val="2"/>
          </w:tcPr>
          <w:p>
            <w:pPr>
              <w:spacing w:after="0"/>
              <w:rPr>
                <w:sz w:val="20"/>
                <w:szCs w:val="20"/>
                <w:color w:val="auto"/>
              </w:rPr>
            </w:pPr>
            <w:r>
              <w:rPr>
                <w:rFonts w:ascii="Arial" w:cs="Arial" w:eastAsia="Arial" w:hAnsi="Arial"/>
                <w:sz w:val="18"/>
                <w:szCs w:val="18"/>
                <w:color w:val="auto"/>
              </w:rPr>
              <w:t>Fidelity Institutional Money Market Fund</w:t>
            </w:r>
          </w:p>
        </w:tc>
        <w:tc>
          <w:tcPr>
            <w:tcW w:w="1200" w:type="dxa"/>
            <w:vAlign w:val="bottom"/>
          </w:tcPr>
          <w:p>
            <w:pPr>
              <w:jc w:val="right"/>
              <w:spacing w:after="0"/>
              <w:rPr>
                <w:sz w:val="20"/>
                <w:szCs w:val="20"/>
                <w:color w:val="auto"/>
              </w:rPr>
            </w:pPr>
            <w:r>
              <w:rPr>
                <w:rFonts w:ascii="Arial" w:cs="Arial" w:eastAsia="Arial" w:hAnsi="Arial"/>
                <w:sz w:val="18"/>
                <w:szCs w:val="18"/>
                <w:color w:val="auto"/>
              </w:rPr>
              <w:t>137,303,798</w:t>
            </w:r>
          </w:p>
        </w:tc>
        <w:tc>
          <w:tcPr>
            <w:tcW w:w="2100" w:type="dxa"/>
            <w:vAlign w:val="bottom"/>
            <w:gridSpan w:val="3"/>
          </w:tcPr>
          <w:p>
            <w:pPr>
              <w:jc w:val="right"/>
              <w:ind w:right="208"/>
              <w:spacing w:after="0"/>
              <w:rPr>
                <w:sz w:val="20"/>
                <w:szCs w:val="20"/>
                <w:color w:val="auto"/>
              </w:rPr>
            </w:pPr>
            <w:r>
              <w:rPr>
                <w:rFonts w:ascii="Arial" w:cs="Arial" w:eastAsia="Arial" w:hAnsi="Arial"/>
                <w:sz w:val="18"/>
                <w:szCs w:val="18"/>
                <w:color w:val="auto"/>
              </w:rPr>
              <w:t>150,027,980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Fidelity U.S. Bond Index Fund</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36,160,810</w:t>
            </w:r>
          </w:p>
        </w:tc>
        <w:tc>
          <w:tcPr>
            <w:tcW w:w="210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31,779,749</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240" w:right="180"/>
        <w:spacing w:after="0" w:line="277" w:lineRule="auto"/>
        <w:rPr>
          <w:sz w:val="20"/>
          <w:szCs w:val="20"/>
          <w:color w:val="auto"/>
        </w:rPr>
      </w:pPr>
      <w:r>
        <w:rPr>
          <w:rFonts w:ascii="Arial" w:cs="Arial" w:eastAsia="Arial" w:hAnsi="Arial"/>
          <w:sz w:val="18"/>
          <w:szCs w:val="18"/>
          <w:color w:val="auto"/>
        </w:rPr>
        <w:t>The Plan’s investments (including gains and losses on investments bought and sold, as well as held during the year) appreciated (depreciated) in value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rPr>
              <w:t>Year Ended</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58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i w:val="1"/>
                <w:iCs w:val="1"/>
                <w:color w:val="auto"/>
                <w:w w:val="90"/>
              </w:rPr>
              <w:t>December 31,</w:t>
            </w:r>
          </w:p>
        </w:tc>
        <w:tc>
          <w:tcPr>
            <w:tcW w:w="9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color w:val="auto"/>
              </w:rPr>
              <w:t>2009</w:t>
            </w: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color w:val="auto"/>
              </w:rPr>
              <w:t>2008</w:t>
            </w:r>
          </w:p>
        </w:tc>
        <w:tc>
          <w:tcPr>
            <w:tcW w:w="260" w:type="dxa"/>
            <w:vAlign w:val="bottom"/>
            <w:tcBorders>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50,793,390</w:t>
            </w:r>
          </w:p>
        </w:tc>
        <w:tc>
          <w:tcPr>
            <w:tcW w:w="8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(55,614,689)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Mutual funds</w:t>
            </w: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7"/>
              </w:rPr>
              <w:t>81,722,011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(189,269,942)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Commingled funds</w:t>
            </w: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5,314,379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(10,104,129)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Bonds</w:t>
            </w:r>
          </w:p>
        </w:tc>
        <w:tc>
          <w:tcPr>
            <w:tcW w:w="2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(4,668)</w:t>
            </w: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9,883</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Others</w:t>
            </w:r>
          </w:p>
        </w:tc>
        <w:tc>
          <w:tcPr>
            <w:tcW w:w="2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158,425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63,398</w:t>
            </w:r>
          </w:p>
        </w:tc>
        <w:tc>
          <w:tcPr>
            <w:tcW w:w="2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40" w:type="dxa"/>
            <w:vAlign w:val="bottom"/>
            <w:gridSpan w:val="2"/>
          </w:tcPr>
          <w:p>
            <w:pPr>
              <w:ind w:left="580"/>
              <w:spacing w:after="0"/>
              <w:rPr>
                <w:sz w:val="20"/>
                <w:szCs w:val="20"/>
                <w:color w:val="auto"/>
              </w:rPr>
            </w:pPr>
            <w:r>
              <w:rPr>
                <w:rFonts w:ascii="Arial" w:cs="Arial" w:eastAsia="Arial" w:hAnsi="Arial"/>
                <w:sz w:val="18"/>
                <w:szCs w:val="18"/>
                <w:color w:val="auto"/>
                <w:w w:val="99"/>
              </w:rPr>
              <w:t>Net appreciation (depreciation) in fair value of investments</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137,983,537</w:t>
            </w:r>
          </w:p>
        </w:tc>
        <w:tc>
          <w:tcPr>
            <w:tcW w:w="80" w:type="dxa"/>
            <w:vAlign w:val="bottom"/>
          </w:tcPr>
          <w:p>
            <w:pPr>
              <w:spacing w:after="0"/>
              <w:rPr>
                <w:sz w:val="19"/>
                <w:szCs w:val="19"/>
                <w:color w:val="auto"/>
              </w:rPr>
            </w:pP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(254,915,479</w:t>
            </w:r>
          </w:p>
        </w:tc>
        <w:tc>
          <w:tcPr>
            <w:tcW w:w="260" w:type="dxa"/>
            <w:vAlign w:val="bottom"/>
          </w:tcPr>
          <w:p>
            <w:pPr>
              <w:jc w:val="right"/>
              <w:ind w:right="180"/>
              <w:spacing w:after="0"/>
              <w:rPr>
                <w:sz w:val="20"/>
                <w:szCs w:val="20"/>
                <w:color w:val="auto"/>
              </w:rPr>
            </w:pPr>
            <w:r>
              <w:rPr>
                <w:rFonts w:ascii="Arial" w:cs="Arial" w:eastAsia="Arial" w:hAnsi="Arial"/>
                <w:sz w:val="8"/>
                <w:szCs w:val="8"/>
                <w:color w:val="auto"/>
                <w:w w:val="73"/>
              </w:rPr>
              <w:t>)</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240" w:type="dxa"/>
            <w:vAlign w:val="bottom"/>
            <w:vMerge w:val="restart"/>
          </w:tcPr>
          <w:p>
            <w:pPr>
              <w:jc w:val="right"/>
              <w:ind w:right="1590"/>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2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80" w:type="dxa"/>
            <w:vAlign w:val="bottom"/>
            <w:tcBorders>
              <w:bottom w:val="single" w:sz="8" w:color="808080"/>
            </w:tcBorders>
          </w:tcPr>
          <w:p>
            <w:pPr>
              <w:spacing w:after="0"/>
              <w:rPr>
                <w:sz w:val="19"/>
                <w:szCs w:val="19"/>
                <w:color w:val="auto"/>
              </w:rPr>
            </w:pPr>
          </w:p>
        </w:tc>
        <w:tc>
          <w:tcPr>
            <w:tcW w:w="466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ANALOG DEVICES, INC.</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17"/>
          <w:szCs w:val="17"/>
          <w:color w:val="auto"/>
        </w:rPr>
        <w:t>THE INVESTMENT PARTNERSHIP PLAN</w:t>
      </w:r>
    </w:p>
    <w:p>
      <w:pPr>
        <w:spacing w:after="0" w:line="129"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SUPPLEMENTAL SCHEDULE</w:t>
      </w:r>
    </w:p>
    <w:p>
      <w:pPr>
        <w:spacing w:after="0" w:line="117" w:lineRule="exact"/>
        <w:rPr>
          <w:sz w:val="20"/>
          <w:szCs w:val="20"/>
          <w:color w:val="auto"/>
        </w:rPr>
      </w:pPr>
    </w:p>
    <w:p>
      <w:pPr>
        <w:jc w:val="center"/>
        <w:ind w:right="-1220"/>
        <w:spacing w:after="0"/>
        <w:rPr>
          <w:sz w:val="20"/>
          <w:szCs w:val="20"/>
          <w:color w:val="auto"/>
        </w:rPr>
      </w:pPr>
      <w:r>
        <w:rPr>
          <w:rFonts w:ascii="Arial" w:cs="Arial" w:eastAsia="Arial" w:hAnsi="Arial"/>
          <w:sz w:val="18"/>
          <w:szCs w:val="18"/>
          <w:color w:val="auto"/>
        </w:rPr>
        <w:t>DECEMBER 31, 2009</w:t>
      </w:r>
    </w:p>
    <w:p>
      <w:pPr>
        <w:spacing w:after="0" w:line="19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INVESTMENT PARTNERSHIP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EIN NO: 04-2348234 PLAN NO: 003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H-LINE 4i — SCHEDULE OF ASSETS (HELD AT END OF YEAR)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2009</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color w:val="auto"/>
                <w:w w:val="94"/>
              </w:rPr>
              <w:t>Current</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340" w:type="dxa"/>
            <w:vAlign w:val="bottom"/>
            <w:gridSpan w:val="2"/>
          </w:tcPr>
          <w:p>
            <w:pPr>
              <w:ind w:left="320"/>
              <w:spacing w:after="0"/>
              <w:rPr>
                <w:sz w:val="20"/>
                <w:szCs w:val="20"/>
                <w:color w:val="auto"/>
              </w:rPr>
            </w:pPr>
            <w:r>
              <w:rPr>
                <w:rFonts w:ascii="Arial" w:cs="Arial" w:eastAsia="Arial" w:hAnsi="Arial"/>
                <w:sz w:val="14"/>
                <w:szCs w:val="14"/>
                <w:color w:val="auto"/>
              </w:rPr>
              <w:t>Shares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Description of Investment:</w:t>
            </w:r>
          </w:p>
        </w:tc>
        <w:tc>
          <w:tcPr>
            <w:tcW w:w="10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color w:val="auto"/>
              </w:rPr>
              <w:t>Mutual Funds:</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Institutional Money Market Fund</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9"/>
              </w:rPr>
              <w:t>137,303,798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137,303,798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Diversified International Fund</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899,061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25,155,723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Equity Income Fund</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943,717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36,927,632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Income Fund</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393,601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4,227,279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2000 Fund</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131,703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1,494,832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Freedom 2005 Fund</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51,636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517,912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2010 Fund</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812,117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10,159,579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2015 Fund</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228,374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2,379,660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2020 Fund</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1,003,575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12,594,871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2025 Fund</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363,877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3,780,680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2030 Fund</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1,201,974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14,892,462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2035 Fund</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266,710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2,736,440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2040 Fund</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886,842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6,349,787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2045 Fund</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149,117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1,263,025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Freedom 2050 Fund</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177,789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1,484,534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Growth Company Fund</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698,354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48,144,525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Growth &amp; Income Portfolio</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340,584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5,466,371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Low-Priced Stock Fund</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1,010,212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32,276,260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Magellan Fund</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332,206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21,350,884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U.S. Bond Index Fund</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3,269,513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36,160,810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Calamos Growth Fund</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241,462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11,662,601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Hotchkis and Wiley Mid-Cap Value Fund</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801,713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14,350,661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Royce Low-Priced Stock Fund</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823,594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11,604,438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Templeton Foreign Fund</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2,178,758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14,118,350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Spartan International Index Fund</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380,063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12,713,111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Vanguard Mid-Cap Index Fund</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794,386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13,027,933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Vanguard Short-Term Bond Index Fund</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1,509,037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15,724,168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Vanguard Inflation Protected Securities Fund</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7,399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92,861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Vanguard Small-Cap Index Fund</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267,456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7,355,044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505,316,231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Analog Devices, Inc. Common Stock Fund:</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200"/>
              <w:spacing w:after="0"/>
              <w:rPr>
                <w:sz w:val="20"/>
                <w:szCs w:val="20"/>
                <w:color w:val="auto"/>
              </w:rPr>
            </w:pPr>
            <w:r>
              <w:rPr>
                <w:rFonts w:ascii="Arial" w:cs="Arial" w:eastAsia="Arial" w:hAnsi="Arial"/>
                <w:sz w:val="18"/>
                <w:szCs w:val="18"/>
                <w:color w:val="auto"/>
              </w:rPr>
              <w:t>Analog Devices, Inc. Common Stock</w:t>
            </w:r>
            <w:r>
              <w:rPr>
                <w:rFonts w:ascii="Arial" w:cs="Arial" w:eastAsia="Arial" w:hAnsi="Arial"/>
                <w:sz w:val="15"/>
                <w:szCs w:val="15"/>
                <w:color w:val="auto"/>
              </w:rPr>
              <w:t>(1)</w:t>
            </w: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96,355,885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Institutional Cash Portfolio — Money Market Portfolio</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5,026,017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101,381,902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Participants Self-Directed Brokerage Accounts</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74,157,097</w:t>
            </w:r>
          </w:p>
        </w:tc>
        <w:tc>
          <w:tcPr>
            <w:tcW w:w="0" w:type="dxa"/>
            <w:vAlign w:val="bottom"/>
          </w:tcPr>
          <w:p>
            <w:pPr>
              <w:spacing w:after="0"/>
              <w:rPr>
                <w:sz w:val="1"/>
                <w:szCs w:val="1"/>
                <w:color w:val="auto"/>
              </w:rPr>
            </w:pPr>
          </w:p>
        </w:tc>
      </w:tr>
      <w:tr>
        <w:trPr>
          <w:trHeight w:val="432"/>
        </w:trPr>
        <w:tc>
          <w:tcPr>
            <w:tcW w:w="8640" w:type="dxa"/>
            <w:vAlign w:val="bottom"/>
            <w:gridSpan w:val="2"/>
          </w:tcPr>
          <w:p>
            <w:pPr>
              <w:spacing w:after="0"/>
              <w:rPr>
                <w:sz w:val="20"/>
                <w:szCs w:val="20"/>
                <w:color w:val="auto"/>
              </w:rPr>
            </w:pPr>
            <w:r>
              <w:rPr>
                <w:rFonts w:ascii="Arial" w:cs="Arial" w:eastAsia="Arial" w:hAnsi="Arial"/>
                <w:sz w:val="18"/>
                <w:szCs w:val="18"/>
                <w:color w:val="auto"/>
              </w:rPr>
              <w:t>Commingled Fund:</w:t>
            </w: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Fidelity </w:t>
            </w:r>
            <w:r>
              <w:rPr>
                <w:rFonts w:ascii="Arial" w:cs="Arial" w:eastAsia="Arial" w:hAnsi="Arial"/>
                <w:sz w:val="15"/>
                <w:szCs w:val="15"/>
                <w:color w:val="auto"/>
              </w:rPr>
              <w:t>(1)</w:t>
            </w:r>
            <w:r>
              <w:rPr>
                <w:rFonts w:ascii="Arial" w:cs="Arial" w:eastAsia="Arial" w:hAnsi="Arial"/>
                <w:sz w:val="18"/>
                <w:szCs w:val="18"/>
                <w:color w:val="auto"/>
              </w:rPr>
              <w:t xml:space="preserve"> U.S. Equity Index Commingled Pool</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679,292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25,901,417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706,756,647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Participant Loans Receivable </w:t>
            </w:r>
            <w:r>
              <w:rPr>
                <w:rFonts w:ascii="Arial" w:cs="Arial" w:eastAsia="Arial" w:hAnsi="Arial"/>
                <w:sz w:val="15"/>
                <w:szCs w:val="15"/>
                <w:color w:val="auto"/>
              </w:rPr>
              <w:t>(1) (2)</w:t>
            </w: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8,632,849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8"/>
          <w:szCs w:val="18"/>
          <w:color w:val="auto"/>
        </w:rPr>
        <w:t>Indicates party-in-interest to the Plan.</w:t>
      </w:r>
    </w:p>
    <w:p>
      <w:pPr>
        <w:spacing w:after="0" w:line="76" w:lineRule="exact"/>
        <w:rPr>
          <w:rFonts w:ascii="Arial" w:cs="Arial" w:eastAsia="Arial" w:hAnsi="Arial"/>
          <w:sz w:val="15"/>
          <w:szCs w:val="15"/>
          <w:color w:val="auto"/>
        </w:rPr>
      </w:pPr>
    </w:p>
    <w:p>
      <w:pPr>
        <w:ind w:left="460" w:hanging="452"/>
        <w:spacing w:after="0"/>
        <w:tabs>
          <w:tab w:leader="none" w:pos="460" w:val="left"/>
        </w:tabs>
        <w:numPr>
          <w:ilvl w:val="0"/>
          <w:numId w:val="15"/>
        </w:numPr>
        <w:rPr>
          <w:rFonts w:ascii="Arial" w:cs="Arial" w:eastAsia="Arial" w:hAnsi="Arial"/>
          <w:sz w:val="14"/>
          <w:szCs w:val="14"/>
          <w:color w:val="auto"/>
        </w:rPr>
      </w:pPr>
      <w:r>
        <w:rPr>
          <w:rFonts w:ascii="Arial" w:cs="Arial" w:eastAsia="Arial" w:hAnsi="Arial"/>
          <w:sz w:val="17"/>
          <w:szCs w:val="17"/>
          <w:color w:val="auto"/>
        </w:rPr>
        <w:t>The loan account at December 31, 2009 bears interest at rates ranging from 3.3% to 10.0%, with terms ranging from less than 1 year to 20 years.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Note: Cost information has not been included because all investments are participant-directed.</w:t>
      </w:r>
    </w:p>
    <w:p>
      <w:pPr>
        <w:sectPr>
          <w:pgSz w:w="11900" w:h="16838" w:orient="portrait"/>
          <w:cols w:equalWidth="0" w:num="1">
            <w:col w:w="11420"/>
          </w:cols>
          <w:pgMar w:left="240" w:top="419"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by the undersigned hereunto duly authorized.</w:t>
      </w:r>
    </w:p>
    <w:p>
      <w:pPr>
        <w:spacing w:after="0" w:line="170"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u w:val="single" w:color="auto"/>
          <w:color w:val="auto"/>
        </w:rPr>
        <w:t>THE INVESTMENT PARTNERSHIP PLAN</w:t>
      </w:r>
    </w:p>
    <w:p>
      <w:pPr>
        <w:spacing w:after="0" w:line="9"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(the Plan)</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David A. Zinsner</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David A. Zinsner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Vice President-Finance and Chief Financial Officer of</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Analog Devices, Inc.</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June 11, 2010</w:t>
      </w:r>
    </w:p>
    <w:p>
      <w:pPr>
        <w:spacing w:after="0" w:line="30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240" w:top="419" w:right="4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1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consent to the incorporation by reference in the Registration Statements (Form S-8 Nos. 33-2502, 2-95495, 33-43128, and 333-08493) pertaining to the Analog Devices, Inc. The Investment Partnership Plan of our report, dated June 11, 2010, with respect to the financial statements and schedule of the Analog Devices, Inc. The Investment Partnership Plan included in this Annual Report (Form 11-K) for the year ended December 31, 2009.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11, 2010</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6"/>
    </w:lvl>
  </w:abstractNum>
  <w:abstractNum w:abstractNumId="6">
    <w:nsid w:val="1F16E9E8"/>
    <w:multiLevelType w:val="hybridMultilevel"/>
    <w:lvl w:ilvl="0">
      <w:lvlJc w:val="left"/>
      <w:lvlText w:val="(%1)"/>
      <w:numFmt w:val="lowerRoman"/>
      <w:start w:val="1"/>
    </w:lvl>
  </w:abstractNum>
  <w:abstractNum w:abstractNumId="7">
    <w:nsid w:val="1190CDE7"/>
    <w:multiLevelType w:val="hybridMultilevel"/>
    <w:lvl w:ilvl="0">
      <w:lvlJc w:val="left"/>
      <w:lvlText w:val="%1."/>
      <w:numFmt w:val="decimal"/>
      <w:start w:val="7"/>
    </w:lvl>
  </w:abstractNum>
  <w:abstractNum w:abstractNumId="8">
    <w:nsid w:val="66EF438D"/>
    <w:multiLevelType w:val="hybridMultilevel"/>
    <w:lvl w:ilvl="0">
      <w:lvlJc w:val="left"/>
      <w:lvlText w:val="%1"/>
      <w:numFmt w:val="upperLetter"/>
      <w:start w:val="1"/>
    </w:lvl>
    <w:lvl w:ilvl="1">
      <w:lvlJc w:val="left"/>
      <w:lvlText w:val="%2."/>
      <w:numFmt w:val="decimal"/>
      <w:start w:val="10"/>
    </w:lvl>
  </w:abstractNum>
  <w:abstractNum w:abstractNumId="9">
    <w:nsid w:val="140E0F76"/>
    <w:multiLevelType w:val="hybridMultilevel"/>
    <w:lvl w:ilvl="0">
      <w:lvlJc w:val="left"/>
      <w:lvlText w:val="%1."/>
      <w:numFmt w:val="upperLetter"/>
      <w:start w:val="2"/>
    </w:lvl>
    <w:lvl w:ilvl="1">
      <w:lvlJc w:val="left"/>
      <w:lvlText w:val="%2."/>
      <w:numFmt w:val="decimal"/>
      <w:start w:val="1"/>
    </w:lvl>
  </w:abstractNum>
  <w:abstractNum w:abstractNumId="10">
    <w:nsid w:val="3352255A"/>
    <w:multiLevelType w:val="hybridMultilevel"/>
    <w:lvl w:ilvl="0">
      <w:lvlJc w:val="left"/>
      <w:lvlText w:val="%1."/>
      <w:numFmt w:val="decimal"/>
      <w:start w:val="3"/>
    </w:lvl>
  </w:abstractNum>
  <w:abstractNum w:abstractNumId="11">
    <w:nsid w:val="109CF92E"/>
    <w:multiLevelType w:val="hybridMultilevel"/>
    <w:lvl w:ilvl="0">
      <w:lvlJc w:val="left"/>
      <w:lvlText w:val="%1."/>
      <w:numFmt w:val="decimal"/>
      <w:start w:val="4"/>
    </w:lvl>
  </w:abstractNum>
  <w:abstractNum w:abstractNumId="12">
    <w:nsid w:val="DED7263"/>
    <w:multiLevelType w:val="hybridMultilevel"/>
    <w:lvl w:ilvl="0">
      <w:lvlJc w:val="left"/>
      <w:lvlText w:val="%1."/>
      <w:numFmt w:val="decimal"/>
      <w:start w:val="6"/>
    </w:lvl>
  </w:abstractNum>
  <w:abstractNum w:abstractNumId="13">
    <w:nsid w:val="7FDCC233"/>
    <w:multiLevelType w:val="hybridMultilevel"/>
    <w:lvl w:ilvl="0">
      <w:lvlJc w:val="left"/>
      <w:lvlText w:val="%1."/>
      <w:numFmt w:val="decimal"/>
      <w:start w:val="8"/>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2019-12-09T21:10:19Z</dcterms:created>
  <dcterms:modified xsi:type="dcterms:W3CDTF">2019-12-09T21:10:19Z</dcterms:modified>
</cp:coreProperties>
</file>