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p>
    <w:p>
      <w:pPr>
        <w:spacing w:after="0" w:line="12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On October 8, 2020,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held a special meeting of shareholders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At the Special Meeting, ADI shareholders voted on the proposals identified below. Each of the proposals is described in detail in the definitive joint proxy statement/prospectus, dated September 4, 2020 (the “</w:t>
      </w:r>
      <w:r>
        <w:rPr>
          <w:rFonts w:ascii="Arial" w:cs="Arial" w:eastAsia="Arial" w:hAnsi="Arial"/>
          <w:sz w:val="18"/>
          <w:szCs w:val="18"/>
          <w:u w:val="single" w:color="auto"/>
          <w:color w:val="auto"/>
        </w:rPr>
        <w:t>Definitive Joint Proxy Statement/Prospectus</w:t>
      </w:r>
      <w:r>
        <w:rPr>
          <w:rFonts w:ascii="Arial" w:cs="Arial" w:eastAsia="Arial" w:hAnsi="Arial"/>
          <w:sz w:val="18"/>
          <w:szCs w:val="18"/>
          <w:color w:val="auto"/>
        </w:rPr>
        <w:t>”), which ADI filed with the U.S. Securities and Exchange Commission and mailed to ADI shareholders in connection with the merger contemplated by the Agreement and Plan of Merger, dated as of July 12, 2020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by and among ADI, Magneto Corp., a wholly owned subsidiary of ADI, and Maxim Integrated Products, Inc. (“</w:t>
      </w:r>
      <w:r>
        <w:rPr>
          <w:rFonts w:ascii="Arial" w:cs="Arial" w:eastAsia="Arial" w:hAnsi="Arial"/>
          <w:sz w:val="18"/>
          <w:szCs w:val="18"/>
          <w:u w:val="single" w:color="auto"/>
          <w:color w:val="auto"/>
        </w:rPr>
        <w:t>Maxim</w:t>
      </w:r>
      <w:r>
        <w:rPr>
          <w:rFonts w:ascii="Arial" w:cs="Arial" w:eastAsia="Arial" w:hAnsi="Arial"/>
          <w:sz w:val="18"/>
          <w:szCs w:val="18"/>
          <w:color w:val="auto"/>
        </w:rPr>
        <w:t>”).</w:t>
      </w:r>
    </w:p>
    <w:p>
      <w:pPr>
        <w:spacing w:after="0" w:line="192"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As of the close of business on August 31, 2020, the record date for the Special Meeting, 369,559,767 shares of ADI common stock were issued and outstanding and entitled to vote at the Special Meeting. Proposal 1 below was approved and, although sufficient votes were received to approve Proposal 2, an adjournment of the Special Meeting was not necessary due to the approval of Proposal 1. The number of votes cast for or against, as well as abstentions, if applicable, with respect to each proposal is set out below:</w:t>
      </w:r>
    </w:p>
    <w:p>
      <w:pPr>
        <w:spacing w:after="0" w:line="183" w:lineRule="exact"/>
        <w:rPr>
          <w:sz w:val="20"/>
          <w:szCs w:val="20"/>
          <w:color w:val="auto"/>
        </w:rPr>
      </w:pPr>
    </w:p>
    <w:p>
      <w:pPr>
        <w:ind w:right="720" w:firstLine="991"/>
        <w:spacing w:after="0" w:line="282" w:lineRule="auto"/>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To approve the issuance of shares of ADI common stock to Maxim stockholders pursuant 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ADI Share Issuance Proposal</w:t>
      </w:r>
      <w:r>
        <w:rPr>
          <w:rFonts w:ascii="Arial" w:cs="Arial" w:eastAsia="Arial" w:hAnsi="Arial"/>
          <w:sz w:val="18"/>
          <w:szCs w:val="18"/>
          <w:color w:val="auto"/>
        </w:rPr>
        <w:t>”). The ADI Share Issuance Proposal was approved by the following vote:</w:t>
      </w:r>
    </w:p>
    <w:p>
      <w:pPr>
        <w:spacing w:after="0" w:line="188" w:lineRule="exact"/>
        <w:rPr>
          <w:sz w:val="20"/>
          <w:szCs w:val="20"/>
          <w:color w:val="auto"/>
        </w:rPr>
      </w:pPr>
    </w:p>
    <w:tbl>
      <w:tblPr>
        <w:tblLayout w:type="fixed"/>
        <w:tblInd w:w="880" w:type="dxa"/>
        <w:tblCellMar>
          <w:top w:w="0" w:type="dxa"/>
          <w:left w:w="0" w:type="dxa"/>
          <w:bottom w:w="0" w:type="dxa"/>
          <w:right w:w="0" w:type="dxa"/>
        </w:tblCellMar>
      </w:tblPr>
      <w:tr>
        <w:trPr>
          <w:trHeight w:val="181"/>
        </w:trPr>
        <w:tc>
          <w:tcPr>
            <w:tcW w:w="34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Votes For</w:t>
            </w:r>
          </w:p>
        </w:tc>
        <w:tc>
          <w:tcPr>
            <w:tcW w:w="30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Votes Against</w:t>
            </w:r>
          </w:p>
        </w:tc>
        <w:tc>
          <w:tcPr>
            <w:tcW w:w="2780" w:type="dxa"/>
            <w:vAlign w:val="bottom"/>
          </w:tcPr>
          <w:p>
            <w:pPr>
              <w:jc w:val="center"/>
              <w:spacing w:after="0"/>
              <w:rPr>
                <w:sz w:val="20"/>
                <w:szCs w:val="20"/>
                <w:color w:val="auto"/>
              </w:rPr>
            </w:pPr>
            <w:r>
              <w:rPr>
                <w:rFonts w:ascii="Arial" w:cs="Arial" w:eastAsia="Arial" w:hAnsi="Arial"/>
                <w:sz w:val="14"/>
                <w:szCs w:val="14"/>
                <w:color w:val="auto"/>
                <w:w w:val="92"/>
              </w:rPr>
              <w:t>Abstentions</w:t>
            </w:r>
          </w:p>
        </w:tc>
      </w:tr>
      <w:tr>
        <w:trPr>
          <w:trHeight w:val="210"/>
        </w:trPr>
        <w:tc>
          <w:tcPr>
            <w:tcW w:w="32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313,499,924</w:t>
            </w:r>
          </w:p>
        </w:tc>
        <w:tc>
          <w:tcPr>
            <w:tcW w:w="20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1,084,316</w:t>
            </w:r>
          </w:p>
        </w:tc>
        <w:tc>
          <w:tcPr>
            <w:tcW w:w="1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713,125</w:t>
            </w:r>
          </w:p>
        </w:tc>
      </w:tr>
    </w:tbl>
    <w:p>
      <w:pPr>
        <w:spacing w:after="0" w:line="198"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To approve the adjournment of the Special Meeting, if necessary or appropriate, to solicit additional proxies if there are</w:t>
      </w:r>
      <w:r>
        <w:rPr>
          <w:rFonts w:ascii="Arial" w:cs="Arial" w:eastAsia="Arial" w:hAnsi="Arial"/>
          <w:sz w:val="18"/>
          <w:szCs w:val="18"/>
          <w:b w:val="1"/>
          <w:bCs w:val="1"/>
          <w:color w:val="auto"/>
        </w:rPr>
        <w:t xml:space="preserve"> </w:t>
      </w:r>
      <w:r>
        <w:rPr>
          <w:rFonts w:ascii="Arial" w:cs="Arial" w:eastAsia="Arial" w:hAnsi="Arial"/>
          <w:sz w:val="18"/>
          <w:szCs w:val="18"/>
          <w:color w:val="auto"/>
        </w:rPr>
        <w:t>insufficient votes at the time of the Special Meeting to approve the ADI Share Issuance Proposal or to ensure that any supplement or amendment to the Definitive Joint Proxy Statement/Prospectus is timely provided to ADI’s shareholders (the “</w:t>
      </w:r>
      <w:r>
        <w:rPr>
          <w:rFonts w:ascii="Arial" w:cs="Arial" w:eastAsia="Arial" w:hAnsi="Arial"/>
          <w:sz w:val="18"/>
          <w:szCs w:val="18"/>
          <w:u w:val="single" w:color="auto"/>
          <w:color w:val="auto"/>
        </w:rPr>
        <w:t>ADI Adjournment Proposal</w:t>
      </w:r>
      <w:r>
        <w:rPr>
          <w:rFonts w:ascii="Arial" w:cs="Arial" w:eastAsia="Arial" w:hAnsi="Arial"/>
          <w:sz w:val="18"/>
          <w:szCs w:val="18"/>
          <w:color w:val="auto"/>
        </w:rPr>
        <w:t>”). The ADI Adjournment Proposal was approved by the following vote:</w:t>
      </w:r>
    </w:p>
    <w:p>
      <w:pPr>
        <w:spacing w:after="0" w:line="206" w:lineRule="exact"/>
        <w:rPr>
          <w:sz w:val="20"/>
          <w:szCs w:val="20"/>
          <w:color w:val="auto"/>
        </w:rPr>
      </w:pPr>
    </w:p>
    <w:tbl>
      <w:tblPr>
        <w:tblLayout w:type="fixed"/>
        <w:tblInd w:w="880" w:type="dxa"/>
        <w:tblCellMar>
          <w:top w:w="0" w:type="dxa"/>
          <w:left w:w="0" w:type="dxa"/>
          <w:bottom w:w="0" w:type="dxa"/>
          <w:right w:w="0" w:type="dxa"/>
        </w:tblCellMar>
      </w:tblPr>
      <w:tr>
        <w:trPr>
          <w:trHeight w:val="181"/>
        </w:trPr>
        <w:tc>
          <w:tcPr>
            <w:tcW w:w="34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Votes For</w:t>
            </w:r>
          </w:p>
        </w:tc>
        <w:tc>
          <w:tcPr>
            <w:tcW w:w="3040" w:type="dxa"/>
            <w:vAlign w:val="bottom"/>
            <w:gridSpan w:val="2"/>
          </w:tcPr>
          <w:p>
            <w:pPr>
              <w:ind w:left="1020"/>
              <w:spacing w:after="0"/>
              <w:rPr>
                <w:sz w:val="20"/>
                <w:szCs w:val="20"/>
                <w:color w:val="auto"/>
              </w:rPr>
            </w:pPr>
            <w:r>
              <w:rPr>
                <w:rFonts w:ascii="Arial" w:cs="Arial" w:eastAsia="Arial" w:hAnsi="Arial"/>
                <w:sz w:val="14"/>
                <w:szCs w:val="14"/>
                <w:color w:val="auto"/>
              </w:rPr>
              <w:t>Votes Against</w:t>
            </w:r>
          </w:p>
        </w:tc>
        <w:tc>
          <w:tcPr>
            <w:tcW w:w="2780" w:type="dxa"/>
            <w:vAlign w:val="bottom"/>
          </w:tcPr>
          <w:p>
            <w:pPr>
              <w:jc w:val="center"/>
              <w:spacing w:after="0"/>
              <w:rPr>
                <w:sz w:val="20"/>
                <w:szCs w:val="20"/>
                <w:color w:val="auto"/>
              </w:rPr>
            </w:pPr>
            <w:r>
              <w:rPr>
                <w:rFonts w:ascii="Arial" w:cs="Arial" w:eastAsia="Arial" w:hAnsi="Arial"/>
                <w:sz w:val="14"/>
                <w:szCs w:val="14"/>
                <w:color w:val="auto"/>
                <w:w w:val="92"/>
              </w:rPr>
              <w:t>Abstentions</w:t>
            </w:r>
          </w:p>
        </w:tc>
      </w:tr>
      <w:tr>
        <w:trPr>
          <w:trHeight w:val="210"/>
        </w:trPr>
        <w:tc>
          <w:tcPr>
            <w:tcW w:w="3240" w:type="dxa"/>
            <w:vAlign w:val="bottom"/>
            <w:tcBorders>
              <w:top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rPr>
              <w:t>284,572,681</w:t>
            </w:r>
          </w:p>
        </w:tc>
        <w:tc>
          <w:tcPr>
            <w:tcW w:w="20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29,926,040</w:t>
            </w:r>
          </w:p>
        </w:tc>
        <w:tc>
          <w:tcPr>
            <w:tcW w:w="16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color w:val="auto"/>
              </w:rPr>
              <w:t>798,644</w:t>
            </w:r>
          </w:p>
        </w:tc>
      </w:tr>
    </w:tbl>
    <w:p>
      <w:pPr>
        <w:spacing w:after="0" w:line="3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On October 8, 2020, ADI and Maxim issued a joint press release announcing the results of the Special Meeting and of the special meeting of Maxim stockholders held on October 8, 2020. A copy of the joint press release is attached as Exhibit 99.1 to this Current Report on Form 8-K and is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r>
        <w:rPr>
          <w:rFonts w:ascii="Arial" w:cs="Arial" w:eastAsia="Arial" w:hAnsi="Arial"/>
          <w:sz w:val="16"/>
          <w:szCs w:val="16"/>
          <w:b w:val="1"/>
          <w:bCs w:val="1"/>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 of Document</w:t>
      </w:r>
    </w:p>
    <w:p>
      <w:pPr>
        <w:spacing w:after="0" w:line="117" w:lineRule="exact"/>
        <w:rPr>
          <w:sz w:val="20"/>
          <w:szCs w:val="20"/>
          <w:color w:val="auto"/>
        </w:rPr>
      </w:pPr>
    </w:p>
    <w:p>
      <w:pPr>
        <w:ind w:left="28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Joint Press Release, dated October 8, 2020.</w:t>
        </w:r>
      </w:hyperlink>
    </w:p>
    <w:p>
      <w:pPr>
        <w:spacing w:after="0" w:line="117" w:lineRule="exact"/>
        <w:rPr>
          <w:sz w:val="20"/>
          <w:szCs w:val="20"/>
          <w:color w:val="auto"/>
        </w:rPr>
      </w:pPr>
    </w:p>
    <w:p>
      <w:pPr>
        <w:ind w:left="28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920"/>
          </w:cols>
          <w:pgMar w:left="440" w:top="297"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Date: October 8, 2020</w:t>
            </w:r>
          </w:p>
        </w:tc>
        <w:tc>
          <w:tcPr>
            <w:tcW w:w="7460" w:type="dxa"/>
            <w:vAlign w:val="bottom"/>
            <w:gridSpan w:val="2"/>
          </w:tcPr>
          <w:p>
            <w:pPr>
              <w:ind w:left="1960"/>
              <w:spacing w:after="0"/>
              <w:rPr>
                <w:sz w:val="20"/>
                <w:szCs w:val="20"/>
                <w:color w:val="auto"/>
              </w:rPr>
            </w:pPr>
            <w:r>
              <w:rPr>
                <w:rFonts w:ascii="Arial" w:cs="Arial" w:eastAsia="Arial" w:hAnsi="Arial"/>
                <w:sz w:val="18"/>
                <w:szCs w:val="18"/>
                <w:color w:val="auto"/>
              </w:rPr>
              <w:t>ANALOG DEVICES, INC.</w:t>
            </w:r>
          </w:p>
        </w:tc>
      </w:tr>
      <w:tr>
        <w:trPr>
          <w:trHeight w:val="432"/>
        </w:trPr>
        <w:tc>
          <w:tcPr>
            <w:tcW w:w="3560" w:type="dxa"/>
            <w:vAlign w:val="bottom"/>
          </w:tcPr>
          <w:p>
            <w:pPr>
              <w:spacing w:after="0"/>
              <w:rPr>
                <w:sz w:val="24"/>
                <w:szCs w:val="24"/>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3560" w:type="dxa"/>
            <w:vAlign w:val="bottom"/>
          </w:tcPr>
          <w:p>
            <w:pPr>
              <w:spacing w:after="0"/>
              <w:rPr>
                <w:sz w:val="18"/>
                <w:szCs w:val="18"/>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Chief Legal Officer</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and Maxim Integrated Shareholders Approve Combination</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NORWOOD, Massachusetts &amp; SAN JOSE, California — October 8, 2020 </w:t>
      </w:r>
      <w:r>
        <w:rPr>
          <w:rFonts w:ascii="Arial" w:cs="Arial" w:eastAsia="Arial" w:hAnsi="Arial"/>
          <w:sz w:val="18"/>
          <w:szCs w:val="18"/>
          <w:color w:val="auto"/>
        </w:rPr>
        <w:t>— Analog Devices, Inc. (Nasdaq: ADI) and Maxim Integrated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Inc. (Nasdaq: MXIM) announced that, at their respective special meetings of shareholders held today, ADI and Maxim shareholders voted to approve their respective proposals relating to the pending combination of ADI and Maxim. The combination will strengthen ADI as an analog semiconductor leader with increased breadth and scale across multiple attractive end markets.</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pleased with the overwhelming support from our shareholders for this exciting combination. Together with Maxim, we will enhance our domain expertise and breadth of engineering capabilities to develop more complete solutions to solve customers’ most complex problems,” said Vincent Roche, President and CEO of Analog Devices. “We look forward to joining forces with Maxim to drive the next wave of semiconductor growth and deliver significant value to all our stakeholders.”</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appreciate the strong support of our shareholders for Maxim’s combination with ADI. Together, we will enable the industry’s highest performance analog and mixed-signal solutions through our complementary product portfolios,” said Tunc Doluca, President and CEO of Maxim.</w:t>
      </w:r>
    </w:p>
    <w:p>
      <w:pPr>
        <w:spacing w:after="0" w:line="14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As previously announced, the waiting period applicable to the consummation of the transaction under the Hart-Scott-Rodino Antitrust Improvements Act has expired. The completion of the transaction remains subject to the satisfaction of other customary closing conditions, including receipt of certain non-U.S. regulatory approvals. The companies continue to expect that the transaction will be completed in the summer of 2021.</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Analog Devices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Maxim Integrated</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Maxim Integrated develops innovative analog and mixed-signal products and technologies to make systems smaller and smarter, with enhanced security and increased energy efficiency. We are empowering design innovation for our automotive, industrial, healthcare, mobile consumer, and cloud data center customers to deliver industry-leading solutions that help change the world. Learn more at http://www.maximintegrated.com.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This filing relates to the pending business combination transaction between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w:t>
      </w:r>
    </w:p>
    <w:p>
      <w:pPr>
        <w:sectPr>
          <w:pgSz w:w="11900" w:h="16838" w:orient="portrait"/>
          <w:cols w:equalWidth="0" w:num="1">
            <w:col w:w="11020"/>
          </w:cols>
          <w:pgMar w:left="440" w:top="121" w:right="439" w:bottom="1440" w:gutter="0" w:footer="0" w:header="0"/>
        </w:sectPr>
      </w:pPr>
    </w:p>
    <w:bookmarkStart w:id="4" w:name="page5"/>
    <w:bookmarkEnd w:id="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and the diversion of management time on transaction-related matters. For additional information about other factors that could cause actual results to differ materially from those described in the forward-looking statements, please refer to ADI’s and Maxim’s respective periodic reports and other filings with the Securities and Exchange Commission, including the risk factors contained in ADI’s and Maxim’s most recent Quarterly Reports on 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(ADI-WEB)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Editors’ Contact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Lucarelli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781-461-3282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of Investor Relations, ADI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investor.relations@analog.com</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Andrea Duffy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646-984-0240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Andrea.Duffy@teneo.com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Kathy 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 Maxim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kathy.ta@maximintegrated.com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2020-10-08T16:24:37Z</dcterms:created>
  <dcterms:modified xsi:type="dcterms:W3CDTF">2020-10-08T16:24:37Z</dcterms:modified>
</cp:coreProperties>
</file>