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Analog Devices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032654105</w:t>
      </w:r>
    </w:p>
    <w:p>
      <w:pPr>
        <w:spacing w:after="0"/>
        <w:rPr>
          <w:sz w:val="20"/>
          <w:szCs w:val="20"/>
          <w:color w:val="auto"/>
        </w:rPr>
      </w:pPr>
      <w:r>
        <w:rPr>
          <w:rFonts w:ascii="Courier New" w:cs="Courier New" w:eastAsia="Courier New" w:hAnsi="Courier New"/>
          <w:sz w:val="18"/>
          <w:szCs w:val="18"/>
          <w:color w:val="auto"/>
        </w:rPr>
        <w:t>Filing Fee: No</w:t>
      </w:r>
    </w:p>
    <w:p>
      <w:pPr>
        <w:sectPr>
          <w:pgSz w:w="11900" w:h="16855"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032654105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196,000</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9,375,300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9,375,300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12.39%</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55"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032654105</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9,375,300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9,375,300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12.39%</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8" w:lineRule="exact"/>
        <w:rPr>
          <w:sz w:val="24"/>
          <w:szCs w:val="24"/>
          <w:color w:val="auto"/>
        </w:rPr>
      </w:pPr>
    </w:p>
    <w:p>
      <w:pPr>
        <w:sectPr>
          <w:pgSz w:w="11900" w:h="16855" w:orient="portrait"/>
          <w:cols w:equalWidth="0" w:num="2">
            <w:col w:w="6120" w:space="200"/>
            <w:col w:w="389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Analog Devices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One Technology Way</w:t>
      </w:r>
    </w:p>
    <w:p>
      <w:pPr>
        <w:ind w:left="1700"/>
        <w:spacing w:after="0" w:line="238" w:lineRule="auto"/>
        <w:tabs>
          <w:tab w:leader="none" w:pos="3040" w:val="left"/>
        </w:tabs>
        <w:rPr>
          <w:sz w:val="20"/>
          <w:szCs w:val="20"/>
          <w:color w:val="auto"/>
        </w:rPr>
      </w:pPr>
      <w:r>
        <w:rPr>
          <w:rFonts w:ascii="Courier New" w:cs="Courier New" w:eastAsia="Courier New" w:hAnsi="Courier New"/>
          <w:sz w:val="18"/>
          <w:szCs w:val="18"/>
          <w:color w:val="auto"/>
        </w:rPr>
        <w:t>Norwood, MA</w:t>
        <w:tab/>
        <w:t>02062</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032654105</w:t>
      </w:r>
    </w:p>
    <w:p>
      <w:pPr>
        <w:spacing w:after="0" w:line="207"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Item 3. This statement is filed pursuant to Rule 13d-1(b) or 13d-2(b) and the</w:t>
      </w:r>
    </w:p>
    <w:p>
      <w:pPr>
        <w:spacing w:after="0" w:line="6" w:lineRule="exact"/>
        <w:rPr>
          <w:sz w:val="24"/>
          <w:szCs w:val="24"/>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860"/>
        <w:spacing w:after="0"/>
        <w:rPr>
          <w:sz w:val="20"/>
          <w:szCs w:val="20"/>
          <w:color w:val="auto"/>
        </w:rPr>
      </w:pPr>
      <w:r>
        <w:rPr>
          <w:rFonts w:ascii="Courier New" w:cs="Courier New" w:eastAsia="Courier New" w:hAnsi="Courier New"/>
          <w:sz w:val="18"/>
          <w:szCs w:val="18"/>
          <w:color w:val="auto"/>
        </w:rPr>
        <w:t>9,375,300</w:t>
      </w:r>
    </w:p>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12.39%</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196,000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9,375,300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Analog Devices Incorporated. The interest of one person, Fidelity Magellan Fund, an investment company registered under the Investment Company Act of 1940, in the common stock of Analog Devices Incorporated, amounted to 4,393,050 shares or 5.80% of the total outstanding common stock at June 30, 1995.</w:t>
      </w:r>
    </w:p>
    <w:p>
      <w:pPr>
        <w:spacing w:after="0" w:line="21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Schedule 13G in connection with FMR Corp's beneficial ownership of the common stock of Analog Devices Incorporated at June 30, 1995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July 7,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136" w:right="1440" w:bottom="133"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9,043,850 shares or 11.95% of the common stock outstanding of Analog Devices Incorporated ("the Company") as a result of acting as investment adviser to several investment companies registered under Section 8 of the Investment Company Act of 1940.</w:t>
      </w: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ownership of one investment company, Fidelity Magellan Fund,</w:t>
      </w:r>
    </w:p>
    <w:p>
      <w:pPr>
        <w:spacing w:after="0" w:line="238" w:lineRule="auto"/>
        <w:rPr>
          <w:sz w:val="20"/>
          <w:szCs w:val="20"/>
          <w:color w:val="auto"/>
        </w:rPr>
      </w:pPr>
      <w:r>
        <w:rPr>
          <w:rFonts w:ascii="Courier New" w:cs="Courier New" w:eastAsia="Courier New" w:hAnsi="Courier New"/>
          <w:sz w:val="18"/>
          <w:szCs w:val="18"/>
          <w:color w:val="auto"/>
        </w:rPr>
        <w:t>amounted</w:t>
      </w:r>
    </w:p>
    <w:p>
      <w:pPr>
        <w:spacing w:after="0" w:line="5" w:lineRule="exact"/>
        <w:rPr>
          <w:sz w:val="20"/>
          <w:szCs w:val="20"/>
          <w:color w:val="auto"/>
        </w:rPr>
      </w:pPr>
    </w:p>
    <w:p>
      <w:pPr>
        <w:ind w:right="2619"/>
        <w:spacing w:after="0" w:line="236" w:lineRule="auto"/>
        <w:rPr>
          <w:sz w:val="20"/>
          <w:szCs w:val="20"/>
          <w:color w:val="auto"/>
        </w:rPr>
      </w:pPr>
      <w:r>
        <w:rPr>
          <w:rFonts w:ascii="Courier New" w:cs="Courier New" w:eastAsia="Courier New" w:hAnsi="Courier New"/>
          <w:sz w:val="18"/>
          <w:szCs w:val="18"/>
          <w:color w:val="auto"/>
        </w:rPr>
        <w:t>to 4,393,050 shares or 5.80% of the common stock outstanding. Fidelity Magellan Fund has its principal business office at 82 Devonshire Street, Boston, Massachusetts 02109.</w:t>
      </w: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Edward C. Johnson 3d, FMR Corp., through its control of Fidelity,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w:t>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Funds each has sole power to dispose of the 9,043,850 shares owned by the Funds.</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168,550 shares or 0.22% of the common stock outstanding of the Company as a result of its serving as investment manager of the institutional account(s).</w:t>
      </w:r>
    </w:p>
    <w:p>
      <w:pPr>
        <w:spacing w:after="0" w:line="210"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168,550 shares and sole power to vote or to direct the voting of 33,100 shares, and no power to vote or to direct the voting of 135,450 Shares of common stock owned by the institutional account(s) as reported above.</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Abigail P. Johnson each own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162,900 shares or 0.22% of the common stock outstanding of the Company. Additional information with respect to the beneficial ownership of Fidelity International Limited is shown on Exhibit B, page 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Pursuant to instructions in Item 7 of Schedule 13G, this Exhibit has</w:t>
      </w:r>
    </w:p>
    <w:p>
      <w:pPr>
        <w:spacing w:after="0" w:line="238" w:lineRule="auto"/>
        <w:rPr>
          <w:sz w:val="20"/>
          <w:szCs w:val="20"/>
          <w:color w:val="auto"/>
        </w:rPr>
      </w:pPr>
      <w:r>
        <w:rPr>
          <w:rFonts w:ascii="Courier New" w:cs="Courier New" w:eastAsia="Courier New" w:hAnsi="Courier New"/>
          <w:sz w:val="18"/>
          <w:szCs w:val="18"/>
          <w:color w:val="auto"/>
        </w:rPr>
        <w:t>been</w:t>
      </w:r>
    </w:p>
    <w:p>
      <w:pPr>
        <w:spacing w:after="0" w:line="5"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162,900 shares or 0.22% of the common stock outstanding of Analog Devices Incorporated.</w:t>
      </w:r>
    </w:p>
    <w:p>
      <w:pPr>
        <w:sectPr>
          <w:pgSz w:w="11900" w:h="16838" w:orient="portrait"/>
          <w:cols w:equalWidth="0" w:num="1">
            <w:col w:w="10219"/>
          </w:cols>
          <w:pgMar w:left="240" w:top="339" w:right="1440" w:bottom="0" w:gutter="0" w:footer="0" w:header="0"/>
        </w:sectPr>
      </w:pPr>
    </w:p>
    <w:bookmarkStart w:id="3" w:name="page4"/>
    <w:bookmarkEnd w:id="3"/>
    <w:p>
      <w:pPr>
        <w:ind w:right="1879" w:firstLine="843"/>
        <w:spacing w:after="0" w:line="237" w:lineRule="auto"/>
        <w:rPr>
          <w:sz w:val="20"/>
          <w:szCs w:val="20"/>
          <w:color w:val="auto"/>
        </w:rPr>
      </w:pPr>
      <w:r>
        <w:rPr>
          <w:rFonts w:ascii="Courier New" w:cs="Courier New" w:eastAsia="Courier New" w:hAnsi="Courier New"/>
          <w:sz w:val="18"/>
          <w:szCs w:val="18"/>
          <w:color w:val="auto"/>
        </w:rPr>
        <w:t>Prior to June 30, 1980, FIL was a majority-owned subsidiary of Fidelity Management &amp; Research Company (Fidelity), a wholly-owned subsidiary of FMR 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11"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Other than when one serves as a subadviser to the other, their investment decisions are made independently, and their clients are different organizations.</w:t>
      </w: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FMR Corp. and FIL are of the view that they are not acting as a "group"</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740" w:type="dxa"/>
            <w:vAlign w:val="bottom"/>
            <w:gridSpan w:val="3"/>
          </w:tcPr>
          <w:p>
            <w:pPr>
              <w:spacing w:after="0"/>
              <w:rPr>
                <w:sz w:val="20"/>
                <w:szCs w:val="20"/>
                <w:color w:val="auto"/>
              </w:rPr>
            </w:pPr>
            <w:r>
              <w:rPr>
                <w:rFonts w:ascii="Courier New" w:cs="Courier New" w:eastAsia="Courier New" w:hAnsi="Courier New"/>
                <w:sz w:val="18"/>
                <w:szCs w:val="18"/>
                <w:color w:val="auto"/>
                <w:w w:val="98"/>
              </w:rPr>
              <w:t>for purposes of Section 13(d) under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the Securities</w:t>
            </w:r>
          </w:p>
        </w:tc>
        <w:tc>
          <w:tcPr>
            <w:tcW w:w="29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Exchange Act of 1934 (the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Act) and that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they</w:t>
            </w:r>
          </w:p>
        </w:tc>
        <w:tc>
          <w:tcPr>
            <w:tcW w:w="42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are not otherwise required to attribute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each</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other the "beneficial</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ownership" of</w:t>
            </w:r>
          </w:p>
        </w:tc>
        <w:tc>
          <w:tcPr>
            <w:tcW w:w="4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securities "beneficially owned" by the</w:t>
            </w:r>
          </w:p>
        </w:tc>
      </w:tr>
      <w:tr>
        <w:trPr>
          <w:trHeight w:val="203"/>
        </w:trPr>
        <w:tc>
          <w:tcPr>
            <w:tcW w:w="5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other corporation within the meaning of Rule 13d-3</w:t>
            </w:r>
          </w:p>
        </w:tc>
        <w:tc>
          <w:tcPr>
            <w:tcW w:w="2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promulgated under the 1934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Act.  Therefore, they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are</w:t>
            </w:r>
          </w:p>
        </w:tc>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of the view that the shares held</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need not</w:t>
            </w:r>
          </w:p>
        </w:tc>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be aggregated for purposes of</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However, FMR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 is making this</w:t>
            </w:r>
          </w:p>
        </w:tc>
        <w:tc>
          <w:tcPr>
            <w:tcW w:w="3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filing on a voluntary basis as if all</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are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beneficially owned by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FMR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 and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FIL on a joint</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basis.</w:t>
            </w: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5"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FIL has the sole power to vote and the sole power to dispose of 162,900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persons, on July 7, 1995, agree and consent to the joint filing on their behalf of this Schedule 13G in connection with their beneficial ownership of the common stock of Analog Devices Incorporated at June 30, 1995.</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ind w:left="860"/>
        <w:spacing w:after="0" w:line="238" w:lineRule="auto"/>
        <w:rPr>
          <w:sz w:val="20"/>
          <w:szCs w:val="20"/>
          <w:color w:val="auto"/>
        </w:rPr>
      </w:pPr>
      <w:r>
        <w:rPr>
          <w:rFonts w:ascii="Courier New" w:cs="Courier New" w:eastAsia="Courier New" w:hAnsi="Courier New"/>
          <w:sz w:val="18"/>
          <w:szCs w:val="18"/>
          <w:color w:val="auto"/>
        </w:rPr>
        <w:t>Fidelity Management &amp; Research Company</w:t>
      </w:r>
    </w:p>
    <w:p>
      <w:pPr>
        <w:sectPr>
          <w:pgSz w:w="11900" w:h="16838" w:orient="portrait"/>
          <w:cols w:equalWidth="0" w:num="1">
            <w:col w:w="10219"/>
          </w:cols>
          <w:pgMar w:left="240" w:top="344" w:right="1440" w:bottom="0" w:gutter="0" w:footer="0" w:header="0"/>
        </w:sectPr>
      </w:pPr>
    </w:p>
    <w:bookmarkStart w:id="4" w:name="page5"/>
    <w:bookmarkEnd w:id="4"/>
    <w:p>
      <w:pPr>
        <w:ind w:left="860"/>
        <w:spacing w:after="0"/>
        <w:tabs>
          <w:tab w:leader="none" w:pos="16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/s/Arthur S. Loring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Sr. V.P. and General Counsel</w:t>
      </w:r>
    </w:p>
    <w:p>
      <w:pPr>
        <w:ind w:left="860"/>
        <w:spacing w:after="0"/>
        <w:rPr>
          <w:sz w:val="20"/>
          <w:szCs w:val="20"/>
          <w:color w:val="auto"/>
        </w:rPr>
      </w:pPr>
      <w:r>
        <w:rPr>
          <w:rFonts w:ascii="Courier New" w:cs="Courier New" w:eastAsia="Courier New" w:hAnsi="Courier New"/>
          <w:sz w:val="18"/>
          <w:szCs w:val="18"/>
          <w:color w:val="auto"/>
        </w:rPr>
        <w:t>Fidelity Magellan Fund</w:t>
      </w:r>
    </w:p>
    <w:p>
      <w:pPr>
        <w:spacing w:after="0" w:line="3" w:lineRule="exact"/>
        <w:rPr>
          <w:sz w:val="20"/>
          <w:szCs w:val="20"/>
          <w:color w:val="auto"/>
        </w:rPr>
      </w:pPr>
    </w:p>
    <w:p>
      <w:pPr>
        <w:ind w:left="860"/>
        <w:spacing w:after="0"/>
        <w:tabs>
          <w:tab w:leader="none" w:pos="168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/s/Arthur S. Loring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Arthur S. Loring</w:t>
      </w:r>
    </w:p>
    <w:p>
      <w:pPr>
        <w:spacing w:after="0" w:line="238" w:lineRule="auto"/>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2"/>
    </w:lvl>
  </w:abstractNum>
  <w:abstractNum w:abstractNumId="1">
    <w:nsid w:val="66334873"/>
    <w:multiLevelType w:val="hybridMultilevel"/>
    <w:lvl w:ilvl="0">
      <w:lvlJc w:val="left"/>
      <w:lvlText w:val="(%1)"/>
      <w:numFmt w:val="lowerRoman"/>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2019-12-19T21:31:27Z</dcterms:created>
  <dcterms:modified xsi:type="dcterms:W3CDTF">2019-12-19T21:31:27Z</dcterms:modified>
</cp:coreProperties>
</file>