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_________________________________________________________________________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spacing w:lineRule="auto" w:line="288" w:before="0" w:after="0"/>
        <w:jc w:val="center"/>
        <w:rPr/>
      </w:pPr>
      <w:r>
        <w:rPr>
          <w:rFonts w:ascii="Times New Roman;sans-serif" w:hAnsi="Times New Roman;sans-serif"/>
          <w:b/>
          <w:color w:val="000000"/>
          <w:sz w:val="28"/>
        </w:rPr>
        <w:t>SECURITIES AND EXCHANGE COMMISSION</w:t>
      </w:r>
      <w:r>
        <w:rPr>
          <w:color w:val="000000"/>
        </w:rPr>
        <w:t xml:space="preserve">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8-K/A</w:t>
      </w:r>
    </w:p>
    <w:p>
      <w:pPr>
        <w:pStyle w:val="TextBody"/>
        <w:spacing w:lineRule="auto" w:line="288" w:before="0" w:after="0"/>
        <w:jc w:val="center"/>
        <w:rPr/>
      </w:pPr>
      <w:r>
        <w:rPr>
          <w:rFonts w:ascii="Times New Roman;sans-serif" w:hAnsi="Times New Roman;sans-serif"/>
          <w:b/>
          <w:color w:val="000000"/>
          <w:sz w:val="24"/>
        </w:rPr>
        <w:t>(Amendment No. 1)</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26,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w:t>
      </w:r>
    </w:p>
    <w:tbl>
      <w:tblPr>
        <w:tblW w:w="4635" w:type="dxa"/>
        <w:jc w:val="center"/>
        <w:tblInd w:w="0" w:type="dxa"/>
        <w:tblCellMar>
          <w:top w:w="28" w:type="dxa"/>
          <w:left w:w="28" w:type="dxa"/>
          <w:bottom w:w="28" w:type="dxa"/>
          <w:right w:w="28" w:type="dxa"/>
        </w:tblCellMar>
      </w:tblPr>
      <w:tblGrid>
        <w:gridCol w:w="1483"/>
        <w:gridCol w:w="1304"/>
        <w:gridCol w:w="1848"/>
      </w:tblGrid>
      <w:tr>
        <w:trPr/>
        <w:tc>
          <w:tcPr>
            <w:tcW w:w="1483"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Analog Devices, Inc.</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46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tbl>
      <w:tblPr>
        <w:tblW w:w="5872" w:type="dxa"/>
        <w:jc w:val="center"/>
        <w:tblInd w:w="0" w:type="dxa"/>
        <w:tblCellMar>
          <w:top w:w="28" w:type="dxa"/>
          <w:left w:w="28" w:type="dxa"/>
          <w:bottom w:w="28" w:type="dxa"/>
          <w:right w:w="28" w:type="dxa"/>
        </w:tblCellMar>
      </w:tblPr>
      <w:tblGrid>
        <w:gridCol w:w="847"/>
        <w:gridCol w:w="746"/>
        <w:gridCol w:w="747"/>
        <w:gridCol w:w="109"/>
        <w:gridCol w:w="109"/>
        <w:gridCol w:w="109"/>
        <w:gridCol w:w="408"/>
        <w:gridCol w:w="408"/>
        <w:gridCol w:w="413"/>
        <w:gridCol w:w="109"/>
        <w:gridCol w:w="109"/>
        <w:gridCol w:w="109"/>
        <w:gridCol w:w="481"/>
        <w:gridCol w:w="481"/>
        <w:gridCol w:w="687"/>
      </w:tblGrid>
      <w:tr>
        <w:trPr/>
        <w:tc>
          <w:tcPr>
            <w:tcW w:w="84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1-7819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04-2348234</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 xml:space="preserve">of Incorporation)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r>
    </w:tbl>
    <w:tbl>
      <w:tblPr>
        <w:tblW w:w="4391" w:type="dxa"/>
        <w:jc w:val="center"/>
        <w:tblInd w:w="0" w:type="dxa"/>
        <w:tblCellMar>
          <w:top w:w="28" w:type="dxa"/>
          <w:left w:w="28" w:type="dxa"/>
          <w:bottom w:w="28" w:type="dxa"/>
          <w:right w:w="28" w:type="dxa"/>
        </w:tblCellMar>
      </w:tblPr>
      <w:tblGrid>
        <w:gridCol w:w="612"/>
        <w:gridCol w:w="539"/>
        <w:gridCol w:w="543"/>
        <w:gridCol w:w="407"/>
        <w:gridCol w:w="407"/>
        <w:gridCol w:w="409"/>
        <w:gridCol w:w="146"/>
        <w:gridCol w:w="146"/>
        <w:gridCol w:w="147"/>
        <w:gridCol w:w="303"/>
        <w:gridCol w:w="303"/>
        <w:gridCol w:w="429"/>
      </w:tblGrid>
      <w:tr>
        <w:trPr/>
        <w:tc>
          <w:tcPr>
            <w:tcW w:w="61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439"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One Analog Way,</w:t>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Wilmington,</w:t>
            </w:r>
          </w:p>
        </w:tc>
        <w:tc>
          <w:tcPr>
            <w:tcW w:w="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01887</w:t>
            </w:r>
          </w:p>
        </w:tc>
      </w:tr>
      <w:tr>
        <w:trPr/>
        <w:tc>
          <w:tcPr>
            <w:tcW w:w="33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439"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(781) 329-4700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tbl>
      <w:tblPr>
        <w:tblW w:w="5355" w:type="dxa"/>
        <w:jc w:val="center"/>
        <w:tblInd w:w="0" w:type="dxa"/>
        <w:tblCellMar>
          <w:top w:w="28" w:type="dxa"/>
          <w:left w:w="28" w:type="dxa"/>
          <w:bottom w:w="28" w:type="dxa"/>
          <w:right w:w="28" w:type="dxa"/>
        </w:tblCellMar>
      </w:tblPr>
      <w:tblGrid>
        <w:gridCol w:w="1712"/>
        <w:gridCol w:w="1503"/>
        <w:gridCol w:w="2140"/>
      </w:tblGrid>
      <w:tr>
        <w:trPr/>
        <w:tc>
          <w:tcPr>
            <w:tcW w:w="1712"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______________________________________________________________________________________________________</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 xml:space="preserve">Written communications pursuant to Rule 425 under the Securities Act (17 CFR 230.425)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 xml:space="preserve">Soliciting material pursuant to Rule 14a-12 under the Exchange Act (17 CFR 240.14a-12)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 xml:space="preserve">Pre-commencement communications pursuant to Rule 14d-2(b) under the Exchange Act (17 CFR 240.14d-2(b))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 xml:space="preserve">Pre-commencement communications pursuant to Rule 13e-4(c) under the Exchange Act (17 CFR 240.13e-4(c))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28" w:type="dxa"/>
        <w:jc w:val="left"/>
        <w:tblInd w:w="0" w:type="dxa"/>
        <w:tblCellMar>
          <w:top w:w="28" w:type="dxa"/>
          <w:left w:w="28" w:type="dxa"/>
          <w:bottom w:w="28" w:type="dxa"/>
          <w:right w:w="28" w:type="dxa"/>
        </w:tblCellMar>
      </w:tblPr>
      <w:tblGrid>
        <w:gridCol w:w="1360"/>
        <w:gridCol w:w="1195"/>
        <w:gridCol w:w="1209"/>
        <w:gridCol w:w="314"/>
        <w:gridCol w:w="314"/>
        <w:gridCol w:w="316"/>
        <w:gridCol w:w="736"/>
        <w:gridCol w:w="736"/>
        <w:gridCol w:w="1048"/>
      </w:tblGrid>
      <w:tr>
        <w:trPr/>
        <w:tc>
          <w:tcPr>
            <w:tcW w:w="1360"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Trading </w:t>
              <w:br/>
              <w:t>Symbol(s)</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each exchange </w:t>
              <w:br/>
              <w:t>on which registered</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$0.16 2/3 par value per share</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ADI</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reported in the Current Report on Form 8-K filed with the Securities and Exchange Commission (the “SEC”) by Analog Devices, Inc. (the “Company”) on August 26, 2021 (the “Original Filing”), the Company completed the acquisition of Maxim Integrated Products, Inc. (“Maxim”) on the same date. This Amendment No. 1 amends and supplements the Original Filing to provide the historical financial statements of Maxim and the pro forma financial information required by Item 9.01 of Form 8-K that were omitted from the Original Filing as permitted by Item 9.01(a)(3).</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9.01.     Financial Statements and Exhibits</w:t>
      </w:r>
      <w:r>
        <w:rPr>
          <w:color w:val="000000"/>
        </w:rPr>
        <w:t xml:space="preserve">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(a) Financial Statements of Business Acquired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Attached hereto and incorporated by reference herein are the following exhibits, which contain the financial statements required to be filed pursuant to Rule 3-05 of Regulation S-X and are incorporated by reference:</w:t>
      </w:r>
    </w:p>
    <w:p>
      <w:pPr>
        <w:pStyle w:val="TextBody"/>
        <w:spacing w:before="0" w:after="0"/>
        <w:rPr/>
      </w:pPr>
      <w:r>
        <w:rPr/>
      </w:r>
    </w:p>
    <w:p>
      <w:pPr>
        <w:pStyle w:val="TextBody"/>
        <w:spacing w:lineRule="auto" w:line="268" w:before="0" w:after="0"/>
        <w:ind w:left="0" w:right="0" w:hanging="540"/>
        <w:rPr/>
      </w:pPr>
      <w:r>
        <w:rPr>
          <w:rFonts w:ascii="Times New Roman;sans-serif" w:hAnsi="Times New Roman;sans-serif"/>
          <w:b w:val="false"/>
          <w:color w:val="000000"/>
          <w:sz w:val="20"/>
        </w:rPr>
        <w:t xml:space="preserve">99.2    Audited Consolidated Financial Statements of Maxim as of June 26, 2021 and June 27, 2020 and for the three years in the period ended June 26, 2021, and the related notes to such audited consolidated financial statements, including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 xml:space="preserve">and Item 15-2-a </w:t>
      </w:r>
      <w:r>
        <w:rPr>
          <w:rFonts w:ascii="Times New Roman;sans-serif" w:hAnsi="Times New Roman;sans-serif"/>
          <w:b w:val="false"/>
          <w:i/>
          <w:color w:val="000000"/>
          <w:sz w:val="20"/>
        </w:rPr>
        <w:t xml:space="preserve">Financial Statement Schedule </w:t>
      </w:r>
      <w:r>
        <w:rPr>
          <w:rFonts w:ascii="Times New Roman;sans-serif" w:hAnsi="Times New Roman;sans-serif"/>
          <w:b w:val="false"/>
          <w:color w:val="000000"/>
          <w:sz w:val="20"/>
        </w:rPr>
        <w:t>filed as part of Maxim's Annual Report on Form 10-K for the fiscal year ended June 26, 2021 filed with the SEC on August 20,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Pro forma financial information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Attached hereto and incorporated by reference herein is the following exhibit, which contains the pro forma financial information of the Company required to be filed and is incorporated by reference: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99.3    Unaudited pro forma condensed combined statements of income for the fiscal year ended October 31, 2020, and for the nine months ended July 31, 2021, which gives effect to the acquisition of Maxim as if it had occurred on November 3, 2019, the unaudited pro forma condensed combined balance sheet as of July 31, 2021, which gives effect to the acquisition of Maxim as if it had occurred on July 31, 2021, and the related notes to such unaudited pro forma condensed combined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with this Current Report:</w:t>
      </w:r>
    </w:p>
    <w:tbl>
      <w:tblPr>
        <w:tblW w:w="10205" w:type="dxa"/>
        <w:jc w:val="left"/>
        <w:tblInd w:w="0" w:type="dxa"/>
        <w:tblCellMar>
          <w:top w:w="28" w:type="dxa"/>
          <w:left w:w="28" w:type="dxa"/>
          <w:bottom w:w="28" w:type="dxa"/>
          <w:right w:w="28" w:type="dxa"/>
        </w:tblCellMar>
      </w:tblPr>
      <w:tblGrid>
        <w:gridCol w:w="287"/>
        <w:gridCol w:w="252"/>
        <w:gridCol w:w="254"/>
        <w:gridCol w:w="109"/>
        <w:gridCol w:w="109"/>
        <w:gridCol w:w="109"/>
        <w:gridCol w:w="3176"/>
        <w:gridCol w:w="2437"/>
        <w:gridCol w:w="3472"/>
      </w:tblGrid>
      <w:tr>
        <w:trPr/>
        <w:tc>
          <w:tcPr>
            <w:tcW w:w="28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6"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472" w:type="dxa"/>
            <w:tcBorders/>
            <w:shd w:fill="auto" w:val="clear"/>
            <w:vAlign w:val="center"/>
          </w:tcPr>
          <w:p>
            <w:pPr>
              <w:pStyle w:val="TableContents"/>
              <w:spacing w:before="0" w:after="283"/>
              <w:rPr>
                <w:sz w:val="4"/>
                <w:szCs w:val="4"/>
              </w:rPr>
            </w:pPr>
            <w:r>
              <w:rPr>
                <w:sz w:val="4"/>
                <w:szCs w:val="4"/>
              </w:rPr>
            </w:r>
          </w:p>
        </w:tc>
      </w:tr>
      <w:tr>
        <w:trPr/>
        <w:tc>
          <w:tcPr>
            <w:tcW w:w="7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5" w:type="dxa"/>
            <w:gridSpan w:val="3"/>
            <w:tcBorders/>
            <w:shd w:fill="auto" w:val="clear"/>
            <w:vAlign w:val="center"/>
          </w:tcPr>
          <w:p>
            <w:pPr>
              <w:pStyle w:val="TableContents"/>
              <w:spacing w:before="0" w:after="283"/>
              <w:rPr>
                <w:sz w:val="4"/>
                <w:szCs w:val="4"/>
              </w:rPr>
            </w:pPr>
            <w:r>
              <w:rPr>
                <w:sz w:val="4"/>
                <w:szCs w:val="4"/>
              </w:rPr>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EE2724"/>
              </w:rPr>
            </w:pPr>
            <w:r>
              <w:rPr>
                <w:color w:val="EE2724"/>
              </w:rPr>
              <w:t xml:space="preserve">  </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Agreement and Plan of Merger</w:t>
              </w:r>
            </w:hyperlink>
            <w:r>
              <w:rPr>
                <w:rFonts w:ascii="Times New Roman;sans-serif" w:hAnsi="Times New Roman;sans-serif"/>
                <w:b w:val="false"/>
                <w:color w:val="000000"/>
                <w:sz w:val="20"/>
              </w:rPr>
              <w:t>, dated as of July 12, 2020, by and among Analog Devices, Inc., Maxim Integrated Products, Inc. and Magneto Corp. (incorporated by reference to Exhibit 2.1 of the Company’s Current Report on Form 8-K filed with the SEC on July 15, 2020).</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06" w:before="0" w:after="0"/>
              <w:jc w:val="left"/>
              <w:rPr/>
            </w:pPr>
            <w:hyperlink w:anchor="ex23-pwcconsent.htm">
              <w:r>
                <w:rPr>
                  <w:rStyle w:val="InternetLink"/>
                  <w:rFonts w:ascii="Times New Roman;sans-serif" w:hAnsi="Times New Roman;sans-serif"/>
                  <w:b w:val="false"/>
                  <w:color w:val="0000FF"/>
                  <w:sz w:val="20"/>
                  <w:u w:val="single"/>
                </w:rPr>
                <w:t>Consent of PricewaterhouseCoopers LLP</w:t>
              </w:r>
            </w:hyperlink>
            <w:r>
              <w:rPr>
                <w:rFonts w:ascii="Times New Roman;sans-serif" w:hAnsi="Times New Roman;sans-serif"/>
                <w:b w:val="false"/>
                <w:color w:val="000000"/>
                <w:sz w:val="20"/>
              </w:rPr>
              <w:t>.</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
              <w:r>
                <w:rPr>
                  <w:rStyle w:val="InternetLink"/>
                  <w:rFonts w:ascii="Times New Roman;sans-serif" w:hAnsi="Times New Roman;sans-serif"/>
                  <w:b w:val="false"/>
                  <w:color w:val="0000FF"/>
                  <w:sz w:val="20"/>
                  <w:u w:val="single"/>
                </w:rPr>
                <w:t>Press release</w:t>
              </w:r>
            </w:hyperlink>
            <w:r>
              <w:rPr>
                <w:rFonts w:ascii="Times New Roman;sans-serif" w:hAnsi="Times New Roman;sans-serif"/>
                <w:b w:val="false"/>
                <w:color w:val="000000"/>
                <w:sz w:val="20"/>
              </w:rPr>
              <w:t xml:space="preserve">, dated August 26, 2021. </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Audited consolidated financial statements of Maxim</w:t>
              </w:r>
            </w:hyperlink>
            <w:r>
              <w:rPr>
                <w:color w:val="000000"/>
              </w:rPr>
              <w:t xml:space="preserve"> </w:t>
            </w:r>
            <w:r>
              <w:rPr>
                <w:rFonts w:ascii="Times New Roman;sans-serif" w:hAnsi="Times New Roman;sans-serif"/>
                <w:b w:val="false"/>
                <w:color w:val="000000"/>
                <w:sz w:val="20"/>
              </w:rPr>
              <w:t xml:space="preserve">as of June 26, 2021 and June 27, 2020 and for the three years in the period ended June 26, 2021, and the related notes to such audited consolidated financial statements, including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 xml:space="preserve">and Item 15-2-a </w:t>
            </w:r>
            <w:r>
              <w:rPr>
                <w:rFonts w:ascii="Times New Roman;sans-serif" w:hAnsi="Times New Roman;sans-serif"/>
                <w:b w:val="false"/>
                <w:i/>
                <w:color w:val="000000"/>
                <w:sz w:val="20"/>
              </w:rPr>
              <w:t xml:space="preserve">Financial Statement Schedule </w:t>
            </w:r>
            <w:r>
              <w:rPr>
                <w:rFonts w:ascii="Times New Roman;sans-serif" w:hAnsi="Times New Roman;sans-serif"/>
                <w:b w:val="false"/>
                <w:color w:val="000000"/>
                <w:sz w:val="20"/>
              </w:rPr>
              <w:t>(incorporated by reference to Maxim’s Annual Report on Form 10-K for the fiscal year ended June 26, 2021 filed with the SEC on August 20, 2021).</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3.htm">
              <w:r>
                <w:rPr>
                  <w:rStyle w:val="InternetLink"/>
                  <w:rFonts w:ascii="Times New Roman;sans-serif" w:hAnsi="Times New Roman;sans-serif"/>
                  <w:b w:val="false"/>
                  <w:color w:val="0000FF"/>
                  <w:sz w:val="20"/>
                  <w:u w:val="single"/>
                </w:rPr>
                <w:t>Unaudited pro forma condensed combined statements of income</w:t>
              </w:r>
            </w:hyperlink>
            <w:r>
              <w:rPr>
                <w:color w:val="000000"/>
              </w:rPr>
              <w:t xml:space="preserve"> </w:t>
            </w:r>
            <w:r>
              <w:rPr>
                <w:rFonts w:ascii="Times New Roman;sans-serif" w:hAnsi="Times New Roman;sans-serif"/>
                <w:b w:val="false"/>
                <w:color w:val="000000"/>
                <w:sz w:val="20"/>
              </w:rPr>
              <w:t>for the fiscal year ended October 31, 2020, and for the nine months ended July 31, 2021, which gives effect to the acquisition of Maxim as if it had occurred on November 3, 2019, the unaudited pro forma condensed combined balance sheet as of July 31, 2021, which gives effect to the acquisition of Maxim as if it had occurred on July 31, 2021, and the related notes to such unaudited pro forma condensed combined financial statements.</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r>
      <w:tr>
        <w:trPr/>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Labels Linkbase Document.**</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6"/>
        <w:gridCol w:w="242"/>
        <w:gridCol w:w="244"/>
        <w:gridCol w:w="109"/>
        <w:gridCol w:w="109"/>
        <w:gridCol w:w="109"/>
        <w:gridCol w:w="2682"/>
        <w:gridCol w:w="2656"/>
        <w:gridCol w:w="3778"/>
      </w:tblGrid>
      <w:tr>
        <w:trPr/>
        <w:tc>
          <w:tcPr>
            <w:tcW w:w="27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3778" w:type="dxa"/>
            <w:tcBorders/>
            <w:shd w:fill="auto" w:val="cle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 as an exhibit to the Original Filing.</w:t>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Submitted electronically herewith.</w:t>
            </w:r>
          </w:p>
        </w:tc>
      </w:tr>
    </w:tbl>
    <w:p>
      <w:pPr>
        <w:pStyle w:val="TextBody"/>
        <w:spacing w:before="0" w:after="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219" w:type="dxa"/>
        <w:jc w:val="left"/>
        <w:tblInd w:w="0" w:type="dxa"/>
        <w:tblCellMar>
          <w:top w:w="28" w:type="dxa"/>
          <w:left w:w="28" w:type="dxa"/>
          <w:bottom w:w="28" w:type="dxa"/>
          <w:right w:w="28" w:type="dxa"/>
        </w:tblCellMar>
      </w:tblPr>
      <w:tblGrid>
        <w:gridCol w:w="200"/>
        <w:gridCol w:w="177"/>
        <w:gridCol w:w="178"/>
        <w:gridCol w:w="574"/>
        <w:gridCol w:w="574"/>
        <w:gridCol w:w="576"/>
        <w:gridCol w:w="246"/>
        <w:gridCol w:w="246"/>
        <w:gridCol w:w="246"/>
        <w:gridCol w:w="805"/>
        <w:gridCol w:w="805"/>
        <w:gridCol w:w="805"/>
        <w:gridCol w:w="805"/>
        <w:gridCol w:w="805"/>
        <w:gridCol w:w="805"/>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24, 2021</w:t>
            </w:r>
          </w:p>
        </w:tc>
        <w:tc>
          <w:tcPr>
            <w:tcW w:w="556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ANALOG DEVICES, INC.</w:t>
              <w:b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83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Prashanth Mahendra-Rajah</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3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Prashanth Mahendra-Rajah</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3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333-235864) and Form S-8 (Nos. 333-08505, 333-08509, 333-17651, 333-87053, 333-48928, 333-51530, 333-53660, and 333-235864) and Form S-8 (Nos. 2-63561, 2-90023, 33-4067, 33-22604, 33-22605, 33-29484, 33-39851, 33-39852, 33-46521, 33-60642, 33-60696, 33-61427, 33-64849, 333-04771, 333-04819, 333-04821, 333-47787, 333-47789, 333-48243, 333-57444, 333-69359, 333-79551, 333-87055, 333-40224, 333-40222, 333-50092, 333-53314, 333-53828, 333-75170, 333-113510, 333-132409, 333-156309, 333-163653, 333-181951, 333-194556, 333-216696, 333-237083 and 333-259081) of Analog Devices, Inc. of our report dated August 20, 2021 relating to the financial statements, financial statement schedule and the effectiveness of internal control over financial reporting of Maxim Integrated Products, Inc., which appears in Analog Devices, Inc.’s Current Report on Form 8-K dated August 26, 2021.</w:t>
      </w:r>
    </w:p>
    <w:p>
      <w:pPr>
        <w:pStyle w:val="TextBody"/>
        <w:spacing w:before="0" w:after="0"/>
        <w:rPr/>
      </w:pPr>
      <w:r>
        <w:rPr/>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San Jose, California </w:t>
      </w:r>
    </w:p>
    <w:p>
      <w:pPr>
        <w:pStyle w:val="TextBody"/>
        <w:spacing w:lineRule="auto" w:line="256"/>
        <w:rPr>
          <w:rFonts w:ascii="Times New Roman;sans-serif" w:hAnsi="Times New Roman;sans-serif"/>
          <w:b w:val="false"/>
          <w:color w:val="000000"/>
          <w:sz w:val="20"/>
        </w:rPr>
      </w:pPr>
      <w:r>
        <w:rPr>
          <w:rFonts w:ascii="Times New Roman;sans-serif" w:hAnsi="Times New Roman;sans-serif"/>
          <w:b w:val="false"/>
          <w:color w:val="000000"/>
          <w:sz w:val="20"/>
        </w:rPr>
        <w:t>September 24,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99.3</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pPr>
      <w:r>
        <w:rPr>
          <w:rFonts w:ascii="Times New Roman;sans-serif" w:hAnsi="Times New Roman;sans-serif"/>
          <w:b/>
          <w:color w:val="000000"/>
          <w:sz w:val="24"/>
        </w:rPr>
        <w:t>UNAUDITED PRO FORMA CONDENSED COMBINED FINANCIAL STATEMENTS</w:t>
      </w:r>
      <w:r>
        <w:rPr>
          <w:color w:val="000000"/>
        </w:rPr>
        <w:t xml:space="preserve"> </w:t>
      </w:r>
    </w:p>
    <w:p>
      <w:pPr>
        <w:pStyle w:val="TextBody"/>
        <w:spacing w:before="0" w:after="0"/>
        <w:rPr/>
      </w:pPr>
      <w:r>
        <w:rPr/>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following tables present unaudited pro forma condensed combined financial information about Analog Devices, Inc.’s (“Analog Devices”) consolidated balance sheet and statements of income, after giving effect to the merger (the “Merger”) with Maxim Integrated Products, Inc. (“Maxim”). The unaudited pro forma condensed combined financial information is derived from and should be read in conjunction with:</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consolidated financial statements and related notes of Analog Devices as of and for the year ended October 31, 2020 included in Analog Devices’ Annual Report on Form 10-K, filed with the Securities and Exchange Commission (the “SEC”) on November 24, 2020;</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condensed consolidated financial statements and related notes of Analog Devices as of and for the nine months July 31, 2021 included in Analog Devices’ Quarterly Report on Form 10-Q, filed with the SEC on August 18, 2021;</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consolidated financial statements and related notes of Maxim as of and for the year ended June 26, 2021 included in Maxim’s Annual Report on Form 10-K, filed with the SEC on August 20, 2021;</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consolidated financial statements and related notes of Maxim as of and for the year ended June 27, 2020 included in Maxim’s Annual Report on Form 10-K, filed with the SEC on August 19, 2020;</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condensed consolidated financial statements and related notes of Maxim as of and for the three months ended September 26, 2020 included in Maxim’s Quarterly Report on Form 10-Q, filed with the SEC on October 28, 2020; and</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the historical condensed consolidated financial statements and related notes of Maxim as of and for the three months ended September 28, 2019 included in Maxim’s Quarterly Report on Form 10-Q, filed with the SEC on October 30, 2019.</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unaudited pro forma condensed combined balance sheet as of July 31, 2021 and the unaudited pro forma condensed combined statements of income for the nine months ended July 31, 2021 and the year ended October 31, 2020, respectively, are presented herein. The unaudited pro forma condensed combined balance sheet combines the unaudited condensed consolidated balance sheet of Analog Devices as of July 31, 2021 and audited consolidated balance sheet of Maxim as of June 26, 2021, and gives effect to the Merger as if it had been completed on July 31, 2021. The unaudited pro forma condensed combined statements of income combine the historical results of Analog Devices and Maxim for the nine months ended July 31, 2021 and June 26, 2021, respectively, and the twelve months ended October 31, 2020 and September 26, 2020, respectively, and gives effect to the Merger as if it occurred on November 3, 2019. The historical financial information has been adjusted to give effect to pro forma adjustments that are (i) directly attributable to the Merger, (ii) factually supportable, and (iii) with respect to the unaudited pro forma condensed combined statements of income, expected to have a continuing impact on the combined entity’s consolidated results.</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The unaudited pro forma condensed combined financial information presented is based on the assumptions and adjustments described in the accompanying notes. The unaudited pro forma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88" w:before="0" w:after="120"/>
        <w:rPr/>
      </w:pPr>
      <w:r>
        <w:rPr>
          <w:rFonts w:ascii="Times New Roman;sans-serif" w:hAnsi="Times New Roman;sans-serif"/>
          <w:b w:val="false"/>
          <w:color w:val="000000"/>
          <w:sz w:val="24"/>
        </w:rPr>
        <w:t xml:space="preserve">condensed combined financial information is presented for illustrative purposes and does not purport to represent what the financial position or results of operations would actually have been if the Merger occurred as of the dates indicated or what the financial position or results would be for any future periods. The unaudited pro forma condensed combined financial information is based upon the respective historical consolidated financial statements of Analog Devices and Maxim as described further in Note 2, </w:t>
      </w:r>
      <w:r>
        <w:rPr>
          <w:rFonts w:ascii="Times New Roman;sans-serif" w:hAnsi="Times New Roman;sans-serif"/>
          <w:b w:val="false"/>
          <w:i/>
          <w:color w:val="000000"/>
          <w:sz w:val="24"/>
        </w:rPr>
        <w:t>Basis of Pro Forma Presentation</w:t>
      </w:r>
      <w:r>
        <w:rPr>
          <w:rFonts w:ascii="Times New Roman;sans-serif" w:hAnsi="Times New Roman;sans-serif"/>
          <w:b w:val="false"/>
          <w:color w:val="000000"/>
          <w:sz w:val="24"/>
        </w:rPr>
        <w:t>.</w:t>
      </w:r>
    </w:p>
    <w:p>
      <w:pPr>
        <w:pStyle w:val="TextBody"/>
        <w:spacing w:lineRule="auto" w:line="288" w:before="0" w:after="120"/>
        <w:ind w:left="0" w:right="0" w:firstLine="360"/>
        <w:rPr/>
      </w:pPr>
      <w:r>
        <w:rPr>
          <w:rFonts w:ascii="Times New Roman;sans-serif" w:hAnsi="Times New Roman;sans-serif"/>
          <w:b w:val="false"/>
          <w:color w:val="000000"/>
          <w:sz w:val="24"/>
        </w:rPr>
        <w:t>The Merger will be accounted for as a business combination using the acquisition method of accounting under the provisions of Accounting Standards Codification (“ASC”) 805, “</w:t>
      </w:r>
      <w:r>
        <w:rPr>
          <w:rFonts w:ascii="Times New Roman;sans-serif" w:hAnsi="Times New Roman;sans-serif"/>
          <w:b w:val="false"/>
          <w:i/>
          <w:color w:val="000000"/>
          <w:sz w:val="24"/>
        </w:rPr>
        <w:t>Business Combinations</w:t>
      </w:r>
      <w:r>
        <w:rPr>
          <w:color w:val="000000"/>
        </w:rPr>
        <w:t xml:space="preserve">” </w:t>
      </w:r>
      <w:r>
        <w:rPr>
          <w:rFonts w:ascii="Times New Roman;sans-serif" w:hAnsi="Times New Roman;sans-serif"/>
          <w:b w:val="false"/>
          <w:color w:val="000000"/>
          <w:sz w:val="24"/>
        </w:rPr>
        <w:t>(“ASC 805”), with Analog Devices representing the accounting acquirer under this guidance. The following unaudited pro forma condensed combined financial information primarily gives effect to:</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Application of the acquisition method of accounting in connection with the Merger; and</w:t>
      </w:r>
    </w:p>
    <w:p>
      <w:pPr>
        <w:pStyle w:val="TextBody"/>
        <w:spacing w:lineRule="auto" w:line="288" w:before="0" w:after="120"/>
        <w:ind w:left="0" w:right="0" w:hanging="720"/>
        <w:rPr/>
      </w:pPr>
      <w:r>
        <w:rPr>
          <w:color w:val="000000"/>
        </w:rPr>
        <w:t>•</w:t>
      </w:r>
      <w:r>
        <w:rPr>
          <w:rFonts w:ascii="Times New Roman;sans-serif" w:hAnsi="Times New Roman;sans-serif"/>
          <w:b w:val="false"/>
          <w:color w:val="000000"/>
          <w:sz w:val="24"/>
        </w:rPr>
        <w:t>Transaction costs incurred in connection with the Merger.</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unaudited pro forma condensed combined financial information includes adjustments that are preliminary and may be revised. There can be no assurance that such revisions will not result in material changes. The unaudited pro forma condensed combined financial information is presented for illustrative purposes only and is not necessarily indicative of the results or financial position that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because of various factors, including those discussed in the section entitled “Risk Factors,” of Analog Devices’ Quarterly Report on Form 10-Q, filed with the SEC on August 18, 2021.</w:t>
      </w:r>
    </w:p>
    <w:p>
      <w:pPr>
        <w:pStyle w:val="TextBody"/>
        <w:spacing w:lineRule="auto" w:line="288" w:before="0" w:after="120"/>
        <w:ind w:left="0" w:right="0" w:firstLine="360"/>
        <w:rPr/>
      </w:pPr>
      <w:r>
        <w:rPr>
          <w:rFonts w:ascii="Times New Roman;sans-serif" w:hAnsi="Times New Roman;sans-serif"/>
          <w:b w:val="false"/>
          <w:color w:val="000000"/>
          <w:sz w:val="24"/>
        </w:rPr>
        <w:t xml:space="preserve">The unaudited pro forma condensed combined financial information has been compiled in a manner consistent with the accounting policies adopted by Analog Devices. Known accounting policy differences have been adjusted for as described in Note 4, </w:t>
      </w:r>
      <w:r>
        <w:rPr>
          <w:rFonts w:ascii="Times New Roman;sans-serif" w:hAnsi="Times New Roman;sans-serif"/>
          <w:b w:val="false"/>
          <w:i/>
          <w:color w:val="000000"/>
          <w:sz w:val="24"/>
        </w:rPr>
        <w:t xml:space="preserve">Conforming Accounting Policies </w:t>
      </w:r>
      <w:r>
        <w:rPr>
          <w:rFonts w:ascii="Times New Roman;sans-serif" w:hAnsi="Times New Roman;sans-serif"/>
          <w:b w:val="false"/>
          <w:color w:val="000000"/>
          <w:sz w:val="24"/>
        </w:rPr>
        <w:t>for additional information. As more information continues to become available following completion of the Merger, Analog Devices will continue to perform a more detailed assessment of the Maxim accounting policies. As a result of that assessment, differences could be identified between the accounting policies of the two companies that, when conformed, could have a material impact on the combined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ANALOG DEVICES,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CONDENSED COMBINED BALANCE SHEET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JULY 31,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807"/>
        <w:gridCol w:w="449"/>
        <w:gridCol w:w="451"/>
        <w:gridCol w:w="109"/>
        <w:gridCol w:w="109"/>
        <w:gridCol w:w="109"/>
        <w:gridCol w:w="196"/>
        <w:gridCol w:w="962"/>
        <w:gridCol w:w="109"/>
        <w:gridCol w:w="109"/>
        <w:gridCol w:w="109"/>
        <w:gridCol w:w="109"/>
        <w:gridCol w:w="214"/>
        <w:gridCol w:w="955"/>
        <w:gridCol w:w="119"/>
        <w:gridCol w:w="109"/>
        <w:gridCol w:w="109"/>
        <w:gridCol w:w="109"/>
        <w:gridCol w:w="258"/>
        <w:gridCol w:w="1269"/>
        <w:gridCol w:w="143"/>
        <w:gridCol w:w="109"/>
        <w:gridCol w:w="109"/>
        <w:gridCol w:w="109"/>
        <w:gridCol w:w="338"/>
        <w:gridCol w:w="338"/>
        <w:gridCol w:w="339"/>
        <w:gridCol w:w="109"/>
        <w:gridCol w:w="109"/>
        <w:gridCol w:w="109"/>
        <w:gridCol w:w="241"/>
        <w:gridCol w:w="1184"/>
        <w:gridCol w:w="198"/>
      </w:tblGrid>
      <w:tr>
        <w:trPr/>
        <w:tc>
          <w:tcPr>
            <w:tcW w:w="80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Analog Devices</w:t>
              <w:br/>
              <w:t>as of 7/31/21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Maxim </w:t>
              <w:br/>
              <w:t>as of 6/26/21 (Note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Adjustments for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 References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Condensed Combined</w:t>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2,291,399 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(10,208)</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5, 5 (i)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3,761,892 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658,829 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1,481,992 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616,386 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(a)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1,511,320 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159,714 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3,218,285 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6,914,918 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plant and equipment,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554,339 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184,662 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(b)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1,912,675 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105,562 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13,749,158 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26,590,596 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12,695,202 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16,011,002 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1,425,293 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120,937 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439,443 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17,377,061 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26,444,360 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44,571,896 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4,523,099 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27,235,200 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53,399,489 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1"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129,710 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395,643 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(28,379)</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331,644 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458,034 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197,135 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5 (e)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1,624,846 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1,324,677 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714,712 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3,676,810 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995,460 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4,820,279 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1,731,869 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5 (f) (g)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3,522,207 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266,564 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795,621 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570,094 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1,392,447 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1,731,869 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9,708,201 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 5 (h)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4,614,677 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27,883,113 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 5 (h) (i)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32,555,845 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2,370,900 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(2,589,759)</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5 (e) (h) (i)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7,594,000 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or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 (h)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(224,943)</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12,263,963 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2,415,940 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25,334,575 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40,014,478 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4,523,099 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27,235,200 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53,399,489 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See the accompanying notes to unaudited pro forma condensed combined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ANALOG DEVICES,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 PRO FORMA CONDENSED COMBINED STATEMENT OF INCOME</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YEAR ENDED OCTOBER 31, 2020</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except per share data)</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20"/>
        <w:gridCol w:w="472"/>
        <w:gridCol w:w="477"/>
        <w:gridCol w:w="109"/>
        <w:gridCol w:w="109"/>
        <w:gridCol w:w="109"/>
        <w:gridCol w:w="208"/>
        <w:gridCol w:w="926"/>
        <w:gridCol w:w="115"/>
        <w:gridCol w:w="109"/>
        <w:gridCol w:w="109"/>
        <w:gridCol w:w="109"/>
        <w:gridCol w:w="208"/>
        <w:gridCol w:w="926"/>
        <w:gridCol w:w="115"/>
        <w:gridCol w:w="109"/>
        <w:gridCol w:w="109"/>
        <w:gridCol w:w="109"/>
        <w:gridCol w:w="269"/>
        <w:gridCol w:w="1256"/>
        <w:gridCol w:w="149"/>
        <w:gridCol w:w="109"/>
        <w:gridCol w:w="109"/>
        <w:gridCol w:w="109"/>
        <w:gridCol w:w="342"/>
        <w:gridCol w:w="342"/>
        <w:gridCol w:w="343"/>
        <w:gridCol w:w="109"/>
        <w:gridCol w:w="109"/>
        <w:gridCol w:w="109"/>
        <w:gridCol w:w="255"/>
        <w:gridCol w:w="1136"/>
        <w:gridCol w:w="211"/>
      </w:tblGrid>
      <w:tr>
        <w:trPr/>
        <w:tc>
          <w:tcPr>
            <w:tcW w:w="82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Analog Devices</w:t>
              <w:br/>
              <w:t>12 Months Ended</w:t>
              <w:br/>
              <w:t>10/31/20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Maxim </w:t>
              <w:br/>
              <w:t>12 Months Ended</w:t>
              <w:br/>
              <w:t>9/26/20 (Note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Adjustments for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 References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Condensed Combined</w:t>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5,603,056 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2,277,712 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7,880,768 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1,912,578 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771,369 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982,844 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(a)(b)(c)(e)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3,666,791 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3,690,478 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1,506,343 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(982,844)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4,213,977 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1,050,519 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1,502,827 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659,923 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(30,632)</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(a)(b)(d)(e)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941,184 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429,455 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572,169 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1,004,865 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547,202 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3,513,955 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1,498,244 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731,824 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(1,530,046)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(income)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193,305 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210,469 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203,791 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1,311,617 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714,660 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(1,530,046)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90,856 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(175,142)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(f)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1,220,761 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(1,354,904)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549,909 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169,233 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537,866 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371,973 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172,430 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544,403 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See the accompanying notes to unaudited pro forma condensed combined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ANALOG DEVICES,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 PRO FORMA CONDENSED COMBINED STATEMENT OF INCOME</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NINE MONTHS ENDED JULY 31, 2021</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except per share data)</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31"/>
        <w:gridCol w:w="486"/>
        <w:gridCol w:w="491"/>
        <w:gridCol w:w="109"/>
        <w:gridCol w:w="109"/>
        <w:gridCol w:w="109"/>
        <w:gridCol w:w="205"/>
        <w:gridCol w:w="912"/>
        <w:gridCol w:w="114"/>
        <w:gridCol w:w="109"/>
        <w:gridCol w:w="109"/>
        <w:gridCol w:w="109"/>
        <w:gridCol w:w="205"/>
        <w:gridCol w:w="912"/>
        <w:gridCol w:w="114"/>
        <w:gridCol w:w="109"/>
        <w:gridCol w:w="109"/>
        <w:gridCol w:w="109"/>
        <w:gridCol w:w="289"/>
        <w:gridCol w:w="1195"/>
        <w:gridCol w:w="160"/>
        <w:gridCol w:w="109"/>
        <w:gridCol w:w="109"/>
        <w:gridCol w:w="109"/>
        <w:gridCol w:w="344"/>
        <w:gridCol w:w="344"/>
        <w:gridCol w:w="345"/>
        <w:gridCol w:w="109"/>
        <w:gridCol w:w="109"/>
        <w:gridCol w:w="109"/>
        <w:gridCol w:w="259"/>
        <w:gridCol w:w="1152"/>
        <w:gridCol w:w="212"/>
      </w:tblGrid>
      <w:tr>
        <w:trPr/>
        <w:tc>
          <w:tcPr>
            <w:tcW w:w="83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Analog Devices</w:t>
              <w:br/>
              <w:t>9 Months Ended</w:t>
              <w:br/>
              <w:t>7/31/21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w:t>
              <w:br/>
              <w:t>9 Months Ended</w:t>
              <w:br/>
              <w:t>6/26/21 (Note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Adjustments for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 References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Condensed Combined</w:t>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4,978,718 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2,013,172 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6,991,890 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1,575,526 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669,840 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743,577 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(a)(b)(c)(e)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2,988,943 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3,403,192 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1,343,332 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(743,577)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4,002,947 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897,005 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1,237,982 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597,963 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252,946 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(a)(b)(d)(e)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780,838 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323,217 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754,775 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1,809,996 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2,770,027 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1,593,196 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744,266 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(1,104,542)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1,232,920 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(income)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130,204 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139,131 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117,242 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1,484,881 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(1,104,542)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1,115,678 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(122,386)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(f)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125,352 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1,314,735 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(982,156)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990,326 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368,834 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169,233 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(g)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538,067 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compute earnings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372,457 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172,430 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 xml:space="preserve">6 (g)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544,887 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See the accompanying notes to unaudited pro forma condensed combined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NOTES TO UNAUDITED PRO FORMA CONDENSED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COMBINED FINANCIAL STATEMENTS</w:t>
      </w:r>
    </w:p>
    <w:p>
      <w:pPr>
        <w:pStyle w:val="TextBody"/>
        <w:spacing w:before="0" w:after="0"/>
        <w:jc w:val="center"/>
        <w:rPr/>
      </w:pPr>
      <w:r>
        <w:rPr/>
      </w: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1 – Description of the Merger</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On July 12, 2020, Analog Devices entered into an Agreement and Plan of Merger (the “Merger Agreement”) by and among Analog Devices, Magneto Corp, a wholly owned subsidiary of Analog Devices (“Merger Sub”), and Maxim. Upon the terms and subject to the conditions of the Merger Agreement, on August 26, 2021, Merger Sub merged with and into Maxim, with Maxim surviving the merger as a wholly owned subsidiary of Analog Devices. </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Under the terms of the Merger Agreement, all Maxim restricted stock units and Maxim restricted share awards (excluding any Maxim restricted stock unit awards and Maxim restricted share awards that by their terms became vested and were settled upon the effective time) outstanding as of and immediately prior to the effective time were converted into a restricted stock unit award or restricted share award, as applicable, with respect to a number of shares of Analog Devices common stock based on the per share merger consideration of 0.6300 of a share of Analog Devices common stock for each share of Maxim common stock subject to such award immediately prior to the effective time.</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All Maxim performance-based market stock units (which are referred to as “Maxim MSUs”) outstanding as of immediately prior to the effective time were converted into time-based restricted stock unit awards covering a number of shares of Analog Devices common stock based on the per share merger consideration of 0.6300 of a share of Analog Devices common stock for each share of Maxim common stock subject to the Maxim MSU immediately prior to the effective time (after giving effect to the applicable provisions, if any, of the award agreement governing such Maxim MSU upon the consummation of a “change in control”).</w:t>
      </w:r>
    </w:p>
    <w:p>
      <w:pPr>
        <w:pStyle w:val="TextBody"/>
        <w:spacing w:before="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2 — Basis of Pro Forma Presentation</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July 31, 2021 and Maxim as of June 26, 2021. Analog Devices has a 52-to-53-week fiscal year that ends on the Saturday closest to the last day in October and Maxim has a 52-to-53-week fiscal year that ends on the last Saturday of June. To comply with SEC rules and regulations for companies with different fiscal year ends, the pro forma condensed combined financial information has been prepared utilizing fiscal periods with end dates that differ by less than 93 days. The unaudited pro forma condensed combined statements of income were prepared using:</w: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the historical audited consolidated statement of income of Analog Devices for the year ended October 31, 2020;</w: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 xml:space="preserve">the historical unaudited condensed consolidated statement of income of Analog Devices for the nine months ended July 31, 2021;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the historical audited consolidated statement of income of Maxim for the year ended June 27, 2020;</w: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 xml:space="preserve">the historical audited consolidated statement of income of Maxim for the year ended June 26, 2021; </w: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the historical unaudited condensed consolidated statement of income of Maxim for the three months ended September 26, 2020; and</w:t>
      </w:r>
    </w:p>
    <w:p>
      <w:pPr>
        <w:pStyle w:val="TextBody"/>
        <w:spacing w:lineRule="auto" w:line="288" w:before="0" w:after="120"/>
        <w:ind w:left="0" w:right="0" w:hanging="900"/>
        <w:rPr/>
      </w:pPr>
      <w:r>
        <w:rPr>
          <w:color w:val="000000"/>
        </w:rPr>
        <w:t>•</w:t>
      </w:r>
      <w:r>
        <w:rPr>
          <w:rFonts w:ascii="Times New Roman;sans-serif" w:hAnsi="Times New Roman;sans-serif"/>
          <w:b w:val="false"/>
          <w:color w:val="000000"/>
          <w:sz w:val="24"/>
        </w:rPr>
        <w:t>the historical unaudited condensed consolidated statement of income of Maxim for the three months ended September 28, 2019.</w:t>
      </w:r>
    </w:p>
    <w:p>
      <w:pPr>
        <w:pStyle w:val="TextBody"/>
        <w:spacing w:lineRule="auto" w:line="288" w:before="0" w:after="120"/>
        <w:ind w:left="0" w:right="0" w:firstLine="360"/>
        <w:rPr/>
      </w:pPr>
      <w:r>
        <w:rPr>
          <w:rFonts w:ascii="Times New Roman;sans-serif" w:hAnsi="Times New Roman;sans-serif"/>
          <w:b w:val="false"/>
          <w:color w:val="000000"/>
          <w:sz w:val="24"/>
        </w:rPr>
        <w:t xml:space="preserve">Both Analog Devices and Maxim’s historical audited and unaudited financial statements were prepared in accordance with U.S. GAAP and are presented in thousands of U.S. dollars. The historical Maxim financial statements included within the unaudited pro forma condensed combined balance sheet and statements of income include certain reclassifications that were made to conform Maxim’s financial statement presentation to that of Analog Devices. See Note 3, </w:t>
      </w:r>
      <w:r>
        <w:rPr>
          <w:rFonts w:ascii="Times New Roman;sans-serif" w:hAnsi="Times New Roman;sans-serif"/>
          <w:b w:val="false"/>
          <w:i/>
          <w:color w:val="000000"/>
          <w:sz w:val="24"/>
        </w:rPr>
        <w:t>Reclassifications</w:t>
      </w:r>
      <w:r>
        <w:rPr>
          <w:color w:val="000000"/>
        </w:rPr>
        <w:t xml:space="preserve"> </w:t>
      </w:r>
      <w:r>
        <w:rPr>
          <w:rFonts w:ascii="Times New Roman;sans-serif" w:hAnsi="Times New Roman;sans-serif"/>
          <w:b w:val="false"/>
          <w:color w:val="000000"/>
          <w:sz w:val="24"/>
        </w:rPr>
        <w:t xml:space="preserve">for additional information. </w:t>
      </w:r>
    </w:p>
    <w:p>
      <w:pPr>
        <w:pStyle w:val="TextBody"/>
        <w:spacing w:lineRule="auto" w:line="288" w:before="0" w:after="120"/>
        <w:ind w:left="0" w:right="0" w:firstLine="360"/>
        <w:rPr/>
      </w:pPr>
      <w:r>
        <w:rPr>
          <w:rFonts w:ascii="Times New Roman;sans-serif" w:hAnsi="Times New Roman;sans-serif"/>
          <w:b w:val="false"/>
          <w:color w:val="000000"/>
          <w:sz w:val="24"/>
        </w:rPr>
        <w:t xml:space="preserve">The acquisition of Maxim by Analog Devices will be accounted for as a business combination using the acquisition method of accounting under the provisions of ASC 805, </w:t>
      </w:r>
      <w:r>
        <w:rPr>
          <w:rFonts w:ascii="Times New Roman;sans-serif" w:hAnsi="Times New Roman;sans-serif"/>
          <w:b w:val="false"/>
          <w:i/>
          <w:color w:val="000000"/>
          <w:sz w:val="24"/>
        </w:rPr>
        <w:t>Business Combinations,</w:t>
      </w:r>
      <w:r>
        <w:rPr>
          <w:color w:val="000000"/>
        </w:rPr>
        <w:t xml:space="preserve"> </w:t>
      </w:r>
      <w:r>
        <w:rPr>
          <w:rFonts w:ascii="Times New Roman;sans-serif" w:hAnsi="Times New Roman;sans-serif"/>
          <w:b w:val="false"/>
          <w:color w:val="000000"/>
          <w:sz w:val="24"/>
        </w:rPr>
        <w:t>with Analog Devices representing the accounting acquirer under this guidance. In the unaudited pro forma condensed combined balance sheet, Analog Devices’ costs to acquire Maxim have been allocated to the assets acquired and liabilities assumed, based upon management’s preliminary estimate of what their respective fair values were as of the date of the Merger. The pro forma adjustments are preliminary and are based upon available information and certain assumptions which management believes are reasonable under the circumstances and which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Maxim’s identifiable tangible and intangible assets acquired and liabilities assumed are based on a preliminary estimate of fair value. Any excess of the purchase price over the fair value of identified tangible and intangible assets acquired and liabilities assumed has been recognized as goodwill. Management believes the estimated fair values utilized for the assets acquired and liabilities assumed are based on reasonable estimates and assumptions. Preliminary fair value estimates may change as additional information becomes available and such changes could be material. Following the consummation of the Merger, Analog Devices has begun to conduct, but has not yet completed, a final review. As a result of that review, management may identify differences that, when finalized, could have a material impact on the unaudited pro forma condensed combined financial information.</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impacts of any revenue, cost or other operating synergies that may result from the Merger or any related restructuring costs that may be contemplated.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before="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3 – Reclassifications</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Historical Maxim financial information has been reclassified to conform the presentation to that of Analog Devices as indicated in the table below:</w:t>
      </w:r>
    </w:p>
    <w:p>
      <w:pPr>
        <w:pStyle w:val="TextBody"/>
        <w:spacing w:lineRule="auto" w:line="288" w:before="0" w:after="120"/>
        <w:rPr>
          <w:rFonts w:ascii="Times New Roman;sans-serif" w:hAnsi="Times New Roman;sans-serif"/>
          <w:b w:val="false"/>
          <w:i/>
          <w:color w:val="000000"/>
          <w:sz w:val="24"/>
        </w:rPr>
      </w:pPr>
      <w:r>
        <w:rPr>
          <w:rFonts w:ascii="Times New Roman;sans-serif" w:hAnsi="Times New Roman;sans-serif"/>
          <w:b w:val="false"/>
          <w:i/>
          <w:color w:val="000000"/>
          <w:sz w:val="24"/>
        </w:rPr>
        <w:t>Balance Sheet as of June 26, 2021</w:t>
      </w:r>
    </w:p>
    <w:tbl>
      <w:tblPr>
        <w:tblW w:w="10205" w:type="dxa"/>
        <w:jc w:val="left"/>
        <w:tblInd w:w="0" w:type="dxa"/>
        <w:tblCellMar>
          <w:top w:w="28" w:type="dxa"/>
          <w:left w:w="28" w:type="dxa"/>
          <w:bottom w:w="28" w:type="dxa"/>
          <w:right w:w="28" w:type="dxa"/>
        </w:tblCellMar>
      </w:tblPr>
      <w:tblGrid>
        <w:gridCol w:w="268"/>
        <w:gridCol w:w="1053"/>
        <w:gridCol w:w="121"/>
        <w:gridCol w:w="109"/>
        <w:gridCol w:w="109"/>
        <w:gridCol w:w="109"/>
        <w:gridCol w:w="1021"/>
        <w:gridCol w:w="1021"/>
        <w:gridCol w:w="1023"/>
        <w:gridCol w:w="109"/>
        <w:gridCol w:w="109"/>
        <w:gridCol w:w="109"/>
        <w:gridCol w:w="1473"/>
        <w:gridCol w:w="1473"/>
        <w:gridCol w:w="2098"/>
      </w:tblGrid>
      <w:tr>
        <w:trPr/>
        <w:tc>
          <w:tcPr>
            <w:tcW w:w="268"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r>
      <w:tr>
        <w:trPr/>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Amount </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Maxim's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Unaudited Pro Forma Condensed Combined Financial Information</w:t>
            </w:r>
          </w:p>
        </w:tc>
      </w:tr>
      <w:tr>
        <w:trPr/>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658,829 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Accounts receivable, net of allowances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Accounts receivable</w:t>
            </w:r>
          </w:p>
        </w:tc>
      </w:tr>
      <w:tr>
        <w:trPr/>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259,411 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Price adjustment and other revenue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Accrued liabilities</w:t>
            </w:r>
          </w:p>
        </w:tc>
      </w:tr>
      <w:tr>
        <w:trPr/>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150,656 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Accrued salary and 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Accrued liabilities</w:t>
            </w:r>
          </w:p>
        </w:tc>
      </w:tr>
      <w:tr>
        <w:trPr/>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47,967 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Accrued liabilities</w:t>
            </w:r>
          </w:p>
        </w:tc>
      </w:tr>
      <w:tr>
        <w:trPr/>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14,030 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Deferred income taxes</w:t>
            </w:r>
          </w:p>
        </w:tc>
      </w:tr>
      <w:tr>
        <w:trPr/>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77,400 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Non current income taxes payable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Current income taxes payable</w:t>
            </w:r>
          </w:p>
        </w:tc>
      </w:tr>
    </w:tbl>
    <w:p>
      <w:pPr>
        <w:pStyle w:val="TextBody"/>
        <w:spacing w:lineRule="auto" w:line="288" w:before="0" w:after="120"/>
        <w:rPr>
          <w:rFonts w:ascii="Times New Roman;sans-serif" w:hAnsi="Times New Roman;sans-serif"/>
          <w:b w:val="false"/>
          <w:i/>
          <w:color w:val="000000"/>
          <w:sz w:val="24"/>
        </w:rPr>
      </w:pPr>
      <w:r>
        <w:rPr>
          <w:rFonts w:ascii="Times New Roman;sans-serif" w:hAnsi="Times New Roman;sans-serif"/>
          <w:b w:val="false"/>
          <w:i/>
          <w:color w:val="000000"/>
          <w:sz w:val="24"/>
        </w:rPr>
        <w:t>Statement of Income for the Twelve-Months Ended September 26, 2020</w:t>
      </w:r>
    </w:p>
    <w:tbl>
      <w:tblPr>
        <w:tblW w:w="10205" w:type="dxa"/>
        <w:jc w:val="left"/>
        <w:tblInd w:w="0" w:type="dxa"/>
        <w:tblCellMar>
          <w:top w:w="28" w:type="dxa"/>
          <w:left w:w="28" w:type="dxa"/>
          <w:bottom w:w="28" w:type="dxa"/>
          <w:right w:w="28" w:type="dxa"/>
        </w:tblCellMar>
      </w:tblPr>
      <w:tblGrid>
        <w:gridCol w:w="267"/>
        <w:gridCol w:w="1053"/>
        <w:gridCol w:w="120"/>
        <w:gridCol w:w="109"/>
        <w:gridCol w:w="109"/>
        <w:gridCol w:w="109"/>
        <w:gridCol w:w="1039"/>
        <w:gridCol w:w="1017"/>
        <w:gridCol w:w="1019"/>
        <w:gridCol w:w="109"/>
        <w:gridCol w:w="109"/>
        <w:gridCol w:w="109"/>
        <w:gridCol w:w="1487"/>
        <w:gridCol w:w="1465"/>
        <w:gridCol w:w="2084"/>
      </w:tblGrid>
      <w:tr>
        <w:trPr/>
        <w:tc>
          <w:tcPr>
            <w:tcW w:w="26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Amount </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Maxim's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Unaudited Pro Forma Condensed Combined Financial Information</w:t>
            </w:r>
          </w:p>
        </w:tc>
      </w:tr>
      <w:tr>
        <w:trPr/>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303,561 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r>
      <w:tr>
        <w:trPr/>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12,742 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Severance and restructuring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Special charges</w:t>
            </w:r>
          </w:p>
        </w:tc>
      </w:tr>
      <w:tr>
        <w:trPr/>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8,332 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Other operating expenses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r>
      <w:tr>
        <w:trPr/>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(17,164)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expense</w:t>
            </w:r>
          </w:p>
        </w:tc>
      </w:tr>
    </w:tbl>
    <w:p>
      <w:pPr>
        <w:pStyle w:val="TextBody"/>
        <w:spacing w:lineRule="auto" w:line="288" w:before="0" w:after="120"/>
        <w:rPr>
          <w:rFonts w:ascii="Times New Roman;sans-serif" w:hAnsi="Times New Roman;sans-serif"/>
          <w:b w:val="false"/>
          <w:i/>
          <w:color w:val="000000"/>
          <w:sz w:val="24"/>
        </w:rPr>
      </w:pPr>
      <w:r>
        <w:rPr>
          <w:rFonts w:ascii="Times New Roman;sans-serif" w:hAnsi="Times New Roman;sans-serif"/>
          <w:b w:val="false"/>
          <w:i/>
          <w:color w:val="000000"/>
          <w:sz w:val="24"/>
        </w:rPr>
        <w:t>Statement of Income for the Nine-Months Ended June 26, 2021</w:t>
      </w:r>
    </w:p>
    <w:tbl>
      <w:tblPr>
        <w:tblW w:w="10205" w:type="dxa"/>
        <w:jc w:val="left"/>
        <w:tblInd w:w="0" w:type="dxa"/>
        <w:tblCellMar>
          <w:top w:w="28" w:type="dxa"/>
          <w:left w:w="28" w:type="dxa"/>
          <w:bottom w:w="28" w:type="dxa"/>
          <w:right w:w="28" w:type="dxa"/>
        </w:tblCellMar>
      </w:tblPr>
      <w:tblGrid>
        <w:gridCol w:w="267"/>
        <w:gridCol w:w="1053"/>
        <w:gridCol w:w="120"/>
        <w:gridCol w:w="109"/>
        <w:gridCol w:w="109"/>
        <w:gridCol w:w="109"/>
        <w:gridCol w:w="1039"/>
        <w:gridCol w:w="1017"/>
        <w:gridCol w:w="1019"/>
        <w:gridCol w:w="109"/>
        <w:gridCol w:w="109"/>
        <w:gridCol w:w="109"/>
        <w:gridCol w:w="1487"/>
        <w:gridCol w:w="1465"/>
        <w:gridCol w:w="2084"/>
      </w:tblGrid>
      <w:tr>
        <w:trPr/>
        <w:tc>
          <w:tcPr>
            <w:tcW w:w="26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Amount </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Maxim's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Presentation in Unaudited Pro Forma Condensed Combined Financial Information</w:t>
            </w:r>
          </w:p>
        </w:tc>
      </w:tr>
      <w:tr>
        <w:trPr/>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237,768 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r>
      <w:tr>
        <w:trPr/>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Severance and restructuring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Special charges</w:t>
            </w:r>
          </w:p>
        </w:tc>
      </w:tr>
      <w:tr>
        <w:trPr/>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15,178 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Other operating expenses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r>
      <w:tr>
        <w:trPr/>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(8,927)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expense</w:t>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4 – Conforming Accounting Policies</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accounting policies used in the preparation of the unaudited pro forma condensed combined financial information are those set out in Analog Devices’ consolidated financial statements. Based on the procedures performed to date, the accounting policies of Maxim are similar in all material respects to Analog Devices’ accounting policies with the exception of (i) accounting for inventory reserves, (ii) the estimated useful lives of fixed assets and (iii) taxes related to the global intangible low-taxed income (GILTI). The impacts of conforming these policies are described in Note 5 and Note 6. In addition, as noted in Note 3, certain balances presented in the historical financial statements of Maxim have been reclassified to conform their presentation to that of Analog Devices. Analog Devices is not aware of any other material differences between the accounting policies or classification of amounts of the two companies that would continue to exist subsequent to the application of acquisition accounting. Following the consummation of the Merger, Analog Devices has begun to conduct, but has not yet completed, a more detailed review of Maxim’s accounting policies in an effort to determine if differences in accounting policies require further reclassification of Maxim’s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this unaudited pro forma condensed combined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5 – Estimated Merger Consideration and Allocation</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The Merger consideration is approximately $28.0 billion based on Analog Devices’ closing share price of $164.00 on August 25, 2021. </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following table summarizes the components of the preliminary Merger consideration reflected in the unaudited pro forma condensed combined financial information (in thousands of dollars):</w:t>
      </w:r>
    </w:p>
    <w:tbl>
      <w:tblPr>
        <w:tblW w:w="9501" w:type="dxa"/>
        <w:jc w:val="left"/>
        <w:tblInd w:w="0" w:type="dxa"/>
        <w:tblCellMar>
          <w:top w:w="28" w:type="dxa"/>
          <w:left w:w="28" w:type="dxa"/>
          <w:bottom w:w="28" w:type="dxa"/>
          <w:right w:w="28" w:type="dxa"/>
        </w:tblCellMar>
      </w:tblPr>
      <w:tblGrid>
        <w:gridCol w:w="2853"/>
        <w:gridCol w:w="2509"/>
        <w:gridCol w:w="2513"/>
        <w:gridCol w:w="226"/>
        <w:gridCol w:w="1246"/>
        <w:gridCol w:w="154"/>
      </w:tblGrid>
      <w:tr>
        <w:trPr/>
        <w:tc>
          <w:tcPr>
            <w:tcW w:w="2853"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25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portion of purchase price**</w:t>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27,754,212 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Fair value of partially vested restricted stock and restricted stock units assumed***</w:t>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175,220 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purchase consideration</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27,929,479 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*Reflects cash paid for fractional shares of Analog Devices common stock in respect of shares of Maxim common stock outstanding.</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**The fair value is based on the issuance of 169.2 million shares of Analog Devices’ common stock with a per-share value of $164.00 (the closing price of Analog Devices’ common stock on the Nasdaq Global Select Market on August 25, 2021). </w: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 xml:space="preserve">***In connection with the Merger, Analog Devices issued equity awards to certain Maxim employees in replacement of Maxim equity awards that were canceled at closing. The amount represents the portion of the fair value of the replacement equity awards associated with services rendered though the acquisition date and has been included as a component of the total purchase consideration.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120"/>
        <w:ind w:left="0" w:right="0" w:firstLine="360"/>
        <w:rPr>
          <w:rFonts w:ascii="Times New Roman;sans-serif" w:hAnsi="Times New Roman;sans-serif"/>
          <w:b w:val="false"/>
          <w:color w:val="000000"/>
          <w:sz w:val="24"/>
        </w:rPr>
      </w:pPr>
      <w:r>
        <w:rPr>
          <w:rFonts w:ascii="Times New Roman;sans-serif" w:hAnsi="Times New Roman;sans-serif"/>
          <w:b w:val="false"/>
          <w:color w:val="000000"/>
          <w:sz w:val="24"/>
        </w:rPr>
        <w:t>The following is a preliminary allocation of the purchase consideration to the assets acquired and the liabilities assumed by Analog Devices in the Merger, reconciled to the purchase consideration transferred:</w:t>
      </w:r>
    </w:p>
    <w:tbl>
      <w:tblPr>
        <w:tblW w:w="5976" w:type="dxa"/>
        <w:jc w:val="left"/>
        <w:tblInd w:w="0" w:type="dxa"/>
        <w:tblCellMar>
          <w:top w:w="28" w:type="dxa"/>
          <w:left w:w="28" w:type="dxa"/>
          <w:bottom w:w="28" w:type="dxa"/>
          <w:right w:w="28" w:type="dxa"/>
        </w:tblCellMar>
      </w:tblPr>
      <w:tblGrid>
        <w:gridCol w:w="1315"/>
        <w:gridCol w:w="1155"/>
        <w:gridCol w:w="1160"/>
        <w:gridCol w:w="240"/>
        <w:gridCol w:w="240"/>
        <w:gridCol w:w="240"/>
        <w:gridCol w:w="226"/>
        <w:gridCol w:w="1246"/>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thousands)</w:t>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book value of net assets acquired</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5(h)</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2,415,940 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Adjustments to:</w:t>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Inventory</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5(a)</w:t>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616,386 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5(b)</w:t>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184,662 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5(d)</w:t>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12,695,202 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income taxes</w:t>
            </w:r>
          </w:p>
        </w:tc>
        <w:tc>
          <w:tcPr>
            <w:tcW w:w="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5(f)(g)</w:t>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(1,731,869)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5(c)</w:t>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13,749,158 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purchase consideration</w:t>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27,929,479 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20"/>
        <w:rPr/>
      </w:pPr>
      <w:r>
        <w:rPr>
          <w:rFonts w:ascii="Times New Roman;sans-serif" w:hAnsi="Times New Roman;sans-serif"/>
          <w:b w:val="false"/>
          <w:i/>
          <w:color w:val="000000"/>
          <w:sz w:val="24"/>
        </w:rPr>
        <w:t>Acquisition Accounting Adjustments (all amounts in thousands except per share and useful life amounts):</w:t>
      </w:r>
      <w:r>
        <w:rPr>
          <w:color w:val="000000"/>
        </w:rPr>
        <w:t xml:space="preserve"> </w:t>
      </w:r>
    </w:p>
    <w:p>
      <w:pPr>
        <w:pStyle w:val="TextBody"/>
        <w:spacing w:lineRule="auto" w:line="276" w:before="0" w:after="120"/>
        <w:ind w:left="0" w:right="0" w:hanging="720"/>
        <w:rPr/>
      </w:pPr>
      <w:r>
        <w:rPr>
          <w:rFonts w:ascii="Times New Roman;sans-serif" w:hAnsi="Times New Roman;sans-serif"/>
          <w:b w:val="false"/>
          <w:color w:val="000000"/>
          <w:sz w:val="20"/>
        </w:rPr>
        <w:t>a.</w:t>
      </w:r>
      <w:r>
        <w:rPr>
          <w:rFonts w:ascii="Times New Roman;sans-serif" w:hAnsi="Times New Roman;sans-serif"/>
          <w:b w:val="false"/>
          <w:color w:val="000000"/>
          <w:sz w:val="24"/>
        </w:rPr>
        <w:t xml:space="preserve">Reflects an increase in book value for Maxim’s inventory balances to reflect their acquisition date fair value of $853,800, including an increase in the inventory value of $7,336 to conform Maxim’s inventory reserve methodology to that of Analog Devices. The fair value of inventory was calculated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close of the Merger. As this item will not have a continuing impact on the combined entity, these costs have not been included in the unaudited pro forma condensed combined statements of income. </w:t>
      </w:r>
    </w:p>
    <w:p>
      <w:pPr>
        <w:pStyle w:val="TextBody"/>
        <w:spacing w:lineRule="auto" w:line="26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b.Reflects an increase in book value for Maxim's property, plant and equipment balances to reflect their acquisition date fair values of $739,001, including a decrease of $169,592 to conform Maxim’s fixed asset useful lives to that of Analog Devices.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pStyle w:val="TextBody"/>
        <w:spacing w:lineRule="auto" w:line="26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c.Goodwill is calculated as the difference between the fair value of the consideration paid and the values assigned to the identifiable tangible and intangible assets acquired and liabilities assumed. The pro forma adjustment to goodwill is calculated as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tbl>
      <w:tblPr>
        <w:tblW w:w="6746" w:type="dxa"/>
        <w:jc w:val="left"/>
        <w:tblInd w:w="0" w:type="dxa"/>
        <w:tblCellMar>
          <w:top w:w="28" w:type="dxa"/>
          <w:left w:w="28" w:type="dxa"/>
          <w:bottom w:w="28" w:type="dxa"/>
          <w:right w:w="28" w:type="dxa"/>
        </w:tblCellMar>
      </w:tblPr>
      <w:tblGrid>
        <w:gridCol w:w="1574"/>
        <w:gridCol w:w="1384"/>
        <w:gridCol w:w="1391"/>
        <w:gridCol w:w="109"/>
        <w:gridCol w:w="109"/>
        <w:gridCol w:w="109"/>
        <w:gridCol w:w="287"/>
        <w:gridCol w:w="1587"/>
        <w:gridCol w:w="196"/>
      </w:tblGrid>
      <w:tr>
        <w:trPr/>
        <w:tc>
          <w:tcPr>
            <w:tcW w:w="157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 of July 31, 2021</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Estimated goodwill related to this transaction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14,311,698 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Elimination of Maxim’s historical 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(562,540)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 forma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13,749,158 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d.Adjustment to intangible assets expected to be recognized in connection with the Merger, consisting of the following:</w:t>
      </w:r>
    </w:p>
    <w:tbl>
      <w:tblPr>
        <w:tblW w:w="10205" w:type="dxa"/>
        <w:jc w:val="left"/>
        <w:tblInd w:w="0" w:type="dxa"/>
        <w:tblCellMar>
          <w:top w:w="28" w:type="dxa"/>
          <w:left w:w="28" w:type="dxa"/>
          <w:bottom w:w="28" w:type="dxa"/>
          <w:right w:w="28" w:type="dxa"/>
        </w:tblCellMar>
      </w:tblPr>
      <w:tblGrid>
        <w:gridCol w:w="1076"/>
        <w:gridCol w:w="943"/>
        <w:gridCol w:w="951"/>
        <w:gridCol w:w="688"/>
        <w:gridCol w:w="688"/>
        <w:gridCol w:w="690"/>
        <w:gridCol w:w="306"/>
        <w:gridCol w:w="1689"/>
        <w:gridCol w:w="147"/>
        <w:gridCol w:w="109"/>
        <w:gridCol w:w="109"/>
        <w:gridCol w:w="109"/>
        <w:gridCol w:w="788"/>
        <w:gridCol w:w="788"/>
        <w:gridCol w:w="1124"/>
      </w:tblGrid>
      <w:tr>
        <w:trPr/>
        <w:tc>
          <w:tcPr>
            <w:tcW w:w="107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Description</w:t>
            </w:r>
          </w:p>
        </w:tc>
        <w:tc>
          <w:tcPr>
            <w:tcW w:w="2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Estimated Useful Life</w:t>
            </w:r>
          </w:p>
        </w:tc>
        <w:tc>
          <w:tcPr>
            <w:tcW w:w="2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Balance Sheet Classification</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Customer relationships</w:t>
            </w:r>
          </w:p>
        </w:tc>
        <w:tc>
          <w:tcPr>
            <w:tcW w:w="2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5,754,100 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Intangible assets, net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Developed technology</w:t>
            </w:r>
          </w:p>
        </w:tc>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21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6,676,200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Intangible assets, net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Backlog</w:t>
            </w:r>
          </w:p>
        </w:tc>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21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331,900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Intangible assets, net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4"/>
              </w:rPr>
              <w:t>Total identifiable intangible assets</w:t>
            </w:r>
          </w:p>
        </w:tc>
        <w:tc>
          <w:tcPr>
            <w:tcW w:w="2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12,762,200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Historical Maxim intangible assets</w:t>
            </w:r>
          </w:p>
        </w:tc>
        <w:tc>
          <w:tcPr>
            <w:tcW w:w="2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(66,998)</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4"/>
              </w:rPr>
              <w:t>Pro forma adjustment</w:t>
            </w:r>
          </w:p>
        </w:tc>
        <w:tc>
          <w:tcPr>
            <w:tcW w:w="2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12,695,202 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68" w:before="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The fair value of the customer relationships was calculated using a multi-period excess earnings method, a form of the income approach, which incorporates the estimated future cash flows to be generated from Maxim’s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estimates inherent in this method consist of the customer attrition rate, determination of excess earnings and an appropriate rate of return. </w: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The fair value of Maxim’s technology-based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 </w: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The fair value of Maxim’s backlog was determined using a multi-period excess earnings method, a form of the income approach, which incorporates the estimated future cash flows to be generated from Maxim’s existing backlog. This method reflects the present value of the projected cash flows that are expected to be generated by the backlog, less, charges representing the contribution of other assets to those cash flows and an appropriate discount rate to reflect the time value and risk associated with the cash flows.</w: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The fair value estimate for all identifiable intangible assets is preliminary and is based on assumptions that market participants would use in pricing an asset, based on the most advantageous market for the asset (i.e., its highest and best use). The final fair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value determination for identifiable intangibles may differ materially from this preliminary determination.</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e.Reflects the reduction to retained earnings of $168,756, the corresponding increase to accrued liabilities of $197,135 related to transaction costs and decrease to income tax payable of $28,379 related to the associated tax effects of the transaction costs incurred by Analog Devices and Maxim on or prior to the closing of the Merger.</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f.Reflects the adjustments to record an increase to deferred income tax liabilities of $1,768,076 resulting from pro forma fair value adjustments related to the acquired assets.</w: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The estimate of deferred taxes was determined based on the changes in the book basis of the net assets to be acquired compared to the historical basis reflected in Maxim’s financial statements using a blended statutory tax rate. Adjustments to established deferred tax assets and liabilities due to refined determination of statutory rates as well as the recognition of additional deferred tax assets and liabilities upon detailed analysis of the acquired assets and assumed liabilities may occur in conjunction with the finalization of the acquisition accounting and these items could be material.</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g.Reflects the adjustments to record a decrease in deferred income tax liabilities of $36,207 to conform Maxim’s accounting policy to the deferral method consistent to that of Analog Devices’ related to the GILTI.</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h.Reflects the elimination of the historical book value of the net assets acquired from Maxim as of June 26, 2021. The unaudited pro forma condensed combined balance sheet reflects the elimination of Maxim’s historical common stock, capital in excess of par, accumulated other comprehensive income or loss and retained earnings as part of acquisition accounting.</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i.Reflects the reduction to retained earnings of $50,103 and the corresponding increase in capital in excess of par value of $39,942 and decrease in cash and cash equivalents of $10,161 related to the anticipated severance cash payment and full accelerated vesting of all equity incentive awards for the certain Maxim executives outstanding as of the closing date of the merger in accordance with their existing change in control employee severance plan. As this item will not have a continuing impact on the combined entity, these costs have not been included in the unaudited pro forma condensed combined statement of income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4"/>
        </w:rPr>
      </w:pPr>
      <w:r>
        <w:rPr>
          <w:rFonts w:ascii="Times New Roman;sans-serif" w:hAnsi="Times New Roman;sans-serif"/>
          <w:b/>
          <w:color w:val="000000"/>
          <w:sz w:val="24"/>
        </w:rPr>
        <w:t>Note 6 – Unaudited Pro Forma Condensed Combined Statements of Income Adjustments</w:t>
      </w:r>
    </w:p>
    <w:p>
      <w:pPr>
        <w:pStyle w:val="TextBody"/>
        <w:spacing w:lineRule="auto" w:line="288" w:before="0" w:after="120"/>
        <w:ind w:left="0" w:right="0" w:firstLine="360"/>
        <w:jc w:val="both"/>
        <w:rPr/>
      </w:pPr>
      <w:r>
        <w:rPr>
          <w:rFonts w:ascii="Times New Roman;sans-serif" w:hAnsi="Times New Roman;sans-serif"/>
          <w:b w:val="false"/>
          <w:color w:val="000000"/>
          <w:sz w:val="24"/>
        </w:rPr>
        <w:t>The pro forma adjustments in the unaudited pro forma condensed combined statements of income are as follows (</w:t>
      </w:r>
      <w:r>
        <w:rPr>
          <w:rFonts w:ascii="Times New Roman;sans-serif" w:hAnsi="Times New Roman;sans-serif"/>
          <w:b w:val="false"/>
          <w:i/>
          <w:color w:val="000000"/>
          <w:sz w:val="24"/>
        </w:rPr>
        <w:t>all amounts in thousands)</w:t>
      </w:r>
      <w:r>
        <w:rPr>
          <w:rFonts w:ascii="Times New Roman;sans-serif" w:hAnsi="Times New Roman;sans-serif"/>
          <w:b w:val="false"/>
          <w:color w:val="000000"/>
          <w:sz w:val="24"/>
        </w:rPr>
        <w:t>:</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a.Reflects additional depreciation expense for the estimated fair value adjustment of acquired property, plant and equipment on a straight-line basis over a weighted average useful life of 15 years as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393"/>
        <w:gridCol w:w="1175"/>
        <w:gridCol w:w="1173"/>
        <w:gridCol w:w="1712"/>
        <w:gridCol w:w="896"/>
        <w:gridCol w:w="832"/>
        <w:gridCol w:w="386"/>
        <w:gridCol w:w="386"/>
        <w:gridCol w:w="386"/>
        <w:gridCol w:w="802"/>
        <w:gridCol w:w="467"/>
        <w:gridCol w:w="597"/>
      </w:tblGrid>
      <w:tr>
        <w:trPr/>
        <w:tc>
          <w:tcPr>
            <w:tcW w:w="1393"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374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 thousands)</w:t>
            </w:r>
          </w:p>
        </w:tc>
        <w:tc>
          <w:tcPr>
            <w:tcW w:w="344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Twelve months ended October 31, 2020</w:t>
            </w:r>
          </w:p>
        </w:tc>
        <w:tc>
          <w:tcPr>
            <w:tcW w:w="302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Nine months ended July 31, 2021</w:t>
            </w:r>
          </w:p>
        </w:tc>
      </w:tr>
      <w:tr>
        <w:trPr/>
        <w:tc>
          <w:tcPr>
            <w:tcW w:w="3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 of sales</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32,366</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24,275</w:t>
            </w:r>
          </w:p>
        </w:tc>
      </w:tr>
      <w:tr>
        <w:trPr/>
        <w:tc>
          <w:tcPr>
            <w:tcW w:w="37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Research and development</w:t>
            </w:r>
          </w:p>
        </w:tc>
        <w:tc>
          <w:tcPr>
            <w:tcW w:w="344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4,788</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3,591</w:t>
            </w:r>
          </w:p>
        </w:tc>
      </w:tr>
      <w:tr>
        <w:trPr/>
        <w:tc>
          <w:tcPr>
            <w:tcW w:w="374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c>
          <w:tcPr>
            <w:tcW w:w="344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1,477</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1,108</w:t>
            </w:r>
          </w:p>
        </w:tc>
      </w:tr>
      <w:tr>
        <w:trPr/>
        <w:tc>
          <w:tcPr>
            <w:tcW w:w="3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7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38,631</w:t>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28,974</w:t>
            </w:r>
          </w:p>
        </w:tc>
      </w:tr>
    </w:tbl>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b.To record the adjustments to stock-based compensation expense for the estimated differences between historical amounts recorded in the financial statements and the estimated preliminary value related to the unvested portion of the Maxim equity awards replaced with Analog equity awards in connection with the merger as follows:</w:t>
      </w:r>
    </w:p>
    <w:tbl>
      <w:tblPr>
        <w:tblW w:w="10205" w:type="dxa"/>
        <w:jc w:val="left"/>
        <w:tblInd w:w="0" w:type="dxa"/>
        <w:tblCellMar>
          <w:top w:w="28" w:type="dxa"/>
          <w:left w:w="28" w:type="dxa"/>
          <w:bottom w:w="28" w:type="dxa"/>
          <w:right w:w="28" w:type="dxa"/>
        </w:tblCellMar>
      </w:tblPr>
      <w:tblGrid>
        <w:gridCol w:w="1398"/>
        <w:gridCol w:w="1180"/>
        <w:gridCol w:w="1178"/>
        <w:gridCol w:w="740"/>
        <w:gridCol w:w="2314"/>
        <w:gridCol w:w="357"/>
        <w:gridCol w:w="221"/>
        <w:gridCol w:w="221"/>
        <w:gridCol w:w="221"/>
        <w:gridCol w:w="458"/>
        <w:gridCol w:w="1600"/>
        <w:gridCol w:w="317"/>
      </w:tblGrid>
      <w:tr>
        <w:trPr/>
        <w:tc>
          <w:tcPr>
            <w:tcW w:w="1398"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75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 thousands)</w:t>
            </w:r>
          </w:p>
        </w:tc>
        <w:tc>
          <w:tcPr>
            <w:tcW w:w="34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Twelve months ended October 31, 2020</w:t>
            </w:r>
          </w:p>
        </w:tc>
        <w:tc>
          <w:tcPr>
            <w:tcW w:w="30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Nine months ended July 31, 2021</w:t>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 of sales</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Research and development</w:t>
            </w:r>
          </w:p>
        </w:tc>
        <w:tc>
          <w:tcPr>
            <w:tcW w:w="3411"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4,100</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(465)</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c>
          <w:tcPr>
            <w:tcW w:w="341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4,157</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(471)</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9,444 </w:t>
            </w:r>
          </w:p>
        </w:tc>
        <w:tc>
          <w:tcPr>
            <w:tcW w:w="3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(1,071)</w:t>
            </w:r>
          </w:p>
        </w:tc>
        <w:tc>
          <w:tcPr>
            <w:tcW w:w="3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c.Reflects additional amortization expense for the estimated fair value adjustment of acquired intangible assets as follows: </w:t>
      </w:r>
    </w:p>
    <w:tbl>
      <w:tblPr>
        <w:tblW w:w="10205" w:type="dxa"/>
        <w:jc w:val="left"/>
        <w:tblInd w:w="0" w:type="dxa"/>
        <w:tblCellMar>
          <w:top w:w="28" w:type="dxa"/>
          <w:left w:w="28" w:type="dxa"/>
          <w:bottom w:w="28" w:type="dxa"/>
          <w:right w:w="28" w:type="dxa"/>
        </w:tblCellMar>
      </w:tblPr>
      <w:tblGrid>
        <w:gridCol w:w="949"/>
        <w:gridCol w:w="827"/>
        <w:gridCol w:w="824"/>
        <w:gridCol w:w="604"/>
        <w:gridCol w:w="3017"/>
        <w:gridCol w:w="291"/>
        <w:gridCol w:w="109"/>
        <w:gridCol w:w="109"/>
        <w:gridCol w:w="109"/>
        <w:gridCol w:w="503"/>
        <w:gridCol w:w="2514"/>
        <w:gridCol w:w="349"/>
      </w:tblGrid>
      <w:tr>
        <w:trPr/>
        <w:tc>
          <w:tcPr>
            <w:tcW w:w="94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260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 thousands)</w:t>
            </w:r>
          </w:p>
        </w:tc>
        <w:tc>
          <w:tcPr>
            <w:tcW w:w="391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Twelve months ended October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Nine months ended July 31, 2021</w:t>
            </w:r>
          </w:p>
        </w:tc>
      </w:tr>
      <w:tr>
        <w:trPr/>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 of sales</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986,365 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738,529 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Amortization of intangibles</w:t>
            </w:r>
          </w:p>
        </w:tc>
        <w:tc>
          <w:tcPr>
            <w:tcW w:w="362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572,169 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428,923 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0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1,558,534 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1,167,452 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 xml:space="preserve">These preliminary estimates of fair value and estimated useful lives may differ from final amounts that Analog Devices will calculate after completing a detailed valuation analysis and difference could have a material effect on the accompanying unaudited pro forma condensed combined financial statements. A 10% increase or decrease in the valuation of intangible assets would cause a corresponding increase or decrease in the amortization expense of approximately $157,589 for the twelve months ended October 31, 2020 and $118,191 for the nine months ended July 31, 2021. A 10% increase in the estimated useful lives of intangible assets would cause a corresponding decrease in the amortization expense of approximately $143,262 for the twelve months ended October 31, 2020 and $107,448 for the nine months ended July 31, 2021. A 10% decrease in the estimated useful lives of intangible assets would cause a corresponding increase in the amortization expense of approximately $175,098 for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88" w:before="0" w:after="120"/>
        <w:rPr>
          <w:rFonts w:ascii="Times New Roman;sans-serif" w:hAnsi="Times New Roman;sans-serif"/>
          <w:b w:val="false"/>
          <w:color w:val="000000"/>
          <w:sz w:val="24"/>
        </w:rPr>
      </w:pPr>
      <w:r>
        <w:rPr>
          <w:rFonts w:ascii="Times New Roman;sans-serif" w:hAnsi="Times New Roman;sans-serif"/>
          <w:b w:val="false"/>
          <w:color w:val="000000"/>
          <w:sz w:val="24"/>
        </w:rPr>
        <w:t>twelve months ended October 31, 2020 and $131,323 for the nine months ended July 31, 2021.</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d.Reflects an adjustment to selling, marketing, general and administrative expense of $35,272 and $70,395 for the twelve months ended October 31, 2020 and the nine months ended July 31, 2021, respectively, representing the elimination of the advisory, legal and accounting expenses incurred by both Analog Devices and Maxim in connection with the Merger, which are not expected to have a continuing impact on results of operations on the combined company.</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e.Reflects adjustments to conform Maxim’s accounting policies to Analog Devices’ accounting policies relating to accounting for inventory reserves and the useful lives of fixed assets as follows:</w:t>
      </w:r>
    </w:p>
    <w:tbl>
      <w:tblPr>
        <w:tblW w:w="10205" w:type="dxa"/>
        <w:jc w:val="left"/>
        <w:tblInd w:w="0" w:type="dxa"/>
        <w:tblCellMar>
          <w:top w:w="28" w:type="dxa"/>
          <w:left w:w="28" w:type="dxa"/>
          <w:bottom w:w="28" w:type="dxa"/>
          <w:right w:w="28" w:type="dxa"/>
        </w:tblCellMar>
      </w:tblPr>
      <w:tblGrid>
        <w:gridCol w:w="1363"/>
        <w:gridCol w:w="1141"/>
        <w:gridCol w:w="1138"/>
        <w:gridCol w:w="605"/>
        <w:gridCol w:w="2434"/>
        <w:gridCol w:w="291"/>
        <w:gridCol w:w="109"/>
        <w:gridCol w:w="109"/>
        <w:gridCol w:w="109"/>
        <w:gridCol w:w="509"/>
        <w:gridCol w:w="2045"/>
        <w:gridCol w:w="352"/>
      </w:tblGrid>
      <w:tr>
        <w:trPr/>
        <w:tc>
          <w:tcPr>
            <w:tcW w:w="1363"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43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36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 thousands)</w:t>
            </w:r>
          </w:p>
        </w:tc>
        <w:tc>
          <w:tcPr>
            <w:tcW w:w="333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Twelve months ended October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Nine months ended July 31, 2021</w:t>
            </w:r>
          </w:p>
        </w:tc>
      </w:tr>
      <w:tr>
        <w:trPr/>
        <w:tc>
          <w:tcPr>
            <w:tcW w:w="36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 of sales</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(37,074)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(19,092)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Research and development</w:t>
            </w:r>
          </w:p>
        </w:tc>
        <w:tc>
          <w:tcPr>
            <w:tcW w:w="303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(3,223)</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(1,013)</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Selling, marketing, general and administrative</w:t>
            </w:r>
          </w:p>
        </w:tc>
        <w:tc>
          <w:tcPr>
            <w:tcW w:w="303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(994)</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(313)</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(41,291)</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0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(20,418)</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f.Reflects tax effects of the pro forma adjustments based on the estimated blended statutory tax rate in effect and adjustments to conform Maxim’s accounting policy to the deferral method consistent to that of Analog Devices’ related to the GILTI.</w:t>
      </w:r>
    </w:p>
    <w:p>
      <w:pPr>
        <w:pStyle w:val="TextBody"/>
        <w:spacing w:lineRule="auto" w:line="288" w:before="0" w:after="12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g.Reflects adjustment to earnings per share (which are referred to as “EPS”) calculation for the Analog Devices replacement restricted stock units/awards (which are referred to as “RSUs/RSAs”) issued in connection with the Merger. The calculation of pro forma diluted EPS for the replacement awards has been adjusted for the impact of dilutive shares representing the maximum potential impact on EPS from these RSUs/RSAs. The actual number of RSUs/RSAs that may eventually vest and their dilutive effect may vary significantly from the estimated amount, and the difference to the diluted EPS could be material.</w:t>
      </w:r>
      <w:r>
        <w:br w:type="page"/>
      </w:r>
    </w:p>
    <w:p>
      <w:pPr>
        <w:pStyle w:val="TextBody"/>
        <w:spacing w:before="0" w:after="283"/>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6281/000119312520192918/d934725dex21.htm" TargetMode="External"/><Relationship Id="rId3" Type="http://schemas.openxmlformats.org/officeDocument/2006/relationships/hyperlink" Target="http://www.sec.gov/Archives/edgar/data/6281/000119312521257596/d218368dex991.htm" TargetMode="External"/><Relationship Id="rId4" Type="http://schemas.openxmlformats.org/officeDocument/2006/relationships/hyperlink" Target="http://www.sec.gov/ix?doc=/Archives/edgar/data/743316/000074331621000025/mxim-2021062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6390</Words>
  <CharactersWithSpaces>42957</CharactersWithSpaces>
  <Paragraphs>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