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20"/>
        <w:spacing w:after="0"/>
        <w:rPr>
          <w:sz w:val="20"/>
          <w:szCs w:val="20"/>
          <w:color w:val="auto"/>
        </w:rPr>
      </w:pPr>
      <w:r>
        <w:rPr>
          <w:rFonts w:ascii="Times New Roman" w:cs="Times New Roman" w:eastAsia="Times New Roman" w:hAnsi="Times New Roman"/>
          <w:sz w:val="25"/>
          <w:szCs w:val="25"/>
          <w:b w:val="1"/>
          <w:bCs w:val="1"/>
          <w:color w:val="auto"/>
        </w:rPr>
        <w:t>_________________________________________________________________________</w:t>
      </w: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1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______________________________________________________________________________________________________</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20, 2026</w:t>
      </w:r>
    </w:p>
    <w:p>
      <w:pPr>
        <w:spacing w:after="0" w:line="31"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Analog Devices,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66"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______________________________________________________________________________________________________</w:t>
      </w:r>
    </w:p>
    <w:p>
      <w:pPr>
        <w:sectPr>
          <w:pgSz w:w="11900" w:h="16838" w:orient="portrait"/>
          <w:cols w:equalWidth="0" w:num="1">
            <w:col w:w="11240"/>
          </w:cols>
          <w:pgMar w:left="320" w:top="1029" w:right="339" w:bottom="1440" w:gutter="0" w:footer="0" w:header="0"/>
        </w:sectPr>
      </w:pPr>
    </w:p>
    <w:p>
      <w:pPr>
        <w:spacing w:after="0" w:line="50"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Massachusetts</w:t>
      </w:r>
    </w:p>
    <w:p>
      <w:pPr>
        <w:spacing w:after="0" w:line="29"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w:t>
      </w:r>
    </w:p>
    <w:p>
      <w:pPr>
        <w:ind w:left="114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1-7819</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w:t>
      </w:r>
    </w:p>
    <w:p>
      <w:pPr>
        <w:ind w:left="2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04-2348234</w:t>
      </w:r>
    </w:p>
    <w:p>
      <w:pPr>
        <w:spacing w:after="0" w:line="29"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31" w:lineRule="exact"/>
        <w:rPr>
          <w:sz w:val="24"/>
          <w:szCs w:val="24"/>
          <w:color w:val="auto"/>
        </w:rPr>
      </w:pPr>
    </w:p>
    <w:p>
      <w:pPr>
        <w:sectPr>
          <w:pgSz w:w="11900" w:h="16838" w:orient="portrait"/>
          <w:cols w:equalWidth="0" w:num="3">
            <w:col w:w="4400" w:space="720"/>
            <w:col w:w="2960" w:space="720"/>
            <w:col w:w="2440"/>
          </w:cols>
          <w:pgMar w:left="320" w:top="1029" w:right="339" w:bottom="1440" w:gutter="0" w:footer="0" w:header="0"/>
          <w:type w:val="continuous"/>
        </w:sectPr>
      </w:pPr>
    </w:p>
    <w:p>
      <w:pPr>
        <w:ind w:left="600"/>
        <w:spacing w:after="0"/>
        <w:rPr>
          <w:sz w:val="20"/>
          <w:szCs w:val="20"/>
          <w:color w:val="auto"/>
        </w:rPr>
      </w:pPr>
      <w:r>
        <w:rPr>
          <w:rFonts w:ascii="Times New Roman" w:cs="Times New Roman" w:eastAsia="Times New Roman" w:hAnsi="Times New Roman"/>
          <w:sz w:val="17"/>
          <w:szCs w:val="17"/>
          <w:b w:val="1"/>
          <w:bCs w:val="1"/>
          <w:color w:val="auto"/>
        </w:rPr>
        <w:t>One Analog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Wilmington, MA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01887</w:t>
      </w:r>
    </w:p>
    <w:p>
      <w:pPr>
        <w:spacing w:after="0" w:line="31" w:lineRule="exact"/>
        <w:rPr>
          <w:sz w:val="24"/>
          <w:szCs w:val="24"/>
          <w:color w:val="auto"/>
        </w:rPr>
      </w:pPr>
    </w:p>
    <w:p>
      <w:pPr>
        <w:sectPr>
          <w:pgSz w:w="11900" w:h="16838" w:orient="portrait"/>
          <w:cols w:equalWidth="0" w:num="3">
            <w:col w:w="1940" w:space="340"/>
            <w:col w:w="4860" w:space="720"/>
            <w:col w:w="3380"/>
          </w:cols>
          <w:pgMar w:left="320" w:top="1029" w:right="33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95" w:lineRule="exact"/>
        <w:rPr>
          <w:sz w:val="24"/>
          <w:szCs w:val="24"/>
          <w:color w:val="auto"/>
        </w:rPr>
      </w:pPr>
    </w:p>
    <w:p>
      <w:pPr>
        <w:sectPr>
          <w:pgSz w:w="11900" w:h="16838" w:orient="portrait"/>
          <w:cols w:equalWidth="0" w:num="2">
            <w:col w:w="6980" w:space="720"/>
            <w:col w:w="3540"/>
          </w:cols>
          <w:pgMar w:left="320" w:top="1029" w:right="339" w:bottom="1440" w:gutter="0" w:footer="0" w:header="0"/>
          <w:type w:val="continuous"/>
        </w:sect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935-5565</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86"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______________________________________________________________________________________________________</w:t>
      </w:r>
    </w:p>
    <w:p>
      <w:pPr>
        <w:spacing w:after="0" w:line="256"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0" w:lineRule="exact"/>
        <w:rPr>
          <w:rFonts w:ascii="MS PGothic" w:cs="MS PGothic" w:eastAsia="MS PGothic" w:hAnsi="MS PGothic"/>
          <w:sz w:val="22"/>
          <w:szCs w:val="22"/>
          <w:color w:val="auto"/>
        </w:rPr>
      </w:pPr>
    </w:p>
    <w:p>
      <w:pPr>
        <w:ind w:left="380" w:hanging="372"/>
        <w:spacing w:after="0" w:line="237" w:lineRule="auto"/>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3" w:lineRule="exact"/>
        <w:rPr>
          <w:rFonts w:ascii="MS PGothic" w:cs="MS PGothic" w:eastAsia="MS PGothic" w:hAnsi="MS PGothic"/>
          <w:sz w:val="22"/>
          <w:szCs w:val="22"/>
          <w:color w:val="auto"/>
        </w:rPr>
      </w:pPr>
    </w:p>
    <w:p>
      <w:pPr>
        <w:ind w:left="380" w:hanging="372"/>
        <w:spacing w:after="0" w:line="225" w:lineRule="auto"/>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2" w:lineRule="exact"/>
        <w:rPr>
          <w:rFonts w:ascii="MS PGothic" w:cs="MS PGothic" w:eastAsia="MS PGothic" w:hAnsi="MS PGothic"/>
          <w:sz w:val="22"/>
          <w:szCs w:val="22"/>
          <w:color w:val="auto"/>
        </w:rPr>
      </w:pPr>
    </w:p>
    <w:p>
      <w:pPr>
        <w:ind w:left="380" w:hanging="372"/>
        <w:spacing w:after="0" w:line="225" w:lineRule="auto"/>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68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6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10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c>
          <w:tcPr>
            <w:tcW w:w="0" w:type="dxa"/>
            <w:vAlign w:val="bottom"/>
          </w:tcPr>
          <w:p>
            <w:pPr>
              <w:spacing w:after="0"/>
              <w:rPr>
                <w:sz w:val="1"/>
                <w:szCs w:val="1"/>
                <w:color w:val="auto"/>
              </w:rPr>
            </w:pPr>
          </w:p>
        </w:tc>
      </w:tr>
      <w:tr>
        <w:trPr>
          <w:trHeight w:val="234"/>
        </w:trPr>
        <w:tc>
          <w:tcPr>
            <w:tcW w:w="4680" w:type="dxa"/>
            <w:vAlign w:val="bottom"/>
            <w:vMerge w:val="continue"/>
          </w:tcPr>
          <w:p>
            <w:pPr>
              <w:spacing w:after="0"/>
              <w:rPr>
                <w:sz w:val="20"/>
                <w:szCs w:val="20"/>
                <w:color w:val="auto"/>
              </w:rPr>
            </w:pPr>
          </w:p>
        </w:tc>
        <w:tc>
          <w:tcPr>
            <w:tcW w:w="226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10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234"/>
        </w:trPr>
        <w:tc>
          <w:tcPr>
            <w:tcW w:w="46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Common Stock $0.16 2/3 par value per share</w:t>
            </w:r>
          </w:p>
        </w:tc>
        <w:tc>
          <w:tcPr>
            <w:tcW w:w="22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ADI</w:t>
            </w:r>
          </w:p>
        </w:tc>
        <w:tc>
          <w:tcPr>
            <w:tcW w:w="310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319" w:lineRule="exact"/>
        <w:rPr>
          <w:sz w:val="24"/>
          <w:szCs w:val="24"/>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40"/>
        <w:spacing w:after="0" w:line="230"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20"/>
          <w:szCs w:val="20"/>
          <w:color w:val="auto"/>
        </w:rPr>
        <w:t>☐</w:t>
      </w:r>
    </w:p>
    <w:p>
      <w:pPr>
        <w:spacing w:after="0" w:line="251" w:lineRule="exact"/>
        <w:rPr>
          <w:sz w:val="24"/>
          <w:szCs w:val="24"/>
          <w:color w:val="auto"/>
        </w:rPr>
      </w:pPr>
    </w:p>
    <w:p>
      <w:pPr>
        <w:ind w:right="16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765175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0205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205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70205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0560" cy="889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2.02.</w:t>
        <w:tab/>
        <w:t>Results of Operations and Financial Condition</w:t>
      </w:r>
    </w:p>
    <w:p>
      <w:pPr>
        <w:spacing w:after="0" w:line="108"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On May 20, 2026, Analog Devices, Inc. (the “Registrant”) announced its financial results for its fiscal second quarter ended May 2, 2026. The full text of the press release issued by the Registrant concerning the foregoing results is furnished herewith as Exhibit 99.1.</w:t>
      </w:r>
    </w:p>
    <w:p>
      <w:pPr>
        <w:spacing w:after="0" w:line="40" w:lineRule="exact"/>
        <w:rPr>
          <w:sz w:val="20"/>
          <w:szCs w:val="20"/>
          <w:color w:val="auto"/>
        </w:rPr>
      </w:pPr>
    </w:p>
    <w:p>
      <w:pPr>
        <w:ind w:right="380" w:firstLine="405"/>
        <w:spacing w:after="0" w:line="258" w:lineRule="auto"/>
        <w:rPr>
          <w:sz w:val="20"/>
          <w:szCs w:val="20"/>
          <w:color w:val="auto"/>
        </w:rPr>
      </w:pPr>
      <w:r>
        <w:rPr>
          <w:rFonts w:ascii="Times New Roman" w:cs="Times New Roman" w:eastAsia="Times New Roman" w:hAnsi="Times New Roman"/>
          <w:sz w:val="18"/>
          <w:szCs w:val="18"/>
          <w:color w:val="auto"/>
        </w:rPr>
        <w:t>The information in this Item 2.02 and in the accompanying Exhibit 99.1 shall not be incorporated by reference into any filing of the Registrant, whether made before or after the date hereof, regardless of any general incorporation language in such filing, unless expressly incorporated by specific reference to such filing. The information in this Item 2.02, including Exhibit 99.1, shall not be deemed to be “filed” for purposes of Section 18 of the Securities Exchange Act of 1934, as amended, or otherwise subject to the liabilities of that section or Sections 11 and 12(a)(2) of the Securities Act of 1933, as amended.</w:t>
      </w:r>
    </w:p>
    <w:p>
      <w:pPr>
        <w:spacing w:after="0" w:line="38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9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8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99.1</w:t>
            </w:r>
          </w:p>
        </w:tc>
        <w:tc>
          <w:tcPr>
            <w:tcW w:w="9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Press release dated May 20, 2026</w:t>
            </w:r>
          </w:p>
        </w:tc>
      </w:tr>
      <w:tr>
        <w:trPr>
          <w:trHeight w:val="20"/>
        </w:trPr>
        <w:tc>
          <w:tcPr>
            <w:tcW w:w="1880" w:type="dxa"/>
            <w:vAlign w:val="bottom"/>
            <w:gridSpan w:val="3"/>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r>
      <w:tr>
        <w:trPr>
          <w:trHeight w:val="250"/>
        </w:trPr>
        <w:tc>
          <w:tcPr>
            <w:tcW w:w="188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color w:val="auto"/>
              </w:rPr>
              <w:t>104</w:t>
            </w:r>
          </w:p>
        </w:tc>
        <w:tc>
          <w:tcPr>
            <w:tcW w:w="9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1303"/>
        </w:trPr>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color w:val="auto"/>
        </w:rPr>
        <w:t>SIGNATURE</w:t>
      </w:r>
    </w:p>
    <w:p>
      <w:pPr>
        <w:spacing w:after="0" w:line="9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May 20, 2026</w:t>
            </w:r>
          </w:p>
        </w:tc>
        <w:tc>
          <w:tcPr>
            <w:tcW w:w="582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ANALOG DEVICES, INC.</w:t>
            </w:r>
          </w:p>
        </w:tc>
      </w:tr>
      <w:tr>
        <w:trPr>
          <w:trHeight w:val="418"/>
        </w:trPr>
        <w:tc>
          <w:tcPr>
            <w:tcW w:w="3760" w:type="dxa"/>
            <w:vAlign w:val="bottom"/>
          </w:tcPr>
          <w:p>
            <w:pPr>
              <w:spacing w:after="0"/>
              <w:rPr>
                <w:sz w:val="24"/>
                <w:szCs w:val="24"/>
                <w:color w:val="auto"/>
              </w:rPr>
            </w:pPr>
          </w:p>
        </w:tc>
        <w:tc>
          <w:tcPr>
            <w:tcW w:w="582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Janene I. Asgeirsson</w:t>
            </w:r>
          </w:p>
        </w:tc>
      </w:tr>
      <w:tr>
        <w:trPr>
          <w:trHeight w:val="228"/>
        </w:trPr>
        <w:tc>
          <w:tcPr>
            <w:tcW w:w="37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Janene I. Asgeirsson</w:t>
            </w:r>
          </w:p>
        </w:tc>
      </w:tr>
    </w:tbl>
    <w:p>
      <w:pPr>
        <w:ind w:left="6500"/>
        <w:spacing w:after="0" w:line="231" w:lineRule="auto"/>
        <w:rPr>
          <w:sz w:val="20"/>
          <w:szCs w:val="20"/>
          <w:color w:val="auto"/>
        </w:rPr>
      </w:pPr>
      <w:r>
        <w:rPr>
          <w:rFonts w:ascii="Times New Roman" w:cs="Times New Roman" w:eastAsia="Times New Roman" w:hAnsi="Times New Roman"/>
          <w:sz w:val="18"/>
          <w:szCs w:val="18"/>
          <w:color w:val="auto"/>
        </w:rPr>
        <w:t>Senior Vice President, Chief Legal Officer</w:t>
      </w:r>
    </w:p>
    <w:p>
      <w:pPr>
        <w:ind w:left="6500"/>
        <w:spacing w:after="0"/>
        <w:rPr>
          <w:sz w:val="20"/>
          <w:szCs w:val="20"/>
          <w:color w:val="auto"/>
        </w:rPr>
      </w:pPr>
      <w:r>
        <w:rPr>
          <w:rFonts w:ascii="Times New Roman" w:cs="Times New Roman" w:eastAsia="Times New Roman" w:hAnsi="Times New Roman"/>
          <w:sz w:val="18"/>
          <w:szCs w:val="18"/>
          <w:color w:val="auto"/>
        </w:rPr>
        <w:t>and Corporate Secretary</w:t>
      </w:r>
    </w:p>
    <w:p>
      <w:pPr>
        <w:sectPr>
          <w:pgSz w:w="11900" w:h="16838" w:orient="portrait"/>
          <w:cols w:equalWidth="0" w:num="1">
            <w:col w:w="10980"/>
          </w:cols>
          <w:pgMar w:left="320" w:top="985" w:right="5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Analog Devices Reports Record Fiscal Second Quarter 2026 Financial Results</w:t>
      </w:r>
    </w:p>
    <w:p>
      <w:pPr>
        <w:spacing w:after="0" w:line="89" w:lineRule="exact"/>
        <w:rPr>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2"/>
          <w:szCs w:val="22"/>
          <w:color w:val="auto"/>
        </w:rPr>
        <w:t>Revenue of $3.62 billion, with year-over-year growth across all end markets, led by Industrial and Communications</w:t>
      </w:r>
    </w:p>
    <w:p>
      <w:pPr>
        <w:spacing w:after="0" w:line="84" w:lineRule="exact"/>
        <w:rPr>
          <w:rFonts w:ascii="Arial" w:cs="Arial" w:eastAsia="Arial" w:hAnsi="Arial"/>
          <w:sz w:val="20"/>
          <w:szCs w:val="20"/>
          <w:color w:val="auto"/>
        </w:rPr>
      </w:pPr>
    </w:p>
    <w:p>
      <w:pPr>
        <w:ind w:left="660" w:right="60" w:hanging="328"/>
        <w:spacing w:after="0" w:line="271"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Operating cash flow of $5.1 billion and free cash flow of $4.6 billion on a trailing twelve-month basis or 40% and 36% of revenue, respectively</w:t>
      </w:r>
    </w:p>
    <w:p>
      <w:pPr>
        <w:spacing w:after="0" w:line="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Returned $1.3 billion to shareholders via dividends and share repurchases in the second quarter</w:t>
      </w:r>
    </w:p>
    <w:p>
      <w:pPr>
        <w:spacing w:after="0" w:line="135"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22"/>
          <w:szCs w:val="22"/>
          <w:b w:val="1"/>
          <w:bCs w:val="1"/>
          <w:color w:val="auto"/>
        </w:rPr>
        <w:t>WILMINGTON, Mass.--May 20, 2026</w:t>
      </w:r>
      <w:r>
        <w:rPr>
          <w:rFonts w:ascii="Times New Roman" w:cs="Times New Roman" w:eastAsia="Times New Roman" w:hAnsi="Times New Roman"/>
          <w:sz w:val="22"/>
          <w:szCs w:val="22"/>
          <w:color w:val="auto"/>
        </w:rPr>
        <w:t>--Analog Devices, Inc. (Nasdaq: ADI), a global semiconductor leader, today announced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financial results for its fiscal second quarter 2026, which ended May 2, 2026.</w:t>
      </w:r>
    </w:p>
    <w:p>
      <w:pPr>
        <w:spacing w:after="0" w:line="99"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22"/>
          <w:szCs w:val="22"/>
          <w:color w:val="auto"/>
        </w:rPr>
        <w:t>“ADI’s second quarter revenue and earnings were above the high end of our outlook, reflecting the combination of record demand and sharp operational discipline,” said Vincent Roche, CEO and Chair. “Our innovation-led value creation strategy targets our customers’ most complex and consequential challenges with a goal of delivering substantial and sustained business impact. We continue to invest to extend our technology performance leadership and enhance our long-term value for customers and shareholders alike.”</w:t>
      </w:r>
    </w:p>
    <w:p>
      <w:pPr>
        <w:spacing w:after="0" w:line="84"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22"/>
          <w:szCs w:val="22"/>
          <w:color w:val="auto"/>
        </w:rPr>
        <w:t>“We continued to see growing demand in the second quarter with record bookings across our B2B markets of Industrial, Automotive, and Communications,” said Richard Puccio, CFO. “These positive demand signals are reflected in our outlook for continued strong growth in the third quarter.”</w:t>
      </w:r>
    </w:p>
    <w:p>
      <w:pPr>
        <w:sectPr>
          <w:pgSz w:w="11900" w:h="16838" w:orient="portrait"/>
          <w:cols w:equalWidth="0" w:num="1">
            <w:col w:w="11240"/>
          </w:cols>
          <w:pgMar w:left="320" w:top="89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u w:val="single" w:color="auto"/>
          <w:color w:val="auto"/>
        </w:rPr>
        <w:t>Performance for the Second Quarter of Fiscal 2026</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u w:val="single" w:color="auto"/>
          <w:color w:val="auto"/>
        </w:rPr>
        <w:t>Results Summary</w:t>
      </w:r>
      <w:r>
        <w:rPr>
          <w:rFonts w:ascii="Times New Roman" w:cs="Times New Roman" w:eastAsia="Times New Roman" w:hAnsi="Times New Roman"/>
          <w:sz w:val="28"/>
          <w:szCs w:val="28"/>
          <w:b w:val="1"/>
          <w:bCs w:val="1"/>
          <w:color w:val="auto"/>
          <w:vertAlign w:val="superscript"/>
        </w:rPr>
        <w:t>(1)</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per-share amounts and percentages)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2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920" w:type="dxa"/>
            <w:vAlign w:val="bottom"/>
            <w:tcBorders>
              <w:top w:val="single" w:sz="8" w:color="auto"/>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980" w:type="dxa"/>
            <w:vAlign w:val="bottom"/>
            <w:tcBorders>
              <w:top w:val="single" w:sz="8" w:color="auto"/>
              <w:bottom w:val="single" w:sz="8" w:color="auto"/>
            </w:tcBorders>
          </w:tcPr>
          <w:p>
            <w:pPr>
              <w:spacing w:after="0"/>
              <w:rPr>
                <w:sz w:val="21"/>
                <w:szCs w:val="21"/>
                <w:color w:val="auto"/>
              </w:rPr>
            </w:pPr>
          </w:p>
        </w:tc>
      </w:tr>
      <w:tr>
        <w:trPr>
          <w:trHeight w:val="223"/>
        </w:trPr>
        <w:tc>
          <w:tcPr>
            <w:tcW w:w="5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60" w:type="dxa"/>
            <w:vAlign w:val="bottom"/>
          </w:tcPr>
          <w:p>
            <w:pPr>
              <w:spacing w:after="0"/>
              <w:rPr>
                <w:sz w:val="19"/>
                <w:szCs w:val="19"/>
                <w:color w:val="auto"/>
              </w:rPr>
            </w:pP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May 3, 2025</w:t>
            </w:r>
          </w:p>
        </w:tc>
        <w:tc>
          <w:tcPr>
            <w:tcW w:w="198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3,623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2,640</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2,440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 percentage</w:t>
            </w: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 bps</w:t>
            </w: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 bps</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111 %</w:t>
            </w:r>
          </w:p>
        </w:tc>
      </w:tr>
      <w:tr>
        <w:trPr>
          <w:trHeight w:val="257"/>
        </w:trPr>
        <w:tc>
          <w:tcPr>
            <w:tcW w:w="5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r>
    </w:tbl>
    <w:p>
      <w:pPr>
        <w:ind w:left="20"/>
        <w:spacing w:after="0" w:line="231" w:lineRule="auto"/>
        <w:rPr>
          <w:sz w:val="20"/>
          <w:szCs w:val="20"/>
          <w:color w:val="auto"/>
        </w:rPr>
      </w:pPr>
      <w:r>
        <w:rPr>
          <w:rFonts w:ascii="Times New Roman" w:cs="Times New Roman" w:eastAsia="Times New Roman" w:hAnsi="Times New Roman"/>
          <w:sz w:val="22"/>
          <w:szCs w:val="22"/>
          <w:b w:val="1"/>
          <w:bCs w:val="1"/>
          <w:color w:val="auto"/>
        </w:rPr>
        <w:t>Adjusted Results</w:t>
      </w:r>
      <w:r>
        <w:rPr>
          <w:rFonts w:ascii="Times New Roman" w:cs="Times New Roman" w:eastAsia="Times New Roman" w:hAnsi="Times New Roman"/>
          <w:sz w:val="28"/>
          <w:szCs w:val="28"/>
          <w:b w:val="1"/>
          <w:bCs w:val="1"/>
          <w:color w:val="auto"/>
          <w:vertAlign w:val="superscript"/>
        </w:rPr>
        <w:t>(2)</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shd w:val="clear" w:color="auto" w:fill="CCEEFF"/>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margin</w:t>
            </w:r>
          </w:p>
        </w:tc>
        <w:tc>
          <w:tcPr>
            <w:tcW w:w="17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2,645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gross margin percentage</w:t>
            </w:r>
          </w:p>
        </w:tc>
        <w:tc>
          <w:tcPr>
            <w:tcW w:w="178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73.0 %</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 bps</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income</w:t>
            </w:r>
          </w:p>
        </w:tc>
        <w:tc>
          <w:tcPr>
            <w:tcW w:w="17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1,774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operating margin</w:t>
            </w:r>
          </w:p>
        </w:tc>
        <w:tc>
          <w:tcPr>
            <w:tcW w:w="178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49.0 %</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 bps</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diluted earnings per share</w:t>
            </w:r>
          </w:p>
        </w:tc>
        <w:tc>
          <w:tcPr>
            <w:tcW w:w="17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3.09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40" w:type="dxa"/>
            <w:vAlign w:val="bottom"/>
            <w:gridSpan w:val="2"/>
          </w:tcPr>
          <w:p>
            <w:pPr>
              <w:spacing w:after="0"/>
              <w:rPr>
                <w:sz w:val="23"/>
                <w:szCs w:val="23"/>
                <w:color w:val="auto"/>
              </w:rPr>
            </w:pPr>
          </w:p>
        </w:tc>
        <w:tc>
          <w:tcPr>
            <w:tcW w:w="198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b w:val="1"/>
                <w:bCs w:val="1"/>
                <w:color w:val="auto"/>
              </w:rPr>
              <w:t>Cash Generation</w:t>
            </w:r>
          </w:p>
        </w:tc>
        <w:tc>
          <w:tcPr>
            <w:tcW w:w="17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Pr>
          <w:p>
            <w:pPr>
              <w:spacing w:after="0"/>
              <w:rPr>
                <w:sz w:val="19"/>
                <w:szCs w:val="19"/>
                <w:color w:val="auto"/>
              </w:rPr>
            </w:pPr>
          </w:p>
        </w:tc>
        <w:tc>
          <w:tcPr>
            <w:tcW w:w="198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Trailing Twelve Months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gridSpan w:val="3"/>
            <w:vMerge w:val="continue"/>
          </w:tcPr>
          <w:p>
            <w:pPr>
              <w:spacing w:after="0"/>
              <w:rPr>
                <w:sz w:val="17"/>
                <w:szCs w:val="17"/>
                <w:color w:val="auto"/>
              </w:rPr>
            </w:pPr>
          </w:p>
        </w:tc>
        <w:tc>
          <w:tcPr>
            <w:tcW w:w="17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center"/>
              <w:ind w:right="240"/>
              <w:spacing w:after="0" w:line="182" w:lineRule="exact"/>
              <w:rPr>
                <w:sz w:val="20"/>
                <w:szCs w:val="20"/>
                <w:color w:val="auto"/>
              </w:rPr>
            </w:pPr>
            <w:r>
              <w:rPr>
                <w:rFonts w:ascii="Times New Roman" w:cs="Times New Roman" w:eastAsia="Times New Roman" w:hAnsi="Times New Roman"/>
                <w:sz w:val="18"/>
                <w:szCs w:val="18"/>
                <w:b w:val="1"/>
                <w:bCs w:val="1"/>
                <w:color w:val="auto"/>
              </w:rPr>
              <w:t>May 2, 2026</w:t>
            </w:r>
          </w:p>
        </w:tc>
        <w:tc>
          <w:tcPr>
            <w:tcW w:w="320" w:type="dxa"/>
            <w:vAlign w:val="bottom"/>
          </w:tcPr>
          <w:p>
            <w:pPr>
              <w:spacing w:after="0"/>
              <w:rPr>
                <w:sz w:val="17"/>
                <w:szCs w:val="17"/>
                <w:color w:val="auto"/>
              </w:rPr>
            </w:pPr>
          </w:p>
        </w:tc>
        <w:tc>
          <w:tcPr>
            <w:tcW w:w="1660" w:type="dxa"/>
            <w:vAlign w:val="bottom"/>
          </w:tcPr>
          <w:p>
            <w:pPr>
              <w:jc w:val="center"/>
              <w:ind w:right="230"/>
              <w:spacing w:after="0" w:line="182" w:lineRule="exact"/>
              <w:rPr>
                <w:sz w:val="20"/>
                <w:szCs w:val="20"/>
                <w:color w:val="auto"/>
              </w:rPr>
            </w:pPr>
            <w:r>
              <w:rPr>
                <w:rFonts w:ascii="Times New Roman" w:cs="Times New Roman" w:eastAsia="Times New Roman" w:hAnsi="Times New Roman"/>
                <w:sz w:val="18"/>
                <w:szCs w:val="18"/>
                <w:b w:val="1"/>
                <w:bCs w:val="1"/>
                <w:color w:val="auto"/>
              </w:rPr>
              <w:t>May 2, 2026</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180" w:type="dxa"/>
            <w:vAlign w:val="bottom"/>
            <w:tcBorders>
              <w:top w:val="single" w:sz="8" w:color="auto"/>
              <w:bottom w:val="single" w:sz="8" w:color="CCEEFF"/>
            </w:tcBorders>
          </w:tcPr>
          <w:p>
            <w:pPr>
              <w:spacing w:after="0"/>
              <w:rPr>
                <w:sz w:val="2"/>
                <w:szCs w:val="2"/>
                <w:color w:val="auto"/>
              </w:rPr>
            </w:pPr>
          </w:p>
        </w:tc>
        <w:tc>
          <w:tcPr>
            <w:tcW w:w="400" w:type="dxa"/>
            <w:vAlign w:val="bottom"/>
            <w:tcBorders>
              <w:top w:val="single" w:sz="8" w:color="auto"/>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7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of revenue</w:t>
            </w:r>
          </w:p>
        </w:tc>
        <w:tc>
          <w:tcPr>
            <w:tcW w:w="17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7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Free cash flow</w:t>
            </w:r>
            <w:r>
              <w:rPr>
                <w:rFonts w:ascii="Times New Roman" w:cs="Times New Roman" w:eastAsia="Times New Roman" w:hAnsi="Times New Roman"/>
                <w:sz w:val="23"/>
                <w:szCs w:val="23"/>
                <w:color w:val="auto"/>
                <w:vertAlign w:val="superscript"/>
              </w:rPr>
              <w:t>(2)</w:t>
            </w:r>
          </w:p>
        </w:tc>
        <w:tc>
          <w:tcPr>
            <w:tcW w:w="17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4,565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of revenue</w:t>
            </w:r>
          </w:p>
        </w:tc>
        <w:tc>
          <w:tcPr>
            <w:tcW w:w="17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40" w:type="dxa"/>
            <w:vAlign w:val="bottom"/>
            <w:gridSpan w:val="2"/>
          </w:tcPr>
          <w:p>
            <w:pPr>
              <w:spacing w:after="0"/>
              <w:rPr>
                <w:sz w:val="22"/>
                <w:szCs w:val="22"/>
                <w:color w:val="auto"/>
              </w:rPr>
            </w:pPr>
          </w:p>
        </w:tc>
        <w:tc>
          <w:tcPr>
            <w:tcW w:w="19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b w:val="1"/>
                <w:bCs w:val="1"/>
                <w:color w:val="auto"/>
              </w:rPr>
              <w:t>Cash Return</w:t>
            </w:r>
          </w:p>
        </w:tc>
        <w:tc>
          <w:tcPr>
            <w:tcW w:w="17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Pr>
          <w:p>
            <w:pPr>
              <w:spacing w:after="0"/>
              <w:rPr>
                <w:sz w:val="19"/>
                <w:szCs w:val="19"/>
                <w:color w:val="auto"/>
              </w:rPr>
            </w:pPr>
          </w:p>
        </w:tc>
        <w:tc>
          <w:tcPr>
            <w:tcW w:w="198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Trailing Twelve Months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gridSpan w:val="3"/>
            <w:vMerge w:val="continue"/>
          </w:tcPr>
          <w:p>
            <w:pPr>
              <w:spacing w:after="0"/>
              <w:rPr>
                <w:sz w:val="17"/>
                <w:szCs w:val="17"/>
                <w:color w:val="auto"/>
              </w:rPr>
            </w:pPr>
          </w:p>
        </w:tc>
        <w:tc>
          <w:tcPr>
            <w:tcW w:w="17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center"/>
              <w:ind w:right="240"/>
              <w:spacing w:after="0" w:line="182" w:lineRule="exact"/>
              <w:rPr>
                <w:sz w:val="20"/>
                <w:szCs w:val="20"/>
                <w:color w:val="auto"/>
              </w:rPr>
            </w:pPr>
            <w:r>
              <w:rPr>
                <w:rFonts w:ascii="Times New Roman" w:cs="Times New Roman" w:eastAsia="Times New Roman" w:hAnsi="Times New Roman"/>
                <w:sz w:val="18"/>
                <w:szCs w:val="18"/>
                <w:b w:val="1"/>
                <w:bCs w:val="1"/>
                <w:color w:val="auto"/>
              </w:rPr>
              <w:t>May 2, 2026</w:t>
            </w:r>
          </w:p>
        </w:tc>
        <w:tc>
          <w:tcPr>
            <w:tcW w:w="320" w:type="dxa"/>
            <w:vAlign w:val="bottom"/>
          </w:tcPr>
          <w:p>
            <w:pPr>
              <w:spacing w:after="0"/>
              <w:rPr>
                <w:sz w:val="17"/>
                <w:szCs w:val="17"/>
                <w:color w:val="auto"/>
              </w:rPr>
            </w:pPr>
          </w:p>
        </w:tc>
        <w:tc>
          <w:tcPr>
            <w:tcW w:w="1660" w:type="dxa"/>
            <w:vAlign w:val="bottom"/>
          </w:tcPr>
          <w:p>
            <w:pPr>
              <w:jc w:val="center"/>
              <w:ind w:right="230"/>
              <w:spacing w:after="0" w:line="182" w:lineRule="exact"/>
              <w:rPr>
                <w:sz w:val="20"/>
                <w:szCs w:val="20"/>
                <w:color w:val="auto"/>
              </w:rPr>
            </w:pPr>
            <w:r>
              <w:rPr>
                <w:rFonts w:ascii="Times New Roman" w:cs="Times New Roman" w:eastAsia="Times New Roman" w:hAnsi="Times New Roman"/>
                <w:sz w:val="18"/>
                <w:szCs w:val="18"/>
                <w:b w:val="1"/>
                <w:bCs w:val="1"/>
                <w:color w:val="auto"/>
              </w:rPr>
              <w:t>May 2, 2026</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180" w:type="dxa"/>
            <w:vAlign w:val="bottom"/>
            <w:tcBorders>
              <w:top w:val="single" w:sz="8" w:color="auto"/>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paid</w:t>
            </w:r>
          </w:p>
        </w:tc>
        <w:tc>
          <w:tcPr>
            <w:tcW w:w="17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(1,998)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0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Stock repurchases</w:t>
            </w:r>
          </w:p>
        </w:tc>
        <w:tc>
          <w:tcPr>
            <w:tcW w:w="17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(3,045)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returned</w:t>
            </w:r>
          </w:p>
        </w:tc>
        <w:tc>
          <w:tcPr>
            <w:tcW w:w="17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(5,043)</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280" w:hanging="254"/>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and/or computation of the individual amounts may not equal the total due to rounding.</w:t>
      </w:r>
    </w:p>
    <w:p>
      <w:pPr>
        <w:spacing w:after="0" w:line="27" w:lineRule="exact"/>
        <w:rPr>
          <w:rFonts w:ascii="Times New Roman" w:cs="Times New Roman" w:eastAsia="Times New Roman" w:hAnsi="Times New Roman"/>
          <w:sz w:val="18"/>
          <w:szCs w:val="18"/>
          <w:color w:val="auto"/>
        </w:rPr>
      </w:pPr>
    </w:p>
    <w:p>
      <w:pPr>
        <w:ind w:left="20" w:right="500" w:firstLine="6"/>
        <w:spacing w:after="0" w:line="245" w:lineRule="auto"/>
        <w:tabs>
          <w:tab w:leader="none" w:pos="2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Reconciliations of non-GAAP financial measures to their most directly comparable GAAP financial measures are provided in the financial tables included in this press release. See also the “Non-GAAP Financial Information” section for additional information.</w:t>
      </w:r>
    </w:p>
    <w:p>
      <w:pPr>
        <w:sectPr>
          <w:pgSz w:w="11900" w:h="16838" w:orient="portrait"/>
          <w:cols w:equalWidth="0" w:num="1">
            <w:col w:w="11240"/>
          </w:cols>
          <w:pgMar w:left="320" w:top="89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u w:val="single" w:color="auto"/>
          <w:color w:val="auto"/>
        </w:rPr>
        <w:t>Outlook for the Third Quarter of Fiscal Year 2026</w:t>
      </w:r>
    </w:p>
    <w:p>
      <w:pPr>
        <w:spacing w:after="0" w:line="25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2"/>
          <w:szCs w:val="22"/>
          <w:color w:val="auto"/>
        </w:rPr>
        <w:t>For the third quarter of fiscal 2026, we are forecasting revenue of $3.9 billion, +/- $100 million. At the midpoint of this revenue outlook, we expect reported operating margin of approximately 39.0%, +/-150 bps, and adjusted operating margin of approximately 49.0%, +/-100 bps. We are planning for reported EPS to be $2.60, +/-$0.15, and adjusted EPS to be $3.30, +/-$0.15.</w:t>
      </w:r>
    </w:p>
    <w:p>
      <w:pPr>
        <w:spacing w:after="0" w:line="20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Our third quarter fiscal 2026 outlook is based on current expectations and actual results may differ materially as a result of, among other things, the important factors discussed at the end of this release. The statements about our third quarter fiscal 2026 outlook supersede all prior statements regarding our business outlook set forth in prior ADI news releases, and ADI disclaims any obligation to update these forward-looking statements.</w:t>
      </w:r>
    </w:p>
    <w:p>
      <w:pPr>
        <w:spacing w:after="0" w:line="20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2"/>
          <w:szCs w:val="22"/>
          <w:color w:val="auto"/>
        </w:rPr>
        <w:t>The adjusted results and adjusted anticipated results above are financial measures presented on a non-GAAP basis. Reconciliations of these non-GAAP financial measures to their most directly comparable GAAP financial measures are provided in the financial tables included in this release. See also the “Non-GAAP Financial Information” section for additional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Dividend Payment</w:t>
      </w:r>
    </w:p>
    <w:p>
      <w:pPr>
        <w:spacing w:after="0" w:line="264" w:lineRule="exact"/>
        <w:rPr>
          <w:sz w:val="20"/>
          <w:szCs w:val="20"/>
          <w:color w:val="auto"/>
        </w:rPr>
      </w:pPr>
    </w:p>
    <w:p>
      <w:pPr>
        <w:ind w:right="760"/>
        <w:spacing w:after="0" w:line="271" w:lineRule="auto"/>
        <w:rPr>
          <w:sz w:val="20"/>
          <w:szCs w:val="20"/>
          <w:color w:val="auto"/>
        </w:rPr>
      </w:pPr>
      <w:r>
        <w:rPr>
          <w:rFonts w:ascii="Times New Roman" w:cs="Times New Roman" w:eastAsia="Times New Roman" w:hAnsi="Times New Roman"/>
          <w:sz w:val="22"/>
          <w:szCs w:val="22"/>
          <w:color w:val="auto"/>
        </w:rPr>
        <w:t>The ADI Board of Directors has declared a quarterly cash dividend of $1.10 per outstanding share of common stock. The dividend will be paid on June 16, 2026 to all shareholders of record at the close of business on June 2,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Conference Call Scheduled for Today, Wednesday, May 20, 2026 at 10:00 am ET</w:t>
      </w:r>
    </w:p>
    <w:p>
      <w:pPr>
        <w:spacing w:after="0" w:line="251"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22"/>
          <w:szCs w:val="22"/>
          <w:color w:val="auto"/>
        </w:rPr>
        <w:t>ADI will host a conference call to discuss our second quarter fiscal 2026 results and short-term outlook today, beginning at 10:00 am ET. Investors may join via webcast, accessible at investor.analog.com.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Non-GAAP Financial Information</w:t>
      </w:r>
    </w:p>
    <w:p>
      <w:pPr>
        <w:spacing w:after="0" w:line="25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2"/>
          <w:szCs w:val="22"/>
          <w:color w:val="auto"/>
        </w:rPr>
        <w:t>This release includes non-GAAP financial measures that are not in accordance with, nor an alternative to, U.S. generally accepted accounting principles (GAAP) and may be different from non-GAAP measures presented by other companies. In addition, these non-GAAP measures are not based on any comprehensive set of accounting rules or principles. These non-GAAP measures have material limitations in that they do not reflect all of the amounts associated with the Company’s results of operations as determined in accordance with GAAP and should not be considered in isolation from, or as a substitute for, the Company’s financial results presented in accordance with GAAP. The Company’s use of non-GAAP measures, and the underlying methodology when including or excluding certain items, is not necessarily an indication of the results of operations that may be expected in the future, or that the Company will not, in fact, record such items in future periods. You are cautioned not to place undue reliance on these non-GAAP measures. Reconciliations of these non-GAAP financial measures to their most directly comparable GAAP financial measures are provided in the financial tables included in this release.</w:t>
      </w:r>
    </w:p>
    <w:p>
      <w:pPr>
        <w:spacing w:after="0" w:line="6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1"/>
          <w:szCs w:val="21"/>
          <w:color w:val="auto"/>
        </w:rPr>
        <w:t>Management uses non-GAAP measures internally to evaluate the Company’s operating performance from continuing operations against past periods and to budget and allocate resources in future periods. These non-GAAP measures also assist management in evaluating the Company’s core business and trends across different reporting periods on a consistent basis. Management also uses these non-GAAP measures as primary performance measurements when communicating with analysts and investors regarding the Company’s earnings results and outlook and believes that the presentation of these non-GAAP measures is</w:t>
      </w:r>
    </w:p>
    <w:p>
      <w:pPr>
        <w:sectPr>
          <w:pgSz w:w="11900" w:h="16838" w:orient="portrait"/>
          <w:cols w:equalWidth="0" w:num="1">
            <w:col w:w="11240"/>
          </w:cols>
          <w:pgMar w:left="320" w:top="891" w:right="339" w:bottom="1440" w:gutter="0" w:footer="0" w:header="0"/>
        </w:sectPr>
      </w:pPr>
    </w:p>
    <w:bookmarkStart w:id="6" w:name="page7"/>
    <w:bookmarkEnd w:id="6"/>
    <w:p>
      <w:pPr>
        <w:ind w:right="20"/>
        <w:spacing w:after="0" w:line="250" w:lineRule="auto"/>
        <w:rPr>
          <w:sz w:val="20"/>
          <w:szCs w:val="20"/>
          <w:color w:val="auto"/>
        </w:rPr>
      </w:pPr>
      <w:r>
        <w:rPr>
          <w:rFonts w:ascii="Times New Roman" w:cs="Times New Roman" w:eastAsia="Times New Roman" w:hAnsi="Times New Roman"/>
          <w:sz w:val="22"/>
          <w:szCs w:val="22"/>
          <w:color w:val="auto"/>
        </w:rPr>
        <w:t>useful to investors because it provides investors with the operating results that management uses to manage the Company and enables investors and analysts to evaluate the Company’s core business. Management also believes that free cash flow, a non-GAAP liquidity measure, is useful both internally and to investors because it is indicative of the Company's ability to pay dividends, purchase common stock, make investments and fund acquisitions and, in the absence of refinancings, to repay its debt obligations.</w:t>
      </w:r>
    </w:p>
    <w:p>
      <w:pPr>
        <w:spacing w:after="0" w:line="59"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21"/>
          <w:szCs w:val="21"/>
          <w:color w:val="auto"/>
        </w:rPr>
        <w:t>The non-GAAP financial measures referenced by ADI in this release include: adjusted gross margin, adjusted gross margin percentage, adjusted operating expenses, adjusted operating expenses percentage, adjusted operating income, adjusted operating margin, adjusted nonoperating expense (income), adjusted income before income taxes, adjusted provision for income taxes, adjusted tax rate, adjusted diluted earnings per share (EPS), free cash flow, and free cash flow revenue percentage.</w:t>
      </w:r>
    </w:p>
    <w:p>
      <w:pPr>
        <w:spacing w:after="0" w:line="35" w:lineRule="exact"/>
        <w:rPr>
          <w:sz w:val="20"/>
          <w:szCs w:val="20"/>
          <w:color w:val="auto"/>
        </w:rPr>
      </w:pPr>
    </w:p>
    <w:p>
      <w:pPr>
        <w:ind w:right="200"/>
        <w:spacing w:after="0" w:line="231" w:lineRule="auto"/>
        <w:rPr>
          <w:sz w:val="20"/>
          <w:szCs w:val="20"/>
          <w:color w:val="auto"/>
        </w:rPr>
      </w:pPr>
      <w:r>
        <w:rPr>
          <w:rFonts w:ascii="Times New Roman" w:cs="Times New Roman" w:eastAsia="Times New Roman" w:hAnsi="Times New Roman"/>
          <w:sz w:val="22"/>
          <w:szCs w:val="22"/>
          <w:color w:val="auto"/>
        </w:rPr>
        <w:t xml:space="preserve">Adjusted gross margin is defined as gross margin, determined in accordance with GAAP, excluding: certain </w:t>
      </w:r>
      <w:r>
        <w:rPr>
          <w:rFonts w:ascii="Times New Roman" w:cs="Times New Roman" w:eastAsia="Times New Roman" w:hAnsi="Times New Roman"/>
          <w:sz w:val="22"/>
          <w:szCs w:val="22"/>
          <w:i w:val="1"/>
          <w:iCs w:val="1"/>
          <w:color w:val="auto"/>
        </w:rPr>
        <w:t>acquisition related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expenses</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which are described further below</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Adjusted gross margin percentage represents adjusted gross margin divided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revenue.</w:t>
      </w:r>
    </w:p>
    <w:p>
      <w:pPr>
        <w:spacing w:after="0" w:line="71" w:lineRule="exact"/>
        <w:rPr>
          <w:sz w:val="20"/>
          <w:szCs w:val="20"/>
          <w:color w:val="auto"/>
        </w:rPr>
      </w:pPr>
    </w:p>
    <w:p>
      <w:pPr>
        <w:jc w:val="both"/>
        <w:ind w:right="800"/>
        <w:spacing w:after="0" w:line="230" w:lineRule="auto"/>
        <w:rPr>
          <w:sz w:val="20"/>
          <w:szCs w:val="20"/>
          <w:color w:val="auto"/>
        </w:rPr>
      </w:pPr>
      <w:r>
        <w:rPr>
          <w:rFonts w:ascii="Times New Roman" w:cs="Times New Roman" w:eastAsia="Times New Roman" w:hAnsi="Times New Roman"/>
          <w:sz w:val="22"/>
          <w:szCs w:val="22"/>
          <w:color w:val="auto"/>
        </w:rPr>
        <w:t xml:space="preserve">Adjusted operating expenses is defined as operating expenses, determined in accordance with GAAP, excluding: certain </w:t>
      </w:r>
      <w:r>
        <w:rPr>
          <w:rFonts w:ascii="Times New Roman" w:cs="Times New Roman" w:eastAsia="Times New Roman" w:hAnsi="Times New Roman"/>
          <w:sz w:val="22"/>
          <w:szCs w:val="22"/>
          <w:i w:val="1"/>
          <w:iCs w:val="1"/>
          <w:color w:val="auto"/>
        </w:rPr>
        <w:t>acquisition related expenses</w:t>
      </w:r>
      <w:r>
        <w:rPr>
          <w:rFonts w:ascii="Times New Roman" w:cs="Times New Roman" w:eastAsia="Times New Roman" w:hAnsi="Times New Roman"/>
          <w:sz w:val="28"/>
          <w:szCs w:val="28"/>
          <w:i w:val="1"/>
          <w:iCs w:val="1"/>
          <w:color w:val="auto"/>
          <w:vertAlign w:val="superscript"/>
        </w:rPr>
        <w:t>1</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special charges, net</w:t>
      </w:r>
      <w:r>
        <w:rPr>
          <w:rFonts w:ascii="Times New Roman" w:cs="Times New Roman" w:eastAsia="Times New Roman" w:hAnsi="Times New Roman"/>
          <w:sz w:val="28"/>
          <w:szCs w:val="28"/>
          <w:i w:val="1"/>
          <w:iCs w:val="1"/>
          <w:color w:val="auto"/>
          <w:vertAlign w:val="superscript"/>
        </w:rPr>
        <w:t>2</w:t>
      </w:r>
      <w:r>
        <w:rPr>
          <w:rFonts w:ascii="Times New Roman" w:cs="Times New Roman" w:eastAsia="Times New Roman" w:hAnsi="Times New Roman"/>
          <w:sz w:val="22"/>
          <w:szCs w:val="22"/>
          <w:color w:val="auto"/>
        </w:rPr>
        <w:t>, which are described further below. Adjusted operating expenses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percentage represents adjusted operating expenses divided by revenue.</w:t>
      </w:r>
    </w:p>
    <w:p>
      <w:pPr>
        <w:spacing w:after="0" w:line="67" w:lineRule="exact"/>
        <w:rPr>
          <w:sz w:val="20"/>
          <w:szCs w:val="20"/>
          <w:color w:val="auto"/>
        </w:rPr>
      </w:pPr>
    </w:p>
    <w:p>
      <w:pPr>
        <w:jc w:val="both"/>
        <w:ind w:right="60"/>
        <w:spacing w:after="0" w:line="231" w:lineRule="auto"/>
        <w:rPr>
          <w:sz w:val="20"/>
          <w:szCs w:val="20"/>
          <w:color w:val="auto"/>
        </w:rPr>
      </w:pPr>
      <w:r>
        <w:rPr>
          <w:rFonts w:ascii="Times New Roman" w:cs="Times New Roman" w:eastAsia="Times New Roman" w:hAnsi="Times New Roman"/>
          <w:sz w:val="22"/>
          <w:szCs w:val="22"/>
          <w:color w:val="auto"/>
        </w:rPr>
        <w:t xml:space="preserve">Adjusted operating income is defined as operating income, determined in accordance with GAAP, excluding: </w:t>
      </w:r>
      <w:r>
        <w:rPr>
          <w:rFonts w:ascii="Times New Roman" w:cs="Times New Roman" w:eastAsia="Times New Roman" w:hAnsi="Times New Roman"/>
          <w:sz w:val="22"/>
          <w:szCs w:val="22"/>
          <w:i w:val="1"/>
          <w:iCs w:val="1"/>
          <w:color w:val="auto"/>
        </w:rPr>
        <w:t>acquisition related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expenses</w:t>
      </w:r>
      <w:r>
        <w:rPr>
          <w:rFonts w:ascii="Times New Roman" w:cs="Times New Roman" w:eastAsia="Times New Roman" w:hAnsi="Times New Roman"/>
          <w:sz w:val="28"/>
          <w:szCs w:val="28"/>
          <w:i w:val="1"/>
          <w:iCs w:val="1"/>
          <w:color w:val="auto"/>
          <w:vertAlign w:val="superscript"/>
        </w:rPr>
        <w:t>1</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special charges, net</w:t>
      </w:r>
      <w:r>
        <w:rPr>
          <w:rFonts w:ascii="Times New Roman" w:cs="Times New Roman" w:eastAsia="Times New Roman" w:hAnsi="Times New Roman"/>
          <w:sz w:val="28"/>
          <w:szCs w:val="28"/>
          <w:i w:val="1"/>
          <w:iCs w:val="1"/>
          <w:color w:val="auto"/>
          <w:vertAlign w:val="superscript"/>
        </w:rPr>
        <w:t>2</w:t>
      </w:r>
      <w:r>
        <w:rPr>
          <w:rFonts w:ascii="Times New Roman" w:cs="Times New Roman" w:eastAsia="Times New Roman" w:hAnsi="Times New Roman"/>
          <w:sz w:val="22"/>
          <w:szCs w:val="22"/>
          <w:color w:val="auto"/>
        </w:rPr>
        <w:t>, which are described further below. Adjusted operating margin represents adjusted operating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income divided by revenue.</w:t>
      </w:r>
    </w:p>
    <w:p>
      <w:pPr>
        <w:spacing w:after="0" w:line="71"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22"/>
          <w:szCs w:val="22"/>
          <w:color w:val="auto"/>
        </w:rPr>
        <w:t xml:space="preserve">Adjusted nonoperating expense (income) is defined as nonoperating expense (income), determined in accordance with GAAP, excluding: certain </w:t>
      </w:r>
      <w:r>
        <w:rPr>
          <w:rFonts w:ascii="Times New Roman" w:cs="Times New Roman" w:eastAsia="Times New Roman" w:hAnsi="Times New Roman"/>
          <w:sz w:val="22"/>
          <w:szCs w:val="22"/>
          <w:i w:val="1"/>
          <w:iCs w:val="1"/>
          <w:color w:val="auto"/>
        </w:rPr>
        <w:t>acquisition related expenses</w:t>
      </w:r>
      <w:r>
        <w:rPr>
          <w:rFonts w:ascii="Times New Roman" w:cs="Times New Roman" w:eastAsia="Times New Roman" w:hAnsi="Times New Roman"/>
          <w:sz w:val="28"/>
          <w:szCs w:val="28"/>
          <w:i w:val="1"/>
          <w:iCs w:val="1"/>
          <w:color w:val="auto"/>
          <w:vertAlign w:val="superscript"/>
        </w:rPr>
        <w:t>1</w:t>
      </w:r>
      <w:r>
        <w:rPr>
          <w:rFonts w:ascii="Times New Roman" w:cs="Times New Roman" w:eastAsia="Times New Roman" w:hAnsi="Times New Roman"/>
          <w:sz w:val="22"/>
          <w:szCs w:val="22"/>
          <w:color w:val="auto"/>
        </w:rPr>
        <w:t>, which is described further below.</w:t>
      </w:r>
    </w:p>
    <w:p>
      <w:pPr>
        <w:spacing w:after="0" w:line="1" w:lineRule="exact"/>
        <w:rPr>
          <w:sz w:val="20"/>
          <w:szCs w:val="20"/>
          <w:color w:val="auto"/>
        </w:rPr>
      </w:pPr>
    </w:p>
    <w:p>
      <w:pPr>
        <w:ind w:right="860"/>
        <w:spacing w:after="0" w:line="253" w:lineRule="auto"/>
        <w:rPr>
          <w:sz w:val="20"/>
          <w:szCs w:val="20"/>
          <w:color w:val="auto"/>
        </w:rPr>
      </w:pPr>
      <w:r>
        <w:rPr>
          <w:rFonts w:ascii="Times New Roman" w:cs="Times New Roman" w:eastAsia="Times New Roman" w:hAnsi="Times New Roman"/>
          <w:sz w:val="22"/>
          <w:szCs w:val="22"/>
          <w:color w:val="auto"/>
        </w:rPr>
        <w:t xml:space="preserve">Adjusted income before income taxes is defined as income before income taxes, determined in accordance with GAAP, excluding: </w:t>
      </w:r>
      <w:r>
        <w:rPr>
          <w:rFonts w:ascii="Times New Roman" w:cs="Times New Roman" w:eastAsia="Times New Roman" w:hAnsi="Times New Roman"/>
          <w:sz w:val="22"/>
          <w:szCs w:val="22"/>
          <w:i w:val="1"/>
          <w:iCs w:val="1"/>
          <w:color w:val="auto"/>
        </w:rPr>
        <w:t>acquisition related expenses</w:t>
      </w:r>
      <w:r>
        <w:rPr>
          <w:rFonts w:ascii="Times New Roman" w:cs="Times New Roman" w:eastAsia="Times New Roman" w:hAnsi="Times New Roman"/>
          <w:sz w:val="28"/>
          <w:szCs w:val="28"/>
          <w:i w:val="1"/>
          <w:iCs w:val="1"/>
          <w:color w:val="auto"/>
          <w:vertAlign w:val="superscript"/>
        </w:rPr>
        <w:t>1</w:t>
      </w:r>
      <w:r>
        <w:rPr>
          <w:rFonts w:ascii="Times New Roman" w:cs="Times New Roman" w:eastAsia="Times New Roman" w:hAnsi="Times New Roman"/>
          <w:sz w:val="22"/>
          <w:szCs w:val="22"/>
          <w:color w:val="auto"/>
        </w:rPr>
        <w:t xml:space="preserve"> and s</w:t>
      </w:r>
      <w:r>
        <w:rPr>
          <w:rFonts w:ascii="Times New Roman" w:cs="Times New Roman" w:eastAsia="Times New Roman" w:hAnsi="Times New Roman"/>
          <w:sz w:val="22"/>
          <w:szCs w:val="22"/>
          <w:i w:val="1"/>
          <w:iCs w:val="1"/>
          <w:color w:val="auto"/>
        </w:rPr>
        <w:t>pecial charges, net</w:t>
      </w:r>
      <w:r>
        <w:rPr>
          <w:rFonts w:ascii="Times New Roman" w:cs="Times New Roman" w:eastAsia="Times New Roman" w:hAnsi="Times New Roman"/>
          <w:sz w:val="28"/>
          <w:szCs w:val="28"/>
          <w:i w:val="1"/>
          <w:iCs w:val="1"/>
          <w:color w:val="auto"/>
          <w:vertAlign w:val="superscript"/>
        </w:rPr>
        <w:t>2</w:t>
      </w:r>
      <w:r>
        <w:rPr>
          <w:rFonts w:ascii="Times New Roman" w:cs="Times New Roman" w:eastAsia="Times New Roman" w:hAnsi="Times New Roman"/>
          <w:sz w:val="22"/>
          <w:szCs w:val="22"/>
          <w:color w:val="auto"/>
        </w:rPr>
        <w:t>, which are described further below.</w:t>
      </w:r>
    </w:p>
    <w:p>
      <w:pPr>
        <w:spacing w:after="0" w:line="1"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22"/>
          <w:szCs w:val="22"/>
          <w:color w:val="auto"/>
        </w:rPr>
        <w:t xml:space="preserve">Adjusted provision for income taxes is defined as provision for income taxes, determined in accordance with GAAP, excluding </w:t>
      </w:r>
      <w:r>
        <w:rPr>
          <w:rFonts w:ascii="Times New Roman" w:cs="Times New Roman" w:eastAsia="Times New Roman" w:hAnsi="Times New Roman"/>
          <w:sz w:val="22"/>
          <w:szCs w:val="22"/>
          <w:i w:val="1"/>
          <w:iCs w:val="1"/>
          <w:color w:val="auto"/>
        </w:rPr>
        <w:t>tax related items</w:t>
      </w:r>
      <w:r>
        <w:rPr>
          <w:rFonts w:ascii="Times New Roman" w:cs="Times New Roman" w:eastAsia="Times New Roman" w:hAnsi="Times New Roman"/>
          <w:sz w:val="28"/>
          <w:szCs w:val="28"/>
          <w:i w:val="1"/>
          <w:iCs w:val="1"/>
          <w:color w:val="auto"/>
          <w:vertAlign w:val="superscript"/>
        </w:rPr>
        <w:t>3</w:t>
      </w:r>
      <w:r>
        <w:rPr>
          <w:rFonts w:ascii="Times New Roman" w:cs="Times New Roman" w:eastAsia="Times New Roman" w:hAnsi="Times New Roman"/>
          <w:sz w:val="22"/>
          <w:szCs w:val="22"/>
          <w:color w:val="auto"/>
        </w:rPr>
        <w:t>, which are described further below. Adjusted tax rate represents adjusted provision for income taxes divided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adjusted income before income taxes.</w:t>
      </w:r>
    </w:p>
    <w:p>
      <w:pPr>
        <w:spacing w:after="0" w:line="63"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22"/>
          <w:szCs w:val="22"/>
          <w:color w:val="auto"/>
        </w:rPr>
        <w:t xml:space="preserve">Adjusted diluted EPS is defined as diluted EPS, determined in accordance with GAAP, excluding: </w:t>
      </w:r>
      <w:r>
        <w:rPr>
          <w:rFonts w:ascii="Times New Roman" w:cs="Times New Roman" w:eastAsia="Times New Roman" w:hAnsi="Times New Roman"/>
          <w:sz w:val="22"/>
          <w:szCs w:val="22"/>
          <w:i w:val="1"/>
          <w:iCs w:val="1"/>
          <w:color w:val="auto"/>
        </w:rPr>
        <w:t>acquisition related expenses</w:t>
      </w:r>
      <w:r>
        <w:rPr>
          <w:rFonts w:ascii="Times New Roman" w:cs="Times New Roman" w:eastAsia="Times New Roman" w:hAnsi="Times New Roman"/>
          <w:sz w:val="28"/>
          <w:szCs w:val="28"/>
          <w:i w:val="1"/>
          <w:iCs w:val="1"/>
          <w:color w:val="auto"/>
          <w:vertAlign w:val="superscript"/>
        </w:rPr>
        <w:t>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special charges, net</w:t>
      </w:r>
      <w:r>
        <w:rPr>
          <w:rFonts w:ascii="Times New Roman" w:cs="Times New Roman" w:eastAsia="Times New Roman" w:hAnsi="Times New Roman"/>
          <w:sz w:val="28"/>
          <w:szCs w:val="28"/>
          <w:i w:val="1"/>
          <w:iCs w:val="1"/>
          <w:color w:val="auto"/>
          <w:vertAlign w:val="superscript"/>
        </w:rPr>
        <w:t>2</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i w:val="1"/>
          <w:iCs w:val="1"/>
          <w:color w:val="auto"/>
        </w:rPr>
        <w:t xml:space="preserve"> tax related items</w:t>
      </w:r>
      <w:r>
        <w:rPr>
          <w:rFonts w:ascii="Times New Roman" w:cs="Times New Roman" w:eastAsia="Times New Roman" w:hAnsi="Times New Roman"/>
          <w:sz w:val="28"/>
          <w:szCs w:val="28"/>
          <w:i w:val="1"/>
          <w:iCs w:val="1"/>
          <w:color w:val="auto"/>
          <w:vertAlign w:val="superscript"/>
        </w:rPr>
        <w:t>3</w:t>
      </w:r>
      <w:r>
        <w:rPr>
          <w:rFonts w:ascii="Times New Roman" w:cs="Times New Roman" w:eastAsia="Times New Roman" w:hAnsi="Times New Roman"/>
          <w:sz w:val="22"/>
          <w:szCs w:val="22"/>
          <w:color w:val="auto"/>
        </w:rPr>
        <w:t>, which are described further below.</w:t>
      </w:r>
    </w:p>
    <w:p>
      <w:pPr>
        <w:spacing w:after="0" w:line="2" w:lineRule="exact"/>
        <w:rPr>
          <w:sz w:val="20"/>
          <w:szCs w:val="20"/>
          <w:color w:val="auto"/>
        </w:rPr>
      </w:pPr>
    </w:p>
    <w:p>
      <w:pPr>
        <w:ind w:right="340"/>
        <w:spacing w:after="0" w:line="257" w:lineRule="auto"/>
        <w:rPr>
          <w:sz w:val="20"/>
          <w:szCs w:val="20"/>
          <w:color w:val="auto"/>
        </w:rPr>
      </w:pPr>
      <w:r>
        <w:rPr>
          <w:rFonts w:ascii="Times New Roman" w:cs="Times New Roman" w:eastAsia="Times New Roman" w:hAnsi="Times New Roman"/>
          <w:sz w:val="22"/>
          <w:szCs w:val="22"/>
          <w:color w:val="auto"/>
        </w:rPr>
        <w:t>Free cash flow is defined as net cash provided by operating activities, determined in accordance with GAAP, less additions to property, plant and equipment, net. Free cash flow revenue percentage represents free cash flow divided by revenue.</w:t>
      </w:r>
    </w:p>
    <w:p>
      <w:pPr>
        <w:spacing w:after="0" w:line="44" w:lineRule="exact"/>
        <w:rPr>
          <w:sz w:val="20"/>
          <w:szCs w:val="20"/>
          <w:color w:val="auto"/>
        </w:rPr>
      </w:pPr>
    </w:p>
    <w:p>
      <w:pPr>
        <w:ind w:left="660" w:right="80"/>
        <w:spacing w:after="0" w:line="236" w:lineRule="auto"/>
        <w:rPr>
          <w:sz w:val="20"/>
          <w:szCs w:val="20"/>
          <w:color w:val="auto"/>
        </w:rPr>
      </w:pPr>
      <w:r>
        <w:rPr>
          <w:rFonts w:ascii="Times New Roman" w:cs="Times New Roman" w:eastAsia="Times New Roman" w:hAnsi="Times New Roman"/>
          <w:sz w:val="28"/>
          <w:szCs w:val="28"/>
          <w:i w:val="1"/>
          <w:iCs w:val="1"/>
          <w:color w:val="auto"/>
          <w:vertAlign w:val="superscript"/>
        </w:rPr>
        <w:t>1</w:t>
      </w:r>
      <w:r>
        <w:rPr>
          <w:rFonts w:ascii="Times New Roman" w:cs="Times New Roman" w:eastAsia="Times New Roman" w:hAnsi="Times New Roman"/>
          <w:sz w:val="22"/>
          <w:szCs w:val="22"/>
          <w:i w:val="1"/>
          <w:iCs w:val="1"/>
          <w:color w:val="auto"/>
        </w:rPr>
        <w:t>Acquisition Related Expenses</w:t>
      </w:r>
      <w:r>
        <w:rPr>
          <w:rFonts w:ascii="Times New Roman" w:cs="Times New Roman" w:eastAsia="Times New Roman" w:hAnsi="Times New Roman"/>
          <w:sz w:val="22"/>
          <w:szCs w:val="22"/>
          <w:color w:val="auto"/>
        </w:rPr>
        <w:t>: Expenses incurred as a result of current and prior period acquisitions and primarily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include expenses associated with the fair value adjustments to debt, property, plant and equipment and amortization of acquisition related intangibles, which include acquired intangibles such as purchased technology and customer relationships. We excluded these costs from our non-GAAP measures because they relate to specific transactions and are not reflective of our ongoing financial performance.</w:t>
      </w:r>
    </w:p>
    <w:p>
      <w:pPr>
        <w:spacing w:after="0" w:line="69" w:lineRule="exact"/>
        <w:rPr>
          <w:sz w:val="20"/>
          <w:szCs w:val="20"/>
          <w:color w:val="auto"/>
        </w:rPr>
      </w:pPr>
    </w:p>
    <w:p>
      <w:pPr>
        <w:ind w:left="660" w:right="600"/>
        <w:spacing w:after="0" w:line="235" w:lineRule="auto"/>
        <w:rPr>
          <w:sz w:val="20"/>
          <w:szCs w:val="20"/>
          <w:color w:val="auto"/>
        </w:rPr>
      </w:pPr>
      <w:r>
        <w:rPr>
          <w:rFonts w:ascii="Times New Roman" w:cs="Times New Roman" w:eastAsia="Times New Roman" w:hAnsi="Times New Roman"/>
          <w:sz w:val="28"/>
          <w:szCs w:val="28"/>
          <w:i w:val="1"/>
          <w:iCs w:val="1"/>
          <w:color w:val="auto"/>
          <w:vertAlign w:val="superscript"/>
        </w:rPr>
        <w:t>2</w:t>
      </w:r>
      <w:r>
        <w:rPr>
          <w:rFonts w:ascii="Times New Roman" w:cs="Times New Roman" w:eastAsia="Times New Roman" w:hAnsi="Times New Roman"/>
          <w:sz w:val="22"/>
          <w:szCs w:val="22"/>
          <w:i w:val="1"/>
          <w:iCs w:val="1"/>
          <w:color w:val="auto"/>
        </w:rPr>
        <w:t>Special Charges, Net</w:t>
      </w:r>
      <w:r>
        <w:rPr>
          <w:rFonts w:ascii="Times New Roman" w:cs="Times New Roman" w:eastAsia="Times New Roman" w:hAnsi="Times New Roman"/>
          <w:sz w:val="22"/>
          <w:szCs w:val="22"/>
          <w:color w:val="auto"/>
        </w:rPr>
        <w:t>: Expenses, net, incurred in connection with facility closures, consolidation of manufacturing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facilities, severance, other accelerated stock-based compensation expense and other cost reduction efforts or reorganizational initiatives. We excluded these expenses from our</w:t>
      </w:r>
    </w:p>
    <w:p>
      <w:pPr>
        <w:sectPr>
          <w:pgSz w:w="11900" w:h="16838" w:orient="portrait"/>
          <w:cols w:equalWidth="0" w:num="1">
            <w:col w:w="11180"/>
          </w:cols>
          <w:pgMar w:left="320" w:top="990" w:right="399" w:bottom="1440" w:gutter="0" w:footer="0" w:header="0"/>
        </w:sectPr>
      </w:pPr>
    </w:p>
    <w:bookmarkStart w:id="7" w:name="page8"/>
    <w:bookmarkEnd w:id="7"/>
    <w:p>
      <w:pPr>
        <w:ind w:left="660" w:right="20"/>
        <w:spacing w:after="0" w:line="271" w:lineRule="auto"/>
        <w:rPr>
          <w:sz w:val="20"/>
          <w:szCs w:val="20"/>
          <w:color w:val="auto"/>
        </w:rPr>
      </w:pPr>
      <w:r>
        <w:rPr>
          <w:rFonts w:ascii="Times New Roman" w:cs="Times New Roman" w:eastAsia="Times New Roman" w:hAnsi="Times New Roman"/>
          <w:sz w:val="22"/>
          <w:szCs w:val="22"/>
          <w:color w:val="auto"/>
        </w:rPr>
        <w:t>non-GAAP measures because apart from ongoing expense savings as a result of such items, these expenses have no direct correlation to the operation of our business in the future.</w:t>
      </w:r>
    </w:p>
    <w:p>
      <w:pPr>
        <w:spacing w:after="0" w:line="29" w:lineRule="exact"/>
        <w:rPr>
          <w:sz w:val="20"/>
          <w:szCs w:val="20"/>
          <w:color w:val="auto"/>
        </w:rPr>
      </w:pPr>
    </w:p>
    <w:p>
      <w:pPr>
        <w:ind w:left="660" w:right="80"/>
        <w:spacing w:after="0" w:line="232" w:lineRule="auto"/>
        <w:rPr>
          <w:sz w:val="20"/>
          <w:szCs w:val="20"/>
          <w:color w:val="auto"/>
        </w:rPr>
      </w:pPr>
      <w:r>
        <w:rPr>
          <w:rFonts w:ascii="Times New Roman" w:cs="Times New Roman" w:eastAsia="Times New Roman" w:hAnsi="Times New Roman"/>
          <w:sz w:val="28"/>
          <w:szCs w:val="28"/>
          <w:i w:val="1"/>
          <w:iCs w:val="1"/>
          <w:color w:val="auto"/>
          <w:vertAlign w:val="superscript"/>
        </w:rPr>
        <w:t>3</w:t>
      </w:r>
      <w:r>
        <w:rPr>
          <w:rFonts w:ascii="Times New Roman" w:cs="Times New Roman" w:eastAsia="Times New Roman" w:hAnsi="Times New Roman"/>
          <w:sz w:val="22"/>
          <w:szCs w:val="22"/>
          <w:i w:val="1"/>
          <w:iCs w:val="1"/>
          <w:color w:val="auto"/>
        </w:rPr>
        <w:t xml:space="preserve">Tax Related </w:t>
      </w:r>
      <w:r>
        <w:rPr>
          <w:rFonts w:ascii="Times New Roman" w:cs="Times New Roman" w:eastAsia="Times New Roman" w:hAnsi="Times New Roman"/>
          <w:sz w:val="22"/>
          <w:szCs w:val="22"/>
          <w:color w:val="auto"/>
        </w:rPr>
        <w:t>Items: Income tax effect of the non-GAAP items discussed above. We excluded the income tax effect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these tax related items from our non-GAAP measures because they are not associated with the tax expense on our current operating results.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Analog Devices, Inc.</w:t>
      </w:r>
    </w:p>
    <w:p>
      <w:pPr>
        <w:spacing w:after="0" w:line="102"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2"/>
          <w:szCs w:val="22"/>
          <w:color w:val="auto"/>
        </w:rPr>
        <w:t>Analog Devices, Inc. (NASDAQ: ADI) is a global semiconductor leader that bridges the physical and digital worlds to enable breakthroughs at the Intelligent Edge. ADI combines analog, digital, AI, and software technologies into solutions that combat climate change, reliably connect humans and the world, and help drive advancements in automation and robotics, mobility, healthcare, energy and data centers. With revenue of more than $11 billion in FY25, ADI ensures today’s innovators stay Ahead of What’s Possible. Learn more at www.analog.com and on LinkedIn and X.</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Forward-Looking Statements</w:t>
      </w:r>
    </w:p>
    <w:p>
      <w:pPr>
        <w:spacing w:after="0" w:line="8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2"/>
          <w:szCs w:val="22"/>
          <w:i w:val="1"/>
          <w:iCs w:val="1"/>
          <w:color w:val="auto"/>
        </w:rPr>
        <w:t>This press release contains forward-looking statements, which address a variety of subjects including, for example, our statements regarding future financial performance; impacts related to tariffs and other trade restrictions; economic uncertainty; macroeconomic, geopolitical, demand and other market conditions, business cycles, and supply chains; our capital allocation strategy, including future dividends, share repurchases, capital expenditures, investments, and free cash flow returns; expected revenue, operating margin, nonoperating expenses, tax rate, earnings per share, and other financial results; expected market and technology trends and acceleration of those trends; market size, market share gains, market position, and growth opportunities; expected product solutions, offerings, technologies, capabilities, and applications; the value and importance of, and other benefits related to, our product solutions, offerings, and technologies to our customers; benefits related to our hybrid manufacturing model; and other future events. Statements that are not historical facts, including statements about our beliefs, plans and expectations, are forward-looking statements. Such statements are based on our current expectations and are subject to a number of factors and uncertainties, which could cause actual results to differ materially from those described in the forward-looking statements. The following important factors and uncertainties, among others, could cause actual results to differ materially from those described in these forward-looking statements: economic, political, legal and regulatory uncertainty or conflicts; recently announced and future tariffs and other trade restrictions; changes in export classifications, import and export regulations or duties and tariffs; changes in demand for semiconductor products; performance of independent distributors; manufacturing delays, product and raw materials availability and supply chain disruptions; products may be diverted from our authorized distribution channels; our development of technologies and research and development investments; our ability to compete successfully in the markets in which we operate; our future liquidity, capital needs and capital expenditures; our ability to recruit and retain key personnel; risks related to acquisitions or other strategic transactions; security breaches or other cyber incidents; risks related to the use of artificial intelligence in our business operations, products, and services; adverse results in litigation matters; reputational damage; changes in our estimates of our expected tax rates based on current tax law; risks related to our indebtedness; the discretion of our Board of Directors to declare dividends and our ability to pay dividends in the future; factors impacting our ability to repurchase shares; and uncertainty as to the long-term value of our common stock. For additional information about factors that could cause actual results to differ materially from those described in the forward-looking statements, please refer to our filings with the Securities and Exchange Commission, including the risk factors contained in our most recent Annual Report on Form 10-K. Forward-looking statements represent management’s current expectations and are</w:t>
      </w:r>
    </w:p>
    <w:p>
      <w:pPr>
        <w:sectPr>
          <w:pgSz w:w="11900" w:h="16838" w:orient="portrait"/>
          <w:cols w:equalWidth="0" w:num="1">
            <w:col w:w="11220"/>
          </w:cols>
          <w:pgMar w:left="320" w:top="990" w:right="359" w:bottom="1440" w:gutter="0" w:footer="0" w:header="0"/>
        </w:sectPr>
      </w:pPr>
    </w:p>
    <w:bookmarkStart w:id="8" w:name="page9"/>
    <w:bookmarkEnd w:id="8"/>
    <w:p>
      <w:pPr>
        <w:spacing w:after="0" w:line="287" w:lineRule="auto"/>
        <w:rPr>
          <w:sz w:val="20"/>
          <w:szCs w:val="20"/>
          <w:color w:val="auto"/>
        </w:rPr>
      </w:pPr>
      <w:r>
        <w:rPr>
          <w:rFonts w:ascii="Times New Roman" w:cs="Times New Roman" w:eastAsia="Times New Roman" w:hAnsi="Times New Roman"/>
          <w:sz w:val="22"/>
          <w:szCs w:val="22"/>
          <w:i w:val="1"/>
          <w:iCs w:val="1"/>
          <w:color w:val="auto"/>
        </w:rPr>
        <w:t>inherently uncertain. Except as required by law, we do not undertake any obligation to update forward-looking statements made by us to reflect subsequent events or circumstances.</w:t>
      </w:r>
    </w:p>
    <w:p>
      <w:pPr>
        <w:spacing w:after="0" w:line="6" w:lineRule="exact"/>
        <w:rPr>
          <w:sz w:val="20"/>
          <w:szCs w:val="20"/>
          <w:color w:val="auto"/>
        </w:rPr>
      </w:pPr>
    </w:p>
    <w:p>
      <w:pPr>
        <w:ind w:right="700"/>
        <w:spacing w:after="0" w:line="284" w:lineRule="auto"/>
        <w:rPr>
          <w:sz w:val="20"/>
          <w:szCs w:val="20"/>
          <w:color w:val="auto"/>
        </w:rPr>
      </w:pPr>
      <w:r>
        <w:rPr>
          <w:rFonts w:ascii="Times New Roman" w:cs="Times New Roman" w:eastAsia="Times New Roman" w:hAnsi="Times New Roman"/>
          <w:sz w:val="22"/>
          <w:szCs w:val="22"/>
          <w:color w:val="auto"/>
        </w:rPr>
        <w:t>Analog Devices and the Analog Devices logo are registered trademarks or trademarks of Analog Devices, Inc. All other trademarks mentioned in this document are the property of their respective owners.</w:t>
      </w:r>
    </w:p>
    <w:p>
      <w:pPr>
        <w:sectPr>
          <w:pgSz w:w="11900" w:h="16838" w:orient="portrait"/>
          <w:cols w:equalWidth="0" w:num="1">
            <w:col w:w="11080"/>
          </w:cols>
          <w:pgMar w:left="320" w:top="959" w:right="49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2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3040" w:type="dxa"/>
            <w:vAlign w:val="bottom"/>
            <w:tcBorders>
              <w:top w:val="single" w:sz="8" w:color="auto"/>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3060" w:type="dxa"/>
            <w:vAlign w:val="bottom"/>
            <w:tcBorders>
              <w:top w:val="single" w:sz="8" w:color="auto"/>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3"/>
        </w:trPr>
        <w:tc>
          <w:tcPr>
            <w:tcW w:w="4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220" w:type="dxa"/>
            <w:vAlign w:val="bottom"/>
          </w:tcPr>
          <w:p>
            <w:pPr>
              <w:spacing w:after="0"/>
              <w:rPr>
                <w:sz w:val="19"/>
                <w:szCs w:val="19"/>
                <w:color w:val="auto"/>
              </w:rPr>
            </w:pP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May 3, 2025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220" w:type="dxa"/>
            <w:vAlign w:val="bottom"/>
          </w:tcPr>
          <w:p>
            <w:pPr>
              <w:spacing w:after="0"/>
              <w:rPr>
                <w:sz w:val="19"/>
                <w:szCs w:val="19"/>
                <w:color w:val="auto"/>
              </w:rPr>
            </w:pP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May 3, 2025</w:t>
            </w: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3,623,465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2,640,068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6,783,728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5,063,242</w:t>
            </w:r>
          </w:p>
        </w:tc>
      </w:tr>
      <w:tr>
        <w:trPr>
          <w:trHeight w:val="230"/>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1,183,667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1,028,458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2,298,955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2,021,329</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2,439,798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1,611,610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4,484,773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3,041,913</w:t>
            </w: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509,323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976,723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844,729</w:t>
            </w:r>
          </w:p>
        </w:tc>
      </w:tr>
      <w:tr>
        <w:trPr>
          <w:trHeight w:val="229"/>
        </w:trPr>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marketing, general and administrative</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362,810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302,669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708,063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587,465</w:t>
            </w:r>
          </w:p>
        </w:tc>
      </w:tr>
      <w:tr>
        <w:trPr>
          <w:trHeight w:val="230"/>
        </w:trPr>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374,830</w:t>
            </w:r>
          </w:p>
        </w:tc>
      </w:tr>
      <w:tr>
        <w:trPr>
          <w:trHeight w:val="229"/>
        </w:trPr>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Special charges, net</w:t>
            </w: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65,632</w:t>
            </w: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1,060,118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933,666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2,108,068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1,872,656</w:t>
            </w: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1,379,680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677,944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2,376,705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1,169,257</w:t>
            </w: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expense (income):</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149,967</w:t>
            </w:r>
          </w:p>
        </w:tc>
      </w:tr>
      <w:tr>
        <w:trPr>
          <w:trHeight w:val="229"/>
        </w:trPr>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(45,212)</w:t>
            </w:r>
          </w:p>
        </w:tc>
      </w:tr>
      <w:tr>
        <w:trPr>
          <w:trHeight w:val="230"/>
        </w:trPr>
        <w:tc>
          <w:tcPr>
            <w:tcW w:w="46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nonoperating expense (income)</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107,753</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1,324,828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625,928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2,270,699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1,061,504</w:t>
            </w: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148,478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263,523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100,418</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1,176,350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569,770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2,007,176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961,086</w:t>
            </w: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4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to compute earnings per common share - basic</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487,605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488,239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496,145</w:t>
            </w: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to compute earnings per common share - diluted</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498,434</w:t>
            </w:r>
          </w:p>
        </w:tc>
      </w:tr>
      <w:tr>
        <w:trPr>
          <w:trHeight w:val="270"/>
        </w:trPr>
        <w:tc>
          <w:tcPr>
            <w:tcW w:w="4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bl>
    <w:p>
      <w:pPr>
        <w:sectPr>
          <w:pgSz w:w="11900" w:h="16838" w:orient="portrait"/>
          <w:cols w:equalWidth="0" w:num="1">
            <w:col w:w="11240"/>
          </w:cols>
          <w:pgMar w:left="320" w:top="88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5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8"/>
                <w:szCs w:val="18"/>
                <w:b w:val="1"/>
                <w:bCs w:val="1"/>
                <w:color w:val="auto"/>
              </w:rPr>
              <w:t>Nov. 1, 2025</w:t>
            </w: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2,436,916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2,499,406</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investments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1,002,392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1,152,915</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2,051,733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1,436,075</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1,848,405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1,656,323</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470,327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363,342</w:t>
            </w:r>
          </w:p>
        </w:tc>
        <w:tc>
          <w:tcPr>
            <w:tcW w:w="0" w:type="dxa"/>
            <w:vAlign w:val="bottom"/>
          </w:tcPr>
          <w:p>
            <w:pPr>
              <w:spacing w:after="0"/>
              <w:rPr>
                <w:sz w:val="1"/>
                <w:szCs w:val="1"/>
                <w:color w:val="auto"/>
              </w:rPr>
            </w:pPr>
          </w:p>
        </w:tc>
      </w:tr>
      <w:tr>
        <w:trPr>
          <w:trHeight w:val="207"/>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7,809,773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7,108,061</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property, plant and equipment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3,292,288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3,315,696</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26,973,180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26,945,180</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 assets, net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7,255,362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8,013,815</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tax assets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1,729,558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1,867,102</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888,934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742,858</w:t>
            </w: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non-current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40,139,322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40,884,651</w:t>
            </w:r>
          </w:p>
        </w:tc>
        <w:tc>
          <w:tcPr>
            <w:tcW w:w="0" w:type="dxa"/>
            <w:vAlign w:val="bottom"/>
          </w:tcPr>
          <w:p>
            <w:pPr>
              <w:spacing w:after="0"/>
              <w:rPr>
                <w:sz w:val="1"/>
                <w:szCs w:val="1"/>
                <w:color w:val="auto"/>
              </w:rPr>
            </w:pPr>
          </w:p>
        </w:tc>
      </w:tr>
      <w:tr>
        <w:trPr>
          <w:trHeight w:val="212"/>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47,949,095</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47,992,712</w:t>
            </w:r>
          </w:p>
        </w:tc>
        <w:tc>
          <w:tcPr>
            <w:tcW w:w="0" w:type="dxa"/>
            <w:vAlign w:val="bottom"/>
          </w:tcPr>
          <w:p>
            <w:pPr>
              <w:spacing w:after="0"/>
              <w:rPr>
                <w:sz w:val="1"/>
                <w:szCs w:val="1"/>
                <w:color w:val="auto"/>
              </w:rPr>
            </w:pP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598,640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543,760</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325,626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610,370</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current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899,227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paper notes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550,198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446,639</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2,083,216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1,645,032</w:t>
            </w:r>
          </w:p>
        </w:tc>
        <w:tc>
          <w:tcPr>
            <w:tcW w:w="0" w:type="dxa"/>
            <w:vAlign w:val="bottom"/>
          </w:tcPr>
          <w:p>
            <w:pPr>
              <w:spacing w:after="0"/>
              <w:rPr>
                <w:sz w:val="1"/>
                <w:szCs w:val="1"/>
                <w:color w:val="auto"/>
              </w:rPr>
            </w:pPr>
          </w:p>
        </w:tc>
      </w:tr>
      <w:tr>
        <w:trPr>
          <w:trHeight w:val="207"/>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4,456,907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3,245,801</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7,235,424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8,145,066</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1,906,115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2,163,281</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100,963</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521,507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521,846</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9,750,155</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10,931,156</w:t>
            </w:r>
          </w:p>
        </w:tc>
        <w:tc>
          <w:tcPr>
            <w:tcW w:w="0" w:type="dxa"/>
            <w:vAlign w:val="bottom"/>
          </w:tcPr>
          <w:p>
            <w:pPr>
              <w:spacing w:after="0"/>
              <w:rPr>
                <w:sz w:val="1"/>
                <w:szCs w:val="1"/>
                <w:color w:val="auto"/>
              </w:rPr>
            </w:pPr>
          </w:p>
        </w:tc>
      </w:tr>
      <w:tr>
        <w:trPr>
          <w:trHeight w:val="19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Preferred stock, $1.00 par value, 471,934 shares authorized, none outstanding</w:t>
            </w:r>
          </w:p>
        </w:tc>
        <w:tc>
          <w:tcPr>
            <w:tcW w:w="2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75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Common stock, $0.16 2/3 par value, 1,200,000,000 shares authorized, 487,087,040 shares outstanding</w:t>
            </w:r>
          </w:p>
        </w:tc>
        <w:tc>
          <w:tcPr>
            <w:tcW w:w="26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81,183</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81,611</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(489,654,097 on November 1, 2025)</w:t>
            </w:r>
          </w:p>
        </w:tc>
        <w:tc>
          <w:tcPr>
            <w:tcW w:w="26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22,287,095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23,349,185</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11,525,998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10,539,541</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(152,243)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(154,582)</w:t>
            </w: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33,742,033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33,815,755</w:t>
            </w:r>
          </w:p>
        </w:tc>
        <w:tc>
          <w:tcPr>
            <w:tcW w:w="0" w:type="dxa"/>
            <w:vAlign w:val="bottom"/>
          </w:tcPr>
          <w:p>
            <w:pPr>
              <w:spacing w:after="0"/>
              <w:rPr>
                <w:sz w:val="1"/>
                <w:szCs w:val="1"/>
                <w:color w:val="auto"/>
              </w:rPr>
            </w:pPr>
          </w:p>
        </w:tc>
      </w:tr>
      <w:tr>
        <w:trPr>
          <w:trHeight w:val="212"/>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47,949,095</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47,992,712</w:t>
            </w:r>
          </w:p>
        </w:tc>
        <w:tc>
          <w:tcPr>
            <w:tcW w:w="0" w:type="dxa"/>
            <w:vAlign w:val="bottom"/>
          </w:tcPr>
          <w:p>
            <w:pPr>
              <w:spacing w:after="0"/>
              <w:rPr>
                <w:sz w:val="1"/>
                <w:szCs w:val="1"/>
                <w:color w:val="auto"/>
              </w:rPr>
            </w:pPr>
          </w:p>
        </w:tc>
      </w:tr>
      <w:tr>
        <w:trPr>
          <w:trHeight w:val="21"/>
        </w:trPr>
        <w:tc>
          <w:tcPr>
            <w:tcW w:w="7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40" w:top="887" w:right="3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177165</wp:posOffset>
            </wp:positionV>
            <wp:extent cx="3771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71900" cy="8890"/>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p>
      <w:pPr>
        <w:spacing w:after="0" w:line="284"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19685</wp:posOffset>
            </wp:positionV>
            <wp:extent cx="18516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6" w:lineRule="exact"/>
        <w:rPr>
          <w:sz w:val="20"/>
          <w:szCs w:val="20"/>
          <w:color w:val="auto"/>
        </w:rPr>
      </w:pPr>
    </w:p>
    <w:p>
      <w:pPr>
        <w:ind w:left="5540"/>
        <w:spacing w:after="0"/>
        <w:tabs>
          <w:tab w:leader="none" w:pos="7020" w:val="left"/>
        </w:tabs>
        <w:rPr>
          <w:sz w:val="20"/>
          <w:szCs w:val="20"/>
          <w:color w:val="auto"/>
        </w:rPr>
      </w:pPr>
      <w:r>
        <w:rPr>
          <w:rFonts w:ascii="Times New Roman" w:cs="Times New Roman" w:eastAsia="Times New Roman" w:hAnsi="Times New Roman"/>
          <w:sz w:val="18"/>
          <w:szCs w:val="18"/>
          <w:b w:val="1"/>
          <w:bCs w:val="1"/>
          <w:color w:val="auto"/>
        </w:rPr>
        <w:t>May 2, 2026</w:t>
      </w:r>
      <w:r>
        <w:rPr>
          <w:sz w:val="20"/>
          <w:szCs w:val="20"/>
          <w:color w:val="auto"/>
        </w:rPr>
        <w:tab/>
      </w:r>
      <w:r>
        <w:rPr>
          <w:rFonts w:ascii="Times New Roman" w:cs="Times New Roman" w:eastAsia="Times New Roman" w:hAnsi="Times New Roman"/>
          <w:sz w:val="18"/>
          <w:szCs w:val="18"/>
          <w:b w:val="1"/>
          <w:bCs w:val="1"/>
          <w:color w:val="auto"/>
        </w:rPr>
        <w:t>May 3, 2025</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19685</wp:posOffset>
            </wp:positionV>
            <wp:extent cx="18516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6"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May 2, 2026</w:t>
      </w:r>
      <w:r>
        <w:rPr>
          <w:sz w:val="20"/>
          <w:szCs w:val="20"/>
          <w:color w:val="auto"/>
        </w:rPr>
        <w:tab/>
      </w:r>
      <w:r>
        <w:rPr>
          <w:rFonts w:ascii="Times New Roman" w:cs="Times New Roman" w:eastAsia="Times New Roman" w:hAnsi="Times New Roman"/>
          <w:sz w:val="17"/>
          <w:szCs w:val="17"/>
          <w:b w:val="1"/>
          <w:bCs w:val="1"/>
          <w:color w:val="auto"/>
        </w:rPr>
        <w:t>May 3, 2025</w:t>
      </w:r>
    </w:p>
    <w:p>
      <w:pPr>
        <w:spacing w:after="0" w:line="31" w:lineRule="exact"/>
        <w:rPr>
          <w:sz w:val="20"/>
          <w:szCs w:val="20"/>
          <w:color w:val="auto"/>
        </w:rPr>
      </w:pPr>
    </w:p>
    <w:p>
      <w:pPr>
        <w:sectPr>
          <w:pgSz w:w="11900" w:h="16838" w:orient="portrait"/>
          <w:cols w:equalWidth="0" w:num="2">
            <w:col w:w="7980" w:space="580"/>
            <w:col w:w="2680"/>
          </w:cols>
          <w:pgMar w:left="320" w:top="887"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r>
        <w:trPr>
          <w:trHeight w:val="229"/>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1,176,350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2,007,176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961,086</w:t>
            </w:r>
          </w:p>
        </w:tc>
      </w:tr>
      <w:tr>
        <w:trPr>
          <w:trHeight w:val="176"/>
        </w:trPr>
        <w:tc>
          <w:tcPr>
            <w:tcW w:w="5300" w:type="dxa"/>
            <w:vAlign w:val="bottom"/>
          </w:tcPr>
          <w:p>
            <w:pPr>
              <w:ind w:left="260"/>
              <w:spacing w:after="0" w:line="176"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9"/>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4"/>
        </w:trPr>
        <w:tc>
          <w:tcPr>
            <w:tcW w:w="5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104,957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100,334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210,843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198,781</w:t>
            </w:r>
          </w:p>
        </w:tc>
      </w:tr>
      <w:tr>
        <w:trPr>
          <w:trHeight w:val="229"/>
        </w:trPr>
        <w:tc>
          <w:tcPr>
            <w:tcW w:w="5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385,978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400,273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770,593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817,429</w:t>
            </w:r>
          </w:p>
        </w:tc>
      </w:tr>
      <w:tr>
        <w:trPr>
          <w:trHeight w:val="230"/>
        </w:trPr>
        <w:tc>
          <w:tcPr>
            <w:tcW w:w="5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167,396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150,405</w:t>
            </w:r>
          </w:p>
        </w:tc>
      </w:tr>
      <w:tr>
        <w:trPr>
          <w:trHeight w:val="229"/>
        </w:trPr>
        <w:tc>
          <w:tcPr>
            <w:tcW w:w="5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(60,269)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(120,930)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(149,370)</w:t>
            </w:r>
          </w:p>
        </w:tc>
      </w:tr>
      <w:tr>
        <w:trPr>
          <w:trHeight w:val="229"/>
        </w:trPr>
        <w:tc>
          <w:tcPr>
            <w:tcW w:w="5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w:t>
            </w:r>
          </w:p>
        </w:tc>
      </w:tr>
      <w:tr>
        <w:trPr>
          <w:trHeight w:val="230"/>
        </w:trPr>
        <w:tc>
          <w:tcPr>
            <w:tcW w:w="53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(807,998)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(799,249)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(36,247)</w:t>
            </w:r>
          </w:p>
        </w:tc>
      </w:tr>
      <w:tr>
        <w:trPr>
          <w:trHeight w:val="223"/>
        </w:trPr>
        <w:tc>
          <w:tcPr>
            <w:tcW w:w="5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adjustments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(304,309)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249,708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233,380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985,201</w:t>
            </w:r>
          </w:p>
        </w:tc>
      </w:tr>
      <w:tr>
        <w:trPr>
          <w:trHeight w:val="223"/>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872,041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819,478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2,240,556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1,946,287</w:t>
            </w:r>
          </w:p>
        </w:tc>
      </w:tr>
      <w:tr>
        <w:trPr>
          <w:trHeight w:val="20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5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Maturities of short-term available-for-sale investments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372,778</w:t>
            </w:r>
          </w:p>
        </w:tc>
      </w:tr>
      <w:tr>
        <w:trPr>
          <w:trHeight w:val="229"/>
        </w:trPr>
        <w:tc>
          <w:tcPr>
            <w:tcW w:w="5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Additions to property, plant and equipment,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(239,246)</w:t>
            </w:r>
          </w:p>
        </w:tc>
      </w:tr>
      <w:tr>
        <w:trPr>
          <w:trHeight w:val="229"/>
        </w:trPr>
        <w:tc>
          <w:tcPr>
            <w:tcW w:w="5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sale of property, plant and equipment, net</w:t>
            </w: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58,892</w:t>
            </w:r>
          </w:p>
        </w:tc>
      </w:tr>
      <w:tr>
        <w:trPr>
          <w:trHeight w:val="230"/>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Payments for acquisitions, net of cash acquired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(45,652)</w:t>
            </w:r>
          </w:p>
        </w:tc>
      </w:tr>
      <w:tr>
        <w:trPr>
          <w:trHeight w:val="229"/>
        </w:trPr>
        <w:tc>
          <w:tcPr>
            <w:tcW w:w="5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(12,880)</w:t>
            </w:r>
          </w:p>
        </w:tc>
      </w:tr>
      <w:tr>
        <w:trPr>
          <w:trHeight w:val="22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provided by investing activities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133,892</w:t>
            </w: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Debt repayments</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(399,998)</w:t>
            </w:r>
          </w:p>
        </w:tc>
      </w:tr>
      <w:tr>
        <w:trPr>
          <w:trHeight w:val="230"/>
        </w:trPr>
        <w:tc>
          <w:tcPr>
            <w:tcW w:w="5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commercial paper notes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4,107,964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2,347,064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7,154,789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4,316,340</w:t>
            </w:r>
          </w:p>
        </w:tc>
      </w:tr>
      <w:tr>
        <w:trPr>
          <w:trHeight w:val="230"/>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Payments of commercial paper notes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(4,100,808)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(2,346,747)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(7,051,230)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(4,315,358)</w:t>
            </w:r>
          </w:p>
        </w:tc>
      </w:tr>
      <w:tr>
        <w:trPr>
          <w:trHeight w:val="229"/>
        </w:trPr>
        <w:tc>
          <w:tcPr>
            <w:tcW w:w="5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(772,902)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(1,289,401)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(409,014)</w:t>
            </w:r>
          </w:p>
        </w:tc>
      </w:tr>
      <w:tr>
        <w:trPr>
          <w:trHeight w:val="230"/>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Dividend payments to shareholders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(536,459)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(1,020,719)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(947,360)</w:t>
            </w:r>
          </w:p>
        </w:tc>
      </w:tr>
      <w:tr>
        <w:trPr>
          <w:trHeight w:val="230"/>
        </w:trPr>
        <w:tc>
          <w:tcPr>
            <w:tcW w:w="5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employee stock plans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61,562</w:t>
            </w:r>
          </w:p>
        </w:tc>
      </w:tr>
      <w:tr>
        <w:trPr>
          <w:trHeight w:val="230"/>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r>
      <w:tr>
        <w:trPr>
          <w:trHeight w:val="223"/>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(1,289,059)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(1,121,430)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(2,144,091)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(1,695,286)</w:t>
            </w:r>
          </w:p>
        </w:tc>
      </w:tr>
      <w:tr>
        <w:trPr>
          <w:trHeight w:val="22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(468,944)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(62,490)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384,893</w:t>
            </w:r>
          </w:p>
        </w:tc>
      </w:tr>
      <w:tr>
        <w:trPr>
          <w:trHeight w:val="223"/>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2,905,860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2,349,994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2,499,406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1,991,342</w:t>
            </w:r>
          </w:p>
        </w:tc>
      </w:tr>
      <w:tr>
        <w:trPr>
          <w:trHeight w:val="248"/>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2,436,916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2,376,235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2,436,916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2,376,235</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87" w:right="339" w:bottom="1440" w:gutter="0" w:footer="0" w:header="0"/>
          <w:type w:val="continuous"/>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REVENUE TRENDS BY END MARKET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The assignment of products to end markets may change over time. When this occurs, we reclassify revenue by end market for prior periods. Such reclassifications typically do not materially change the sizing of, or the underlying trends of results within, each end market.</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Industrial</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Automotive</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Communications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Consumer</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Industrial</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Automotive</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Communications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Consumer</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p>
      <w:pPr>
        <w:spacing w:after="0" w:line="20" w:lineRule="exact"/>
        <w:rPr>
          <w:sz w:val="20"/>
          <w:szCs w:val="20"/>
          <w:color w:val="auto"/>
        </w:rPr>
      </w:pPr>
      <w:r>
        <w:rPr>
          <w:sz w:val="20"/>
          <w:szCs w:val="20"/>
          <w:color w:val="auto"/>
        </w:rPr>
        <w:br w:type="column"/>
      </w:r>
    </w:p>
    <w:p>
      <w:pPr>
        <w:ind w:left="34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90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3260" w:type="dxa"/>
            <w:vAlign w:val="bottom"/>
            <w:tcBorders>
              <w:top w:val="single" w:sz="8" w:color="auto"/>
              <w:bottom w:val="single" w:sz="8" w:color="auto"/>
            </w:tcBorders>
            <w:gridSpan w:val="3"/>
          </w:tcPr>
          <w:p>
            <w:pPr>
              <w:ind w:left="1040"/>
              <w:spacing w:after="0"/>
              <w:rPr>
                <w:sz w:val="20"/>
                <w:szCs w:val="20"/>
                <w:color w:val="auto"/>
              </w:rPr>
            </w:pPr>
            <w:r>
              <w:rPr>
                <w:rFonts w:ascii="Times New Roman" w:cs="Times New Roman" w:eastAsia="Times New Roman" w:hAnsi="Times New Roman"/>
                <w:sz w:val="18"/>
                <w:szCs w:val="18"/>
                <w:b w:val="1"/>
                <w:bCs w:val="1"/>
                <w:color w:val="auto"/>
              </w:rPr>
              <w:t>May 3, 2025</w:t>
            </w:r>
          </w:p>
        </w:tc>
        <w:tc>
          <w:tcPr>
            <w:tcW w:w="0" w:type="dxa"/>
            <w:vAlign w:val="bottom"/>
          </w:tcPr>
          <w:p>
            <w:pPr>
              <w:spacing w:after="0"/>
              <w:rPr>
                <w:sz w:val="1"/>
                <w:szCs w:val="1"/>
                <w:color w:val="auto"/>
              </w:rPr>
            </w:pPr>
          </w:p>
        </w:tc>
      </w:tr>
      <w:tr>
        <w:trPr>
          <w:trHeight w:val="263"/>
        </w:trPr>
        <w:tc>
          <w:tcPr>
            <w:tcW w:w="260" w:type="dxa"/>
            <w:vAlign w:val="bottom"/>
          </w:tcPr>
          <w:p>
            <w:pPr>
              <w:spacing w:after="0"/>
              <w:rPr>
                <w:sz w:val="22"/>
                <w:szCs w:val="22"/>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9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 of Revenue</w:t>
            </w:r>
            <w:r>
              <w:rPr>
                <w:rFonts w:ascii="Times New Roman" w:cs="Times New Roman" w:eastAsia="Times New Roman" w:hAnsi="Times New Roman"/>
                <w:sz w:val="23"/>
                <w:szCs w:val="23"/>
                <w:b w:val="1"/>
                <w:bCs w:val="1"/>
                <w:i w:val="1"/>
                <w:iCs w:val="1"/>
                <w:color w:val="auto"/>
                <w:vertAlign w:val="superscript"/>
              </w:rPr>
              <w:t>1</w:t>
            </w:r>
          </w:p>
        </w:tc>
        <w:tc>
          <w:tcPr>
            <w:tcW w:w="120" w:type="dxa"/>
            <w:vAlign w:val="bottom"/>
          </w:tcPr>
          <w:p>
            <w:pPr>
              <w:spacing w:after="0"/>
              <w:rPr>
                <w:sz w:val="22"/>
                <w:szCs w:val="22"/>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Y/Y%</w:t>
            </w:r>
          </w:p>
        </w:tc>
        <w:tc>
          <w:tcPr>
            <w:tcW w:w="260" w:type="dxa"/>
            <w:vAlign w:val="bottom"/>
          </w:tcPr>
          <w:p>
            <w:pPr>
              <w:spacing w:after="0"/>
              <w:rPr>
                <w:sz w:val="22"/>
                <w:szCs w:val="22"/>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9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 of Revenue</w:t>
            </w:r>
            <w:r>
              <w:rPr>
                <w:rFonts w:ascii="Times New Roman" w:cs="Times New Roman" w:eastAsia="Times New Roman" w:hAnsi="Times New Roman"/>
                <w:sz w:val="23"/>
                <w:szCs w:val="23"/>
                <w:b w:val="1"/>
                <w:bCs w:val="1"/>
                <w:i w:val="1"/>
                <w:iCs w:val="1"/>
                <w:color w:val="auto"/>
                <w:vertAlign w:val="superscript"/>
              </w:rPr>
              <w:t>1</w:t>
            </w:r>
          </w:p>
        </w:tc>
        <w:tc>
          <w:tcPr>
            <w:tcW w:w="0" w:type="dxa"/>
            <w:vAlign w:val="bottom"/>
          </w:tcPr>
          <w:p>
            <w:pPr>
              <w:spacing w:after="0"/>
              <w:rPr>
                <w:sz w:val="1"/>
                <w:szCs w:val="1"/>
                <w:color w:val="auto"/>
              </w:rPr>
            </w:pPr>
          </w:p>
        </w:tc>
      </w:tr>
      <w:tr>
        <w:trPr>
          <w:trHeight w:val="228"/>
        </w:trPr>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1,799,413</w:t>
            </w:r>
          </w:p>
        </w:tc>
        <w:tc>
          <w:tcPr>
            <w:tcW w:w="100" w:type="dxa"/>
            <w:vAlign w:val="bottom"/>
          </w:tcPr>
          <w:p>
            <w:pPr>
              <w:spacing w:after="0"/>
              <w:rPr>
                <w:sz w:val="19"/>
                <w:szCs w:val="19"/>
                <w:color w:val="auto"/>
              </w:rPr>
            </w:pP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56%</w:t>
            </w: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1,150,315</w:t>
            </w:r>
          </w:p>
        </w:tc>
        <w:tc>
          <w:tcPr>
            <w:tcW w:w="100" w:type="dxa"/>
            <w:vAlign w:val="bottom"/>
          </w:tcPr>
          <w:p>
            <w:pPr>
              <w:spacing w:after="0"/>
              <w:rPr>
                <w:sz w:val="19"/>
                <w:szCs w:val="19"/>
                <w:color w:val="auto"/>
              </w:rPr>
            </w:pPr>
          </w:p>
        </w:tc>
        <w:tc>
          <w:tcPr>
            <w:tcW w:w="1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44%</w:t>
            </w:r>
          </w:p>
        </w:tc>
        <w:tc>
          <w:tcPr>
            <w:tcW w:w="0" w:type="dxa"/>
            <w:vAlign w:val="bottom"/>
          </w:tcPr>
          <w:p>
            <w:pPr>
              <w:spacing w:after="0"/>
              <w:rPr>
                <w:sz w:val="1"/>
                <w:szCs w:val="1"/>
                <w:color w:val="auto"/>
              </w:rPr>
            </w:pPr>
          </w:p>
        </w:tc>
      </w:tr>
      <w:tr>
        <w:trPr>
          <w:trHeight w:val="260"/>
        </w:trPr>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871,565</w:t>
            </w:r>
          </w:p>
        </w:tc>
        <w:tc>
          <w:tcPr>
            <w:tcW w:w="100" w:type="dxa"/>
            <w:vAlign w:val="bottom"/>
          </w:tcPr>
          <w:p>
            <w:pPr>
              <w:spacing w:after="0"/>
              <w:rPr>
                <w:sz w:val="22"/>
                <w:szCs w:val="22"/>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w:t>
            </w:r>
          </w:p>
        </w:tc>
        <w:tc>
          <w:tcPr>
            <w:tcW w:w="13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856,090</w:t>
            </w:r>
          </w:p>
        </w:tc>
        <w:tc>
          <w:tcPr>
            <w:tcW w:w="100" w:type="dxa"/>
            <w:vAlign w:val="bottom"/>
          </w:tcPr>
          <w:p>
            <w:pPr>
              <w:spacing w:after="0"/>
              <w:rPr>
                <w:sz w:val="22"/>
                <w:szCs w:val="22"/>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554,728</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13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79%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310,604</w:t>
            </w:r>
          </w:p>
        </w:tc>
        <w:tc>
          <w:tcPr>
            <w:tcW w:w="10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w:t>
            </w:r>
          </w:p>
        </w:tc>
        <w:tc>
          <w:tcPr>
            <w:tcW w:w="0" w:type="dxa"/>
            <w:vAlign w:val="bottom"/>
          </w:tcPr>
          <w:p>
            <w:pPr>
              <w:spacing w:after="0"/>
              <w:rPr>
                <w:sz w:val="1"/>
                <w:szCs w:val="1"/>
                <w:color w:val="auto"/>
              </w:rPr>
            </w:pPr>
          </w:p>
        </w:tc>
      </w:tr>
      <w:tr>
        <w:trPr>
          <w:trHeight w:val="234"/>
        </w:trPr>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397,759</w:t>
            </w:r>
          </w:p>
        </w:tc>
        <w:tc>
          <w:tcPr>
            <w:tcW w:w="10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c>
          <w:tcPr>
            <w:tcW w:w="13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23%</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323,059</w:t>
            </w:r>
          </w:p>
        </w:tc>
        <w:tc>
          <w:tcPr>
            <w:tcW w:w="100" w:type="dxa"/>
            <w:vAlign w:val="bottom"/>
          </w:tcPr>
          <w:p>
            <w:pPr>
              <w:spacing w:after="0"/>
              <w:rPr>
                <w:sz w:val="20"/>
                <w:szCs w:val="20"/>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12%</w:t>
            </w:r>
          </w:p>
        </w:tc>
        <w:tc>
          <w:tcPr>
            <w:tcW w:w="0" w:type="dxa"/>
            <w:vAlign w:val="bottom"/>
          </w:tcPr>
          <w:p>
            <w:pPr>
              <w:spacing w:after="0"/>
              <w:rPr>
                <w:sz w:val="1"/>
                <w:szCs w:val="1"/>
                <w:color w:val="auto"/>
              </w:rPr>
            </w:pP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3,623,465</w:t>
            </w:r>
          </w:p>
        </w:tc>
        <w:tc>
          <w:tcPr>
            <w:tcW w:w="100" w:type="dxa"/>
            <w:vAlign w:val="bottom"/>
          </w:tcPr>
          <w:p>
            <w:pPr>
              <w:spacing w:after="0"/>
              <w:rPr>
                <w:sz w:val="19"/>
                <w:szCs w:val="19"/>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100%</w:t>
            </w:r>
          </w:p>
        </w:tc>
        <w:tc>
          <w:tcPr>
            <w:tcW w:w="13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37%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2,640,068</w:t>
            </w:r>
          </w:p>
        </w:tc>
        <w:tc>
          <w:tcPr>
            <w:tcW w:w="100" w:type="dxa"/>
            <w:vAlign w:val="bottom"/>
          </w:tcPr>
          <w:p>
            <w:pPr>
              <w:spacing w:after="0"/>
              <w:rPr>
                <w:sz w:val="19"/>
                <w:szCs w:val="19"/>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100%</w:t>
            </w:r>
          </w:p>
        </w:tc>
        <w:tc>
          <w:tcPr>
            <w:tcW w:w="0" w:type="dxa"/>
            <w:vAlign w:val="bottom"/>
          </w:tcPr>
          <w:p>
            <w:pPr>
              <w:spacing w:after="0"/>
              <w:rPr>
                <w:sz w:val="1"/>
                <w:szCs w:val="1"/>
                <w:color w:val="auto"/>
              </w:rPr>
            </w:pP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4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8"/>
                <w:szCs w:val="18"/>
                <w:b w:val="1"/>
                <w:bCs w:val="1"/>
                <w:color w:val="auto"/>
              </w:rPr>
              <w:t>May 3, 2025</w:t>
            </w:r>
          </w:p>
        </w:tc>
        <w:tc>
          <w:tcPr>
            <w:tcW w:w="0" w:type="dxa"/>
            <w:vAlign w:val="bottom"/>
          </w:tcPr>
          <w:p>
            <w:pPr>
              <w:spacing w:after="0"/>
              <w:rPr>
                <w:sz w:val="1"/>
                <w:szCs w:val="1"/>
                <w:color w:val="auto"/>
              </w:rPr>
            </w:pPr>
          </w:p>
        </w:tc>
      </w:tr>
      <w:tr>
        <w:trPr>
          <w:trHeight w:val="263"/>
        </w:trPr>
        <w:tc>
          <w:tcPr>
            <w:tcW w:w="260" w:type="dxa"/>
            <w:vAlign w:val="bottom"/>
          </w:tcPr>
          <w:p>
            <w:pPr>
              <w:spacing w:after="0"/>
              <w:rPr>
                <w:sz w:val="22"/>
                <w:szCs w:val="22"/>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9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 of Revenue</w:t>
            </w:r>
            <w:r>
              <w:rPr>
                <w:rFonts w:ascii="Times New Roman" w:cs="Times New Roman" w:eastAsia="Times New Roman" w:hAnsi="Times New Roman"/>
                <w:sz w:val="23"/>
                <w:szCs w:val="23"/>
                <w:b w:val="1"/>
                <w:bCs w:val="1"/>
                <w:i w:val="1"/>
                <w:iCs w:val="1"/>
                <w:color w:val="auto"/>
                <w:vertAlign w:val="superscript"/>
              </w:rPr>
              <w:t>1</w:t>
            </w:r>
          </w:p>
        </w:tc>
        <w:tc>
          <w:tcPr>
            <w:tcW w:w="120" w:type="dxa"/>
            <w:vAlign w:val="bottom"/>
          </w:tcPr>
          <w:p>
            <w:pPr>
              <w:spacing w:after="0"/>
              <w:rPr>
                <w:sz w:val="22"/>
                <w:szCs w:val="22"/>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Y/Y%</w:t>
            </w:r>
          </w:p>
        </w:tc>
        <w:tc>
          <w:tcPr>
            <w:tcW w:w="260" w:type="dxa"/>
            <w:vAlign w:val="bottom"/>
          </w:tcPr>
          <w:p>
            <w:pPr>
              <w:spacing w:after="0"/>
              <w:rPr>
                <w:sz w:val="22"/>
                <w:szCs w:val="22"/>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9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 of Revenue</w:t>
            </w:r>
            <w:r>
              <w:rPr>
                <w:rFonts w:ascii="Times New Roman" w:cs="Times New Roman" w:eastAsia="Times New Roman" w:hAnsi="Times New Roman"/>
                <w:sz w:val="23"/>
                <w:szCs w:val="23"/>
                <w:b w:val="1"/>
                <w:bCs w:val="1"/>
                <w:i w:val="1"/>
                <w:iCs w:val="1"/>
                <w:color w:val="auto"/>
                <w:vertAlign w:val="superscript"/>
              </w:rPr>
              <w:t>1</w:t>
            </w:r>
          </w:p>
        </w:tc>
        <w:tc>
          <w:tcPr>
            <w:tcW w:w="0" w:type="dxa"/>
            <w:vAlign w:val="bottom"/>
          </w:tcPr>
          <w:p>
            <w:pPr>
              <w:spacing w:after="0"/>
              <w:rPr>
                <w:sz w:val="1"/>
                <w:szCs w:val="1"/>
                <w:color w:val="auto"/>
              </w:rPr>
            </w:pPr>
          </w:p>
        </w:tc>
      </w:tr>
      <w:tr>
        <w:trPr>
          <w:trHeight w:val="228"/>
        </w:trPr>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3,296,449</w:t>
            </w:r>
          </w:p>
        </w:tc>
        <w:tc>
          <w:tcPr>
            <w:tcW w:w="100" w:type="dxa"/>
            <w:vAlign w:val="bottom"/>
          </w:tcPr>
          <w:p>
            <w:pPr>
              <w:spacing w:after="0"/>
              <w:rPr>
                <w:sz w:val="19"/>
                <w:szCs w:val="19"/>
                <w:color w:val="auto"/>
              </w:rPr>
            </w:pP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48%</w:t>
            </w: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2,220,569</w:t>
            </w:r>
          </w:p>
        </w:tc>
        <w:tc>
          <w:tcPr>
            <w:tcW w:w="100" w:type="dxa"/>
            <w:vAlign w:val="bottom"/>
          </w:tcPr>
          <w:p>
            <w:pPr>
              <w:spacing w:after="0"/>
              <w:rPr>
                <w:sz w:val="19"/>
                <w:szCs w:val="19"/>
                <w:color w:val="auto"/>
              </w:rPr>
            </w:pPr>
          </w:p>
        </w:tc>
        <w:tc>
          <w:tcPr>
            <w:tcW w:w="1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44%</w:t>
            </w:r>
          </w:p>
        </w:tc>
        <w:tc>
          <w:tcPr>
            <w:tcW w:w="0" w:type="dxa"/>
            <w:vAlign w:val="bottom"/>
          </w:tcPr>
          <w:p>
            <w:pPr>
              <w:spacing w:after="0"/>
              <w:rPr>
                <w:sz w:val="1"/>
                <w:szCs w:val="1"/>
                <w:color w:val="auto"/>
              </w:rPr>
            </w:pPr>
          </w:p>
        </w:tc>
      </w:tr>
      <w:tr>
        <w:trPr>
          <w:trHeight w:val="260"/>
        </w:trPr>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1,681,709</w:t>
            </w:r>
          </w:p>
        </w:tc>
        <w:tc>
          <w:tcPr>
            <w:tcW w:w="100" w:type="dxa"/>
            <w:vAlign w:val="bottom"/>
          </w:tcPr>
          <w:p>
            <w:pPr>
              <w:spacing w:after="0"/>
              <w:rPr>
                <w:sz w:val="22"/>
                <w:szCs w:val="22"/>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13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1,596,349</w:t>
            </w:r>
          </w:p>
        </w:tc>
        <w:tc>
          <w:tcPr>
            <w:tcW w:w="100" w:type="dxa"/>
            <w:vAlign w:val="bottom"/>
          </w:tcPr>
          <w:p>
            <w:pPr>
              <w:spacing w:after="0"/>
              <w:rPr>
                <w:sz w:val="22"/>
                <w:szCs w:val="22"/>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1,009,911</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13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610,905</w:t>
            </w:r>
          </w:p>
        </w:tc>
        <w:tc>
          <w:tcPr>
            <w:tcW w:w="10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w:t>
            </w:r>
          </w:p>
        </w:tc>
        <w:tc>
          <w:tcPr>
            <w:tcW w:w="0" w:type="dxa"/>
            <w:vAlign w:val="bottom"/>
          </w:tcPr>
          <w:p>
            <w:pPr>
              <w:spacing w:after="0"/>
              <w:rPr>
                <w:sz w:val="1"/>
                <w:szCs w:val="1"/>
                <w:color w:val="auto"/>
              </w:rPr>
            </w:pPr>
          </w:p>
        </w:tc>
      </w:tr>
      <w:tr>
        <w:trPr>
          <w:trHeight w:val="234"/>
        </w:trPr>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795,659</w:t>
            </w:r>
          </w:p>
        </w:tc>
        <w:tc>
          <w:tcPr>
            <w:tcW w:w="10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13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25%</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635,419</w:t>
            </w:r>
          </w:p>
        </w:tc>
        <w:tc>
          <w:tcPr>
            <w:tcW w:w="100" w:type="dxa"/>
            <w:vAlign w:val="bottom"/>
          </w:tcPr>
          <w:p>
            <w:pPr>
              <w:spacing w:after="0"/>
              <w:rPr>
                <w:sz w:val="20"/>
                <w:szCs w:val="20"/>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13%</w:t>
            </w:r>
          </w:p>
        </w:tc>
        <w:tc>
          <w:tcPr>
            <w:tcW w:w="0" w:type="dxa"/>
            <w:vAlign w:val="bottom"/>
          </w:tcPr>
          <w:p>
            <w:pPr>
              <w:spacing w:after="0"/>
              <w:rPr>
                <w:sz w:val="1"/>
                <w:szCs w:val="1"/>
                <w:color w:val="auto"/>
              </w:rPr>
            </w:pP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6,783,728</w:t>
            </w:r>
          </w:p>
        </w:tc>
        <w:tc>
          <w:tcPr>
            <w:tcW w:w="100" w:type="dxa"/>
            <w:vAlign w:val="bottom"/>
          </w:tcPr>
          <w:p>
            <w:pPr>
              <w:spacing w:after="0"/>
              <w:rPr>
                <w:sz w:val="19"/>
                <w:szCs w:val="19"/>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100%</w:t>
            </w:r>
          </w:p>
        </w:tc>
        <w:tc>
          <w:tcPr>
            <w:tcW w:w="13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34%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5,063,242</w:t>
            </w:r>
          </w:p>
        </w:tc>
        <w:tc>
          <w:tcPr>
            <w:tcW w:w="100" w:type="dxa"/>
            <w:vAlign w:val="bottom"/>
          </w:tcPr>
          <w:p>
            <w:pPr>
              <w:spacing w:after="0"/>
              <w:rPr>
                <w:sz w:val="19"/>
                <w:szCs w:val="19"/>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100%</w:t>
            </w: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-2211070</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-1885315</wp:posOffset>
            </wp:positionV>
            <wp:extent cx="713232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-1593850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-805180</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-479425</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-187960</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30" w:lineRule="exact"/>
        <w:rPr>
          <w:sz w:val="20"/>
          <w:szCs w:val="20"/>
          <w:color w:val="auto"/>
        </w:rPr>
      </w:pPr>
    </w:p>
    <w:p>
      <w:pPr>
        <w:sectPr>
          <w:pgSz w:w="11900" w:h="16838" w:orient="portrait"/>
          <w:cols w:equalWidth="0" w:num="2">
            <w:col w:w="2020" w:space="720"/>
            <w:col w:w="8500"/>
          </w:cols>
          <w:pgMar w:left="320" w:top="887"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1) The sum of the individual percentages may not equal the total due to rounding.</w:t>
      </w:r>
    </w:p>
    <w:p>
      <w:pPr>
        <w:sectPr>
          <w:pgSz w:w="11900" w:h="16838" w:orient="portrait"/>
          <w:cols w:equalWidth="0" w:num="1">
            <w:col w:w="11240"/>
          </w:cols>
          <w:pgMar w:left="320" w:top="887"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RECONCILIATION OF GAAP TO NON-GAAP RESULTS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22860</wp:posOffset>
            </wp:positionV>
            <wp:extent cx="45605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56057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p>
      <w:pPr>
        <w:spacing w:after="0" w:line="47"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21590</wp:posOffset>
            </wp:positionV>
            <wp:extent cx="22459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26" w:lineRule="exact"/>
        <w:rPr>
          <w:sz w:val="20"/>
          <w:szCs w:val="20"/>
          <w:color w:val="auto"/>
        </w:rPr>
      </w:pPr>
    </w:p>
    <w:p>
      <w:pPr>
        <w:ind w:left="4500"/>
        <w:spacing w:after="0"/>
        <w:tabs>
          <w:tab w:leader="none" w:pos="6300" w:val="left"/>
        </w:tabs>
        <w:rPr>
          <w:sz w:val="20"/>
          <w:szCs w:val="20"/>
          <w:color w:val="auto"/>
        </w:rPr>
      </w:pPr>
      <w:r>
        <w:rPr>
          <w:rFonts w:ascii="Times New Roman" w:cs="Times New Roman" w:eastAsia="Times New Roman" w:hAnsi="Times New Roman"/>
          <w:sz w:val="16"/>
          <w:szCs w:val="16"/>
          <w:b w:val="1"/>
          <w:bCs w:val="1"/>
          <w:color w:val="auto"/>
        </w:rPr>
        <w:t>May 2, 2026</w:t>
      </w:r>
      <w:r>
        <w:rPr>
          <w:sz w:val="20"/>
          <w:szCs w:val="20"/>
          <w:color w:val="auto"/>
        </w:rPr>
        <w:tab/>
      </w:r>
      <w:r>
        <w:rPr>
          <w:rFonts w:ascii="Times New Roman" w:cs="Times New Roman" w:eastAsia="Times New Roman" w:hAnsi="Times New Roman"/>
          <w:sz w:val="16"/>
          <w:szCs w:val="16"/>
          <w:b w:val="1"/>
          <w:bCs w:val="1"/>
          <w:color w:val="auto"/>
        </w:rPr>
        <w:t>May 3, 2025</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6"/>
          <w:szCs w:val="16"/>
          <w:b w:val="1"/>
          <w:bCs w:val="1"/>
          <w:color w:val="242424"/>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21590</wp:posOffset>
            </wp:positionV>
            <wp:extent cx="22459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26"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6"/>
          <w:szCs w:val="16"/>
          <w:b w:val="1"/>
          <w:bCs w:val="1"/>
          <w:color w:val="auto"/>
        </w:rPr>
        <w:t>May 2, 2026</w:t>
      </w:r>
      <w:r>
        <w:rPr>
          <w:sz w:val="20"/>
          <w:szCs w:val="20"/>
          <w:color w:val="auto"/>
        </w:rPr>
        <w:tab/>
      </w:r>
      <w:r>
        <w:rPr>
          <w:rFonts w:ascii="Times New Roman" w:cs="Times New Roman" w:eastAsia="Times New Roman" w:hAnsi="Times New Roman"/>
          <w:sz w:val="16"/>
          <w:szCs w:val="16"/>
          <w:b w:val="1"/>
          <w:bCs w:val="1"/>
          <w:color w:val="auto"/>
        </w:rPr>
        <w:t>May 3, 2025</w:t>
      </w:r>
    </w:p>
    <w:p>
      <w:pPr>
        <w:spacing w:after="0" w:line="28" w:lineRule="exact"/>
        <w:rPr>
          <w:sz w:val="20"/>
          <w:szCs w:val="20"/>
          <w:color w:val="auto"/>
        </w:rPr>
      </w:pPr>
    </w:p>
    <w:p>
      <w:pPr>
        <w:sectPr>
          <w:pgSz w:w="11900" w:h="16838" w:orient="portrait"/>
          <w:cols w:equalWidth="0" w:num="2">
            <w:col w:w="7420" w:space="720"/>
            <w:col w:w="3100"/>
          </w:cols>
          <w:pgMar w:left="320" w:top="684"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2,439,798</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1,611,610</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4,484,773</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3,041,913</w:t>
            </w:r>
          </w:p>
        </w:tc>
      </w:tr>
      <w:tr>
        <w:trPr>
          <w:trHeight w:val="230"/>
        </w:trPr>
        <w:tc>
          <w:tcPr>
            <w:tcW w:w="4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Gross margin percentage</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60.1 %</w:t>
            </w:r>
          </w:p>
        </w:tc>
      </w:tr>
      <w:tr>
        <w:trPr>
          <w:trHeight w:val="229"/>
        </w:trPr>
        <w:tc>
          <w:tcPr>
            <w:tcW w:w="4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Acquisition related expenses</w:t>
            </w:r>
          </w:p>
        </w:tc>
        <w:tc>
          <w:tcPr>
            <w:tcW w:w="4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205,464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220,277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410,212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458,109</w:t>
            </w:r>
          </w:p>
        </w:tc>
      </w:tr>
      <w:tr>
        <w:trPr>
          <w:trHeight w:val="223"/>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gross margin</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2,645,262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1,831,887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4,894,985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3,500,022</w:t>
            </w: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Adjusted gross margin percentage</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69.1 %</w:t>
            </w:r>
          </w:p>
        </w:tc>
      </w:tr>
      <w:tr>
        <w:trPr>
          <w:trHeight w:val="257"/>
        </w:trPr>
        <w:tc>
          <w:tcPr>
            <w:tcW w:w="40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1,060,118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933,666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2,108,068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1,872,656</w:t>
            </w:r>
          </w:p>
        </w:tc>
      </w:tr>
      <w:tr>
        <w:trPr>
          <w:trHeight w:val="229"/>
        </w:trPr>
        <w:tc>
          <w:tcPr>
            <w:tcW w:w="4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Percent of revenue</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37.0 %</w:t>
            </w:r>
          </w:p>
        </w:tc>
      </w:tr>
      <w:tr>
        <w:trPr>
          <w:trHeight w:val="230"/>
        </w:trPr>
        <w:tc>
          <w:tcPr>
            <w:tcW w:w="4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Acquisition related expenses</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(188,582)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(188,015)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(376,495)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(376,030)</w:t>
            </w:r>
          </w:p>
        </w:tc>
      </w:tr>
      <w:tr>
        <w:trPr>
          <w:trHeight w:val="229"/>
        </w:trPr>
        <w:tc>
          <w:tcPr>
            <w:tcW w:w="40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Special charges, net</w:t>
            </w:r>
          </w:p>
        </w:tc>
        <w:tc>
          <w:tcPr>
            <w:tcW w:w="44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(47,982)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(65,632)</w:t>
            </w:r>
          </w:p>
        </w:tc>
      </w:tr>
      <w:tr>
        <w:trPr>
          <w:trHeight w:val="248"/>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operating expenses</w:t>
            </w: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871,536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743,906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1,683,591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1,430,994</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Adjusted operating expenses percentage</w:t>
            </w:r>
          </w:p>
        </w:tc>
        <w:tc>
          <w:tcPr>
            <w:tcW w:w="4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24.1 %</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28.2 %</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24.8 %</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28.3 %</w:t>
            </w:r>
          </w:p>
        </w:tc>
      </w:tr>
      <w:tr>
        <w:trPr>
          <w:trHeight w:val="257"/>
        </w:trPr>
        <w:tc>
          <w:tcPr>
            <w:tcW w:w="40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1,379,680</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677,944</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2,376,705</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1,169,257</w:t>
            </w:r>
          </w:p>
        </w:tc>
      </w:tr>
      <w:tr>
        <w:trPr>
          <w:trHeight w:val="229"/>
        </w:trPr>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Operating margin</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r>
      <w:tr>
        <w:trPr>
          <w:trHeight w:val="230"/>
        </w:trPr>
        <w:tc>
          <w:tcPr>
            <w:tcW w:w="40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Acquisition related expenses</w:t>
            </w:r>
          </w:p>
        </w:tc>
        <w:tc>
          <w:tcPr>
            <w:tcW w:w="44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394,046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408,292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786,707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834,139</w:t>
            </w:r>
          </w:p>
        </w:tc>
      </w:tr>
      <w:tr>
        <w:trPr>
          <w:trHeight w:val="229"/>
        </w:trPr>
        <w:tc>
          <w:tcPr>
            <w:tcW w:w="4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Special charges, net</w:t>
            </w:r>
          </w:p>
        </w:tc>
        <w:tc>
          <w:tcPr>
            <w:tcW w:w="4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47,982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65,632</w:t>
            </w:r>
          </w:p>
        </w:tc>
      </w:tr>
      <w:tr>
        <w:trPr>
          <w:trHeight w:val="223"/>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operating income</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1,773,726</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1,087,981</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3,211,394</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2,069,028</w:t>
            </w: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Adjusted operating margin</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40.9 %</w:t>
            </w:r>
          </w:p>
        </w:tc>
      </w:tr>
      <w:tr>
        <w:trPr>
          <w:trHeight w:val="256"/>
        </w:trPr>
        <w:tc>
          <w:tcPr>
            <w:tcW w:w="40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Nonoperating expense (income)</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54,852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52,016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106,006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107,753</w:t>
            </w:r>
          </w:p>
        </w:tc>
      </w:tr>
      <w:tr>
        <w:trPr>
          <w:trHeight w:val="230"/>
        </w:trPr>
        <w:tc>
          <w:tcPr>
            <w:tcW w:w="40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Acquisition related expenses</w:t>
            </w: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4,300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4,300</w:t>
            </w:r>
          </w:p>
        </w:tc>
      </w:tr>
      <w:tr>
        <w:trPr>
          <w:trHeight w:val="248"/>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nonoperating expense (income)</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57,002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54,166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110,306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112,053</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1,324,828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625,928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2,270,699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1,061,504</w:t>
            </w:r>
          </w:p>
        </w:tc>
      </w:tr>
      <w:tr>
        <w:trPr>
          <w:trHeight w:val="230"/>
        </w:trPr>
        <w:tc>
          <w:tcPr>
            <w:tcW w:w="4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Acquisition related expenses</w:t>
            </w:r>
          </w:p>
        </w:tc>
        <w:tc>
          <w:tcPr>
            <w:tcW w:w="44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391,896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406,142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782,407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829,839</w:t>
            </w:r>
          </w:p>
        </w:tc>
      </w:tr>
      <w:tr>
        <w:trPr>
          <w:trHeight w:val="230"/>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Special charges, net</w:t>
            </w:r>
          </w:p>
        </w:tc>
        <w:tc>
          <w:tcPr>
            <w:tcW w:w="4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47,982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65,632</w:t>
            </w:r>
          </w:p>
        </w:tc>
      </w:tr>
      <w:tr>
        <w:trPr>
          <w:trHeight w:val="223"/>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income before income taxes</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1,716,724</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1,033,815</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3,101,088</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1,956,975</w:t>
            </w: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4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148,478</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56,158</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263,523</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100,418</w:t>
            </w: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29"/>
        </w:trPr>
        <w:tc>
          <w:tcPr>
            <w:tcW w:w="4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Tax related items</w:t>
            </w: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54,219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57,573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114,668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122,635</w:t>
            </w:r>
          </w:p>
        </w:tc>
      </w:tr>
      <w:tr>
        <w:trPr>
          <w:trHeight w:val="248"/>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provision for income taxes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202,697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113,731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378,191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223,053</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tax rate</w:t>
            </w:r>
          </w:p>
        </w:tc>
        <w:tc>
          <w:tcPr>
            <w:tcW w:w="4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11.8 %</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11.0 %</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12.2 %</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11.4 %</w:t>
            </w:r>
          </w:p>
        </w:tc>
      </w:tr>
      <w:tr>
        <w:trPr>
          <w:trHeight w:val="270"/>
        </w:trPr>
        <w:tc>
          <w:tcPr>
            <w:tcW w:w="40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EPS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1.93</w:t>
            </w:r>
          </w:p>
        </w:tc>
      </w:tr>
      <w:tr>
        <w:trPr>
          <w:trHeight w:val="229"/>
        </w:trPr>
        <w:tc>
          <w:tcPr>
            <w:tcW w:w="4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Acquisition related expenses</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0.80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1.66</w:t>
            </w:r>
          </w:p>
        </w:tc>
      </w:tr>
      <w:tr>
        <w:trPr>
          <w:trHeight w:val="230"/>
        </w:trPr>
        <w:tc>
          <w:tcPr>
            <w:tcW w:w="40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Special charges, net</w:t>
            </w:r>
          </w:p>
        </w:tc>
        <w:tc>
          <w:tcPr>
            <w:tcW w:w="44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0.13</w:t>
            </w:r>
          </w:p>
        </w:tc>
      </w:tr>
      <w:tr>
        <w:trPr>
          <w:trHeight w:val="230"/>
        </w:trPr>
        <w:tc>
          <w:tcPr>
            <w:tcW w:w="4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Tax related items</w:t>
            </w:r>
          </w:p>
        </w:tc>
        <w:tc>
          <w:tcPr>
            <w:tcW w:w="4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(0.25)</w:t>
            </w:r>
          </w:p>
        </w:tc>
      </w:tr>
      <w:tr>
        <w:trPr>
          <w:trHeight w:val="223"/>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diluted EPS*</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3.48</w:t>
            </w:r>
          </w:p>
        </w:tc>
      </w:tr>
      <w:tr>
        <w:trPr>
          <w:trHeight w:val="20"/>
        </w:trPr>
        <w:tc>
          <w:tcPr>
            <w:tcW w:w="4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sum of the individual per share amounts may not equal the total due to rounding.</w:t>
      </w:r>
    </w:p>
    <w:p>
      <w:pPr>
        <w:sectPr>
          <w:pgSz w:w="11900" w:h="16838" w:orient="portrait"/>
          <w:cols w:equalWidth="0" w:num="1">
            <w:col w:w="11240"/>
          </w:cols>
          <w:pgMar w:left="320" w:top="684" w:right="3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CASH PROVIDED BY OPERATING ACTIVITIES TO FREE CASH FLOW</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center"/>
              <w:ind w:right="50"/>
              <w:spacing w:after="0" w:line="189" w:lineRule="exact"/>
              <w:rPr>
                <w:sz w:val="20"/>
                <w:szCs w:val="20"/>
                <w:color w:val="auto"/>
              </w:rPr>
            </w:pPr>
            <w:r>
              <w:rPr>
                <w:rFonts w:ascii="Times New Roman" w:cs="Times New Roman" w:eastAsia="Times New Roman" w:hAnsi="Times New Roman"/>
                <w:sz w:val="18"/>
                <w:szCs w:val="18"/>
                <w:b w:val="1"/>
                <w:bCs w:val="1"/>
                <w:color w:val="auto"/>
                <w:w w:val="97"/>
              </w:rPr>
              <w:t>Trailing Twelve</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960" w:type="dxa"/>
            <w:vAlign w:val="bottom"/>
            <w:tcBorders>
              <w:top w:val="single" w:sz="8" w:color="auto"/>
            </w:tcBorders>
            <w:gridSpan w:val="5"/>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60" w:type="dxa"/>
            <w:vAlign w:val="bottom"/>
            <w:gridSpan w:val="5"/>
            <w:vMerge w:val="continue"/>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Jan. 31, 2026</w:t>
            </w: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Nov. 1, 2025</w:t>
            </w:r>
          </w:p>
        </w:tc>
        <w:tc>
          <w:tcPr>
            <w:tcW w:w="1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Aug. 2, 2025</w:t>
            </w:r>
          </w:p>
        </w:tc>
        <w:tc>
          <w:tcPr>
            <w:tcW w:w="0" w:type="dxa"/>
            <w:vAlign w:val="bottom"/>
          </w:tcPr>
          <w:p>
            <w:pPr>
              <w:spacing w:after="0"/>
              <w:rPr>
                <w:sz w:val="1"/>
                <w:szCs w:val="1"/>
                <w:color w:val="auto"/>
              </w:rPr>
            </w:pPr>
          </w:p>
        </w:tc>
      </w:tr>
      <w:tr>
        <w:trPr>
          <w:trHeight w:val="223"/>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12,739,993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3,623,465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3,160,063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3,076,117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2,880,348</w:t>
            </w: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5,106,471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872,041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1,368,515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1,700,810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1,165,105</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Revenue</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(541,321)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(137,702)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(109,313)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(215,153)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(79,153)</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4,565,150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734,339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1,259,202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1,485,657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1,085,952</w:t>
            </w:r>
          </w:p>
        </w:tc>
        <w:tc>
          <w:tcPr>
            <w:tcW w:w="0" w:type="dxa"/>
            <w:vAlign w:val="bottom"/>
          </w:tcPr>
          <w:p>
            <w:pPr>
              <w:spacing w:after="0"/>
              <w:rPr>
                <w:sz w:val="1"/>
                <w:szCs w:val="1"/>
                <w:color w:val="auto"/>
              </w:rPr>
            </w:pPr>
          </w:p>
        </w:tc>
      </w:tr>
      <w:tr>
        <w:trPr>
          <w:trHeight w:val="234"/>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Revenue</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bl>
    <w:p>
      <w:pPr>
        <w:sectPr>
          <w:pgSz w:w="11900" w:h="16838" w:orient="portrait"/>
          <w:cols w:equalWidth="0" w:num="1">
            <w:col w:w="11200"/>
          </w:cols>
          <w:pgMar w:left="340" w:top="887" w:right="35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PROJECTED GAAP TO NON-GAAP RESULTS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580" w:type="dxa"/>
            <w:vAlign w:val="bottom"/>
          </w:tcPr>
          <w:p>
            <w:pPr>
              <w:spacing w:after="0"/>
              <w:rPr>
                <w:sz w:val="21"/>
                <w:szCs w:val="21"/>
                <w:color w:val="auto"/>
              </w:rPr>
            </w:pPr>
          </w:p>
        </w:tc>
        <w:tc>
          <w:tcPr>
            <w:tcW w:w="6620" w:type="dxa"/>
            <w:vAlign w:val="bottom"/>
            <w:tcBorders>
              <w:top w:val="single" w:sz="8" w:color="auto"/>
              <w:bottom w:val="single" w:sz="8" w:color="auto"/>
            </w:tcBorders>
            <w:gridSpan w:val="3"/>
          </w:tcPr>
          <w:p>
            <w:pPr>
              <w:ind w:left="1880"/>
              <w:spacing w:after="0"/>
              <w:rPr>
                <w:sz w:val="20"/>
                <w:szCs w:val="20"/>
                <w:color w:val="auto"/>
              </w:rPr>
            </w:pPr>
            <w:r>
              <w:rPr>
                <w:rFonts w:ascii="Times New Roman" w:cs="Times New Roman" w:eastAsia="Times New Roman" w:hAnsi="Times New Roman"/>
                <w:sz w:val="18"/>
                <w:szCs w:val="18"/>
                <w:b w:val="1"/>
                <w:bCs w:val="1"/>
                <w:color w:val="auto"/>
              </w:rPr>
              <w:t>Three Months Ending August 1, 2026</w:t>
            </w:r>
          </w:p>
        </w:tc>
      </w:tr>
      <w:tr>
        <w:trPr>
          <w:trHeight w:val="223"/>
        </w:trPr>
        <w:tc>
          <w:tcPr>
            <w:tcW w:w="4580" w:type="dxa"/>
            <w:vAlign w:val="bottom"/>
          </w:tcPr>
          <w:p>
            <w:pPr>
              <w:spacing w:after="0"/>
              <w:rPr>
                <w:sz w:val="19"/>
                <w:szCs w:val="19"/>
                <w:color w:val="auto"/>
              </w:rPr>
            </w:pPr>
          </w:p>
        </w:tc>
        <w:tc>
          <w:tcPr>
            <w:tcW w:w="3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Adjusted</w:t>
            </w:r>
          </w:p>
        </w:tc>
      </w:tr>
      <w:tr>
        <w:trPr>
          <w:trHeight w:val="223"/>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 Billion</w:t>
            </w:r>
          </w:p>
        </w:tc>
        <w:tc>
          <w:tcPr>
            <w:tcW w:w="100" w:type="dxa"/>
            <w:vAlign w:val="bottom"/>
            <w:tcBorders>
              <w:top w:val="single" w:sz="8" w:color="CCEEFF"/>
            </w:tcBorders>
            <w:shd w:val="clear" w:color="auto" w:fill="CCEEFF"/>
          </w:tcPr>
          <w:p>
            <w:pPr>
              <w:spacing w:after="0"/>
              <w:rPr>
                <w:sz w:val="19"/>
                <w:szCs w:val="19"/>
                <w:color w:val="auto"/>
              </w:rPr>
            </w:pPr>
          </w:p>
        </w:tc>
        <w:tc>
          <w:tcPr>
            <w:tcW w:w="3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 Billion</w:t>
            </w:r>
          </w:p>
        </w:tc>
      </w:tr>
      <w:tr>
        <w:trPr>
          <w:trHeight w:val="229"/>
        </w:trPr>
        <w:tc>
          <w:tcPr>
            <w:tcW w:w="4580" w:type="dxa"/>
            <w:vAlign w:val="bottom"/>
          </w:tcPr>
          <w:p>
            <w:pPr>
              <w:spacing w:after="0"/>
              <w:rPr>
                <w:sz w:val="19"/>
                <w:szCs w:val="19"/>
                <w:color w:val="auto"/>
              </w:rPr>
            </w:pPr>
          </w:p>
        </w:tc>
        <w:tc>
          <w:tcPr>
            <w:tcW w:w="3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 $100 Million)</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$100 Million)</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39.0%</w:t>
            </w:r>
          </w:p>
        </w:tc>
        <w:tc>
          <w:tcPr>
            <w:tcW w:w="100" w:type="dxa"/>
            <w:vAlign w:val="bottom"/>
            <w:shd w:val="clear" w:color="auto" w:fill="CCEEFF"/>
          </w:tcPr>
          <w:p>
            <w:pPr>
              <w:spacing w:after="0"/>
              <w:rPr>
                <w:sz w:val="19"/>
                <w:szCs w:val="19"/>
                <w:color w:val="auto"/>
              </w:rPr>
            </w:pP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49.0% (1)</w:t>
            </w:r>
          </w:p>
        </w:tc>
      </w:tr>
      <w:tr>
        <w:trPr>
          <w:trHeight w:val="229"/>
        </w:trPr>
        <w:tc>
          <w:tcPr>
            <w:tcW w:w="4580" w:type="dxa"/>
            <w:vAlign w:val="bottom"/>
          </w:tcPr>
          <w:p>
            <w:pPr>
              <w:spacing w:after="0"/>
              <w:rPr>
                <w:sz w:val="19"/>
                <w:szCs w:val="19"/>
                <w:color w:val="auto"/>
              </w:rPr>
            </w:pPr>
          </w:p>
        </w:tc>
        <w:tc>
          <w:tcPr>
            <w:tcW w:w="3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(+/-150 bps)</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 bps)</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rate</w:t>
            </w: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 - 14%</w:t>
            </w:r>
          </w:p>
        </w:tc>
        <w:tc>
          <w:tcPr>
            <w:tcW w:w="100" w:type="dxa"/>
            <w:vAlign w:val="bottom"/>
            <w:shd w:val="clear" w:color="auto" w:fill="CCEEFF"/>
          </w:tcPr>
          <w:p>
            <w:pPr>
              <w:spacing w:after="0"/>
              <w:rPr>
                <w:sz w:val="19"/>
                <w:szCs w:val="19"/>
                <w:color w:val="auto"/>
              </w:rPr>
            </w:pP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 - 14% (2)</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$2.60</w:t>
            </w:r>
          </w:p>
        </w:tc>
        <w:tc>
          <w:tcPr>
            <w:tcW w:w="100" w:type="dxa"/>
            <w:vAlign w:val="bottom"/>
          </w:tcPr>
          <w:p>
            <w:pPr>
              <w:spacing w:after="0"/>
              <w:rPr>
                <w:sz w:val="19"/>
                <w:szCs w:val="19"/>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$3.30 (3)</w:t>
            </w:r>
          </w:p>
        </w:tc>
      </w:tr>
      <w:tr>
        <w:trPr>
          <w:trHeight w:val="229"/>
        </w:trPr>
        <w:tc>
          <w:tcPr>
            <w:tcW w:w="4580" w:type="dxa"/>
            <w:vAlign w:val="bottom"/>
            <w:shd w:val="clear" w:color="auto" w:fill="CCEEFF"/>
          </w:tcPr>
          <w:p>
            <w:pPr>
              <w:spacing w:after="0"/>
              <w:rPr>
                <w:sz w:val="19"/>
                <w:szCs w:val="19"/>
                <w:color w:val="auto"/>
              </w:rPr>
            </w:pP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$0.15)</w:t>
            </w:r>
          </w:p>
        </w:tc>
        <w:tc>
          <w:tcPr>
            <w:tcW w:w="100" w:type="dxa"/>
            <w:vAlign w:val="bottom"/>
            <w:shd w:val="clear" w:color="auto" w:fill="CCEEFF"/>
          </w:tcPr>
          <w:p>
            <w:pPr>
              <w:spacing w:after="0"/>
              <w:rPr>
                <w:sz w:val="19"/>
                <w:szCs w:val="19"/>
                <w:color w:val="auto"/>
              </w:rPr>
            </w:pP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$0.15)</w:t>
            </w:r>
          </w:p>
        </w:tc>
      </w:tr>
    </w:tbl>
    <w:p>
      <w:pPr>
        <w:spacing w:after="0" w:line="319" w:lineRule="exact"/>
        <w:rPr>
          <w:sz w:val="20"/>
          <w:szCs w:val="20"/>
          <w:color w:val="auto"/>
        </w:rPr>
      </w:pPr>
    </w:p>
    <w:p>
      <w:pPr>
        <w:ind w:right="180" w:firstLine="8"/>
        <w:spacing w:after="0" w:line="261"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$391 million of adjustments related to acquisition related expenses as previously defined in the Non-GAAP Financial Information section of this press release.</w:t>
      </w: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$51 million of tax effects associated with the adjustment for acquisition related expenses noted above.</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$0.70 of adjustments related to the net impact of acquisition related expenses and the tax effects on those items.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more information, please contact: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Jeff Ambrosi</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Senior Director, Investor Relations</w:t>
      </w:r>
    </w:p>
    <w:p>
      <w:pPr>
        <w:spacing w:after="0" w:line="230" w:lineRule="auto"/>
        <w:rPr>
          <w:sz w:val="20"/>
          <w:szCs w:val="20"/>
          <w:color w:val="auto"/>
        </w:rPr>
      </w:pPr>
      <w:r>
        <w:rPr>
          <w:rFonts w:ascii="Times New Roman" w:cs="Times New Roman" w:eastAsia="Times New Roman" w:hAnsi="Times New Roman"/>
          <w:sz w:val="22"/>
          <w:szCs w:val="22"/>
          <w:color w:val="auto"/>
        </w:rPr>
        <w:t>Analog Devices, Inc.</w:t>
      </w:r>
    </w:p>
    <w:p>
      <w:pPr>
        <w:spacing w:after="0" w:line="218" w:lineRule="auto"/>
        <w:rPr>
          <w:sz w:val="20"/>
          <w:szCs w:val="20"/>
          <w:color w:val="auto"/>
        </w:rPr>
      </w:pPr>
      <w:r>
        <w:rPr>
          <w:rFonts w:ascii="Times New Roman" w:cs="Times New Roman" w:eastAsia="Times New Roman" w:hAnsi="Times New Roman"/>
          <w:sz w:val="22"/>
          <w:szCs w:val="22"/>
          <w:color w:val="auto"/>
        </w:rPr>
        <w:t>781-461-3282</w:t>
      </w:r>
    </w:p>
    <w:p>
      <w:pPr>
        <w:spacing w:after="0"/>
        <w:rPr>
          <w:sz w:val="20"/>
          <w:szCs w:val="20"/>
          <w:color w:val="auto"/>
        </w:rPr>
      </w:pPr>
      <w:r>
        <w:rPr>
          <w:rFonts w:ascii="Times New Roman" w:cs="Times New Roman" w:eastAsia="Times New Roman" w:hAnsi="Times New Roman"/>
          <w:sz w:val="22"/>
          <w:szCs w:val="22"/>
          <w:color w:val="auto"/>
        </w:rPr>
        <w:t>investor.relations@analog.com</w:t>
      </w:r>
    </w:p>
    <w:sectPr>
      <w:pgSz w:w="11900" w:h="16838" w:orient="portrait"/>
      <w:cols w:equalWidth="0" w:num="1">
        <w:col w:w="11220"/>
      </w:cols>
      <w:pgMar w:left="320" w:top="88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2026-05-20T06:02:37Z</dcterms:created>
  <dcterms:modified xsi:type="dcterms:W3CDTF">2026-05-20T06:02:37Z</dcterms:modified>
</cp:coreProperties>
</file>