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1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February 2, 2008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1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70"/>
              <w:spacing w:after="0"/>
              <w:rPr>
                <w:sz w:val="20"/>
                <w:szCs w:val="20"/>
                <w:color w:val="auto"/>
              </w:rPr>
            </w:pPr>
            <w:r>
              <w:rPr>
                <w:rFonts w:ascii="Arial" w:cs="Arial" w:eastAsia="Arial" w:hAnsi="Arial"/>
                <w:sz w:val="18"/>
                <w:szCs w:val="18"/>
                <w:i w:val="1"/>
                <w:iCs w:val="1"/>
                <w:color w:val="auto"/>
                <w:w w:val="93"/>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418"/>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60"/>
          </w:cols>
          <w:pgMar w:left="240" w:top="122" w:right="399" w:bottom="1440" w:gutter="0" w:footer="0" w:header="0"/>
        </w:sectPr>
      </w:pPr>
    </w:p>
    <w:p>
      <w:pPr>
        <w:spacing w:after="0" w:line="91" w:lineRule="exact"/>
        <w:rPr>
          <w:sz w:val="20"/>
          <w:szCs w:val="20"/>
          <w:color w:val="auto"/>
        </w:rPr>
      </w:pPr>
    </w:p>
    <w:p>
      <w:pPr>
        <w:ind w:left="4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60" w:space="720"/>
            <w:col w:w="1340" w:space="560"/>
            <w:col w:w="3360" w:space="180"/>
            <w:col w:w="2240"/>
          </w:cols>
          <w:pgMar w:left="240" w:top="122" w:right="399"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2" w:lineRule="exact"/>
        <w:rPr>
          <w:sz w:val="20"/>
          <w:szCs w:val="20"/>
          <w:color w:val="auto"/>
        </w:rPr>
      </w:pPr>
    </w:p>
    <w:p>
      <w:pPr>
        <w:sectPr>
          <w:pgSz w:w="11900" w:h="16838" w:orient="portrait"/>
          <w:cols w:equalWidth="0" w:num="2">
            <w:col w:w="8880" w:space="280"/>
            <w:col w:w="2100"/>
          </w:cols>
          <w:pgMar w:left="240" w:top="122" w:right="39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As of February 2, 2008 there were 293,935,311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2" w:right="39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4">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3">
        <w:r>
          <w:rPr>
            <w:rFonts w:ascii="Arial" w:cs="Arial" w:eastAsia="Arial" w:hAnsi="Arial"/>
            <w:sz w:val="22"/>
            <w:szCs w:val="22"/>
            <w:u w:val="single" w:color="auto"/>
            <w:color w:val="0000EE"/>
          </w:rPr>
          <w:t>ITEM 4. Controls and Procedures</w:t>
        </w:r>
      </w:hyperlink>
    </w:p>
    <w:p>
      <w:pPr>
        <w:ind w:left="320"/>
        <w:spacing w:after="0" w:line="232"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4">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1">
        <w:r>
          <w:rPr>
            <w:rFonts w:ascii="Arial" w:cs="Arial" w:eastAsia="Arial" w:hAnsi="Arial"/>
            <w:sz w:val="22"/>
            <w:szCs w:val="22"/>
            <w:u w:val="single" w:color="auto"/>
            <w:color w:val="0000EE"/>
          </w:rPr>
          <w:t>ITEM 6. Exhibits</w:t>
        </w:r>
      </w:hyperlink>
    </w:p>
    <w:p>
      <w:pPr>
        <w:spacing w:after="0" w:line="231" w:lineRule="auto"/>
        <w:rPr>
          <w:rFonts w:ascii="Arial" w:cs="Arial" w:eastAsia="Arial" w:hAnsi="Arial"/>
          <w:sz w:val="22"/>
          <w:szCs w:val="22"/>
          <w:u w:val="single" w:color="auto"/>
          <w:color w:val="0000EE"/>
        </w:rPr>
      </w:pPr>
      <w:hyperlink w:anchor="page42">
        <w:r>
          <w:rPr>
            <w:rFonts w:ascii="Arial" w:cs="Arial" w:eastAsia="Arial" w:hAnsi="Arial"/>
            <w:sz w:val="22"/>
            <w:szCs w:val="22"/>
            <w:u w:val="single" w:color="auto"/>
            <w:color w:val="0000EE"/>
          </w:rPr>
          <w:t>SIGNATURES</w:t>
        </w:r>
      </w:hyperlink>
    </w:p>
    <w:p>
      <w:pPr>
        <w:spacing w:after="0" w:line="231" w:lineRule="auto"/>
        <w:rPr>
          <w:sz w:val="20"/>
          <w:szCs w:val="20"/>
          <w:color w:val="auto"/>
        </w:rPr>
      </w:pPr>
      <w:r>
        <w:rPr>
          <w:rFonts w:ascii="Arial" w:cs="Arial" w:eastAsia="Arial" w:hAnsi="Arial"/>
          <w:sz w:val="22"/>
          <w:szCs w:val="22"/>
          <w:u w:val="single" w:color="auto"/>
          <w:color w:val="0000EE"/>
        </w:rPr>
        <w:t>EX-31.1 Secton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0"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February 2, 2008</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613,909</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591,265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Revenue from one-time IP license</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613,909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626,265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sales (1)</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238,106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226,601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375,803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129,539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123,077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Selling, marketing, general and administrative (1)</w:t>
            </w:r>
          </w:p>
        </w:tc>
        <w:tc>
          <w:tcPr>
            <w:tcW w:w="24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100,351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101,980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Special charges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229,890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230,253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145,913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(12,526)</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(12,353)</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 and minority interest</w:t>
            </w:r>
          </w:p>
        </w:tc>
        <w:tc>
          <w:tcPr>
            <w:tcW w:w="2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158,266</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201,713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36,418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45,479</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2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121,848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156,453</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Gain on sale of discontinued operations, net of tax</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248,871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370,719</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153,227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299,141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338,698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earnings per share — diluted</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304,260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from continuing operations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from continuing operations</w:t>
            </w: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0.18</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400"/>
              <w:spacing w:after="0"/>
              <w:rPr>
                <w:sz w:val="20"/>
                <w:szCs w:val="20"/>
                <w:color w:val="auto"/>
              </w:rPr>
            </w:pPr>
            <w:r>
              <w:rPr>
                <w:rFonts w:ascii="Arial" w:cs="Arial" w:eastAsia="Arial" w:hAnsi="Arial"/>
                <w:sz w:val="18"/>
                <w:szCs w:val="18"/>
                <w:color w:val="auto"/>
              </w:rPr>
              <w:t>(1) Includes stock-based compensation expense as follows: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1,953</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5,524</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Selling, marketing, general and administrative</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5,415</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7,988</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February 2, 2008</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633,089</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424,972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638,677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340,080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323,777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Inventories (1):</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Raw materials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15,872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 in process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226,704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87,620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330,196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79,526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53,811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of discontinued operations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22,862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2,099,405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1,979,859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376,697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372,162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1,447,501</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1,412,913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76,258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65,015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1,965,471</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1,924,642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1,404,176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1,368,567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561,295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34,779</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262,316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21,286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52,691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40,997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 of discontinued operations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62,037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other assets</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474,243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3,134,943</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$3,012 and $3,371 related to stock-based compensation at February 2, 2008 and November 3, 2007,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color w:val="auto"/>
              </w:rPr>
              <w:t>February 2, 2008</w:t>
            </w:r>
          </w:p>
        </w:tc>
        <w:tc>
          <w:tcPr>
            <w:tcW w:w="1500" w:type="dxa"/>
            <w:vAlign w:val="bottom"/>
            <w:gridSpan w:val="4"/>
          </w:tcPr>
          <w:p>
            <w:pPr>
              <w:ind w:left="32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Shareholders’ Equity</w:t>
            </w: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119,440</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156,192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on shipments to distributors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160,366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37,612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185,847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206,996</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711,425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10,903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34,680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38,682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84,265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rPr>
              <w:t>Common stock, $0.16 2/3 par value, 1,200,000,000 shares authorized, 293,935,311 shares issued and</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outstanding (303,354,180 on November 3, 2007)</w:t>
            </w:r>
          </w:p>
        </w:tc>
        <w:tc>
          <w:tcPr>
            <w:tcW w:w="1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48,990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2,258,811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2,253,483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31,452</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2,339,253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3,134,943</w:t>
            </w: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2,971,949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color w:val="auto"/>
                <w:w w:val="93"/>
              </w:rPr>
              <w:t>Three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340" w:type="dxa"/>
            <w:vAlign w:val="bottom"/>
            <w:gridSpan w:val="4"/>
          </w:tcPr>
          <w:p>
            <w:pPr>
              <w:spacing w:after="0" w:line="142" w:lineRule="exact"/>
              <w:rPr>
                <w:sz w:val="20"/>
                <w:szCs w:val="20"/>
                <w:color w:val="auto"/>
              </w:rPr>
            </w:pPr>
            <w:r>
              <w:rPr>
                <w:rFonts w:ascii="Arial" w:cs="Arial" w:eastAsia="Arial" w:hAnsi="Arial"/>
                <w:sz w:val="14"/>
                <w:szCs w:val="14"/>
                <w:color w:val="auto"/>
              </w:rPr>
              <w:t>February 2, 2008</w:t>
            </w:r>
          </w:p>
        </w:tc>
        <w:tc>
          <w:tcPr>
            <w:tcW w:w="1280" w:type="dxa"/>
            <w:vAlign w:val="bottom"/>
            <w:gridSpan w:val="3"/>
          </w:tcPr>
          <w:p>
            <w:pPr>
              <w:ind w:left="280"/>
              <w:spacing w:after="0" w:line="142" w:lineRule="exact"/>
              <w:rPr>
                <w:sz w:val="20"/>
                <w:szCs w:val="20"/>
                <w:color w:val="auto"/>
              </w:rPr>
            </w:pPr>
            <w:r>
              <w:rPr>
                <w:rFonts w:ascii="Arial" w:cs="Arial" w:eastAsia="Arial" w:hAnsi="Arial"/>
                <w:sz w:val="14"/>
                <w:szCs w:val="14"/>
                <w:color w:val="auto"/>
                <w:w w:val="91"/>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370,719</w:t>
            </w:r>
          </w:p>
        </w:tc>
        <w:tc>
          <w:tcPr>
            <w:tcW w:w="34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35,551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10,595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businesses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(246,983)</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(6,710)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Gain on sale of an investment</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Minority interest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non-cash activity</w:t>
            </w:r>
          </w:p>
        </w:tc>
        <w:tc>
          <w:tcPr>
            <w:tcW w:w="200" w:type="dxa"/>
            <w:vAlign w:val="bottom"/>
          </w:tcPr>
          <w:p>
            <w:pPr>
              <w:spacing w:after="0"/>
              <w:rPr>
                <w:sz w:val="18"/>
                <w:szCs w:val="18"/>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(193,299)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177,420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208,153</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(351,221)</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(646,407)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371,396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878,619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(40,115)</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Decrease in other assets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2,795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sale of businesses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406,665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sale of an investment</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389,520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202,642</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(359,376)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(333,223)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Liability from common stock repurchases</w:t>
            </w: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24,879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24,497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Excess tax benefit-stock options</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6,710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payments to shareholders</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(53,836)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(54,737)</w:t>
            </w:r>
          </w:p>
        </w:tc>
        <w:tc>
          <w:tcPr>
            <w:tcW w:w="0" w:type="dxa"/>
            <w:vAlign w:val="bottom"/>
          </w:tcPr>
          <w:p>
            <w:pPr>
              <w:spacing w:after="0"/>
              <w:rPr>
                <w:sz w:val="1"/>
                <w:szCs w:val="1"/>
                <w:color w:val="auto"/>
              </w:rPr>
            </w:pP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Net cash used for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(357,126)</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(356,996)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439"/>
        </w:trPr>
        <w:tc>
          <w:tcPr>
            <w:tcW w:w="870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208,117</w:t>
            </w:r>
          </w:p>
        </w:tc>
        <w:tc>
          <w:tcPr>
            <w:tcW w:w="36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424,972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343,947</w:t>
            </w: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633,089</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FEBRUARY 2, 2008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November 3, 2007 and related notes. The results of operations for the interim period shown in this report are not necessarily indicative of the results that may be expected for the fiscal year ending November 1, 2008 or any future period.</w:t>
      </w:r>
    </w:p>
    <w:p>
      <w:pPr>
        <w:spacing w:after="0" w:line="6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sold its baseband chipset business and related support operations, or Baseband Chipset Business, to MediaTek Inc. and sold its CPU voltage regulation and PC thermal monitoring business to certain subsidiaries of ON Semiconductor Corporation during the first quarter of fiscal 2008. The Company has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February 2, 2008 and November 3, 2007. The historical results of operations of these businesses have been segregated from the Company’s consolidated financial statements and are included in income (loss) from discontinued operations, net of tax, in the consolidated statements of income.</w:t>
      </w:r>
    </w:p>
    <w:p>
      <w:pPr>
        <w:spacing w:after="0" w:line="5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Company has a 52-53 week fiscal year that ends on the Saturday closest to the last day in October. Fiscal 2008 is a 52-week fiscal year and fiscal 2007 was a 53-week fiscal year. The additional week in fiscal 2007 was included in the first quarter ended February 3, 2007. Therefore, the first three months of fiscal 2007 included an additional week of operations as compared to the first three months of fiscal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 xml:space="preserve">On December 16, 2004, the Financial Accounting Standards Board (FASB) issued Statement of Financial Accounting Standards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(SFAS 123R). SFAS 123R supersedes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xml:space="preserve">, and amends SFAS No. 95,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Generally, the approach in SFAS 123R is similar to the approach described in SFAS 123 </w:t>
      </w:r>
      <w:r>
        <w:rPr>
          <w:rFonts w:ascii="Arial" w:cs="Arial" w:eastAsia="Arial" w:hAnsi="Arial"/>
          <w:sz w:val="17"/>
          <w:szCs w:val="17"/>
          <w:i w:val="1"/>
          <w:iCs w:val="1"/>
          <w:color w:val="auto"/>
        </w:rPr>
        <w:t>Accounting for Stock-Based</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However, SFAS 123R requires all share-based payments to employees, including grants of employee stock options, to be recognized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income statement over their vesting period based on their fair values at the date of grant.</w:t>
      </w:r>
    </w:p>
    <w:p>
      <w:pPr>
        <w:spacing w:after="0" w:line="64"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On October 30, 2005 (the first day of its 2006 fiscal year), the Company adopted SFAS 123R using the modified prospective method as permitted under SFAS 123R. Under this transition method, compensation cost recognized in future periods includes: (a) compensation cost for all share-based payments granted prior to but not yet vested as of October 29, 2005, based on the grant-date fair value estimated in accordance with the provisions of SFAS 123, and</w:t>
      </w:r>
    </w:p>
    <w:p>
      <w:pPr>
        <w:ind w:firstLine="8"/>
        <w:spacing w:after="0" w:line="255"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the Black-Scholes option pricing model to calculate the grant-date fair value of an award. Information pertaining to the Company’s stock option awards and the related estimated weighted-average assumptions to calculate the fair value of stock options granted during the three-month periods ended February 2, 2008 and February 3, 2007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3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60" w:type="dxa"/>
            <w:vAlign w:val="bottom"/>
            <w:gridSpan w:val="2"/>
            <w:vMerge w:val="continue"/>
          </w:tcPr>
          <w:p>
            <w:pPr>
              <w:spacing w:after="0"/>
              <w:rPr>
                <w:sz w:val="12"/>
                <w:szCs w:val="12"/>
                <w:color w:val="auto"/>
              </w:rPr>
            </w:pPr>
          </w:p>
        </w:tc>
        <w:tc>
          <w:tcPr>
            <w:tcW w:w="1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132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rPr>
              <w:t>5,550</w:t>
            </w:r>
          </w:p>
        </w:tc>
        <w:tc>
          <w:tcPr>
            <w:tcW w:w="7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Weighted-average exercise price of stock options</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29.90</w:t>
            </w:r>
          </w:p>
        </w:tc>
        <w:tc>
          <w:tcPr>
            <w:tcW w:w="740" w:type="dxa"/>
            <w:vAlign w:val="bottom"/>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grant-date fair value of stock options</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7.91</w:t>
            </w:r>
          </w:p>
        </w:tc>
        <w:tc>
          <w:tcPr>
            <w:tcW w:w="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Assumptions:</w:t>
            </w: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32.2%</w:t>
            </w:r>
          </w:p>
        </w:tc>
        <w:tc>
          <w:tcPr>
            <w:tcW w:w="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380" w:type="dxa"/>
            <w:vAlign w:val="bottom"/>
          </w:tcPr>
          <w:p>
            <w:pPr>
              <w:spacing w:after="0"/>
              <w:rPr>
                <w:sz w:val="18"/>
                <w:szCs w:val="18"/>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5.1</w:t>
            </w:r>
          </w:p>
        </w:tc>
        <w:tc>
          <w:tcPr>
            <w:tcW w:w="7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3.3%</w:t>
            </w:r>
          </w:p>
        </w:tc>
        <w:tc>
          <w:tcPr>
            <w:tcW w:w="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80" w:type="dxa"/>
            <w:vAlign w:val="bottom"/>
          </w:tcPr>
          <w:p>
            <w:pPr>
              <w:spacing w:after="0"/>
              <w:rPr>
                <w:sz w:val="20"/>
                <w:szCs w:val="20"/>
                <w:color w:val="auto"/>
              </w:rPr>
            </w:pPr>
          </w:p>
        </w:tc>
        <w:tc>
          <w:tcPr>
            <w:tcW w:w="1100" w:type="dxa"/>
            <w:vAlign w:val="bottom"/>
          </w:tcPr>
          <w:p>
            <w:pPr>
              <w:jc w:val="right"/>
              <w:ind w:right="192"/>
              <w:spacing w:after="0"/>
              <w:rPr>
                <w:sz w:val="20"/>
                <w:szCs w:val="20"/>
                <w:color w:val="auto"/>
              </w:rPr>
            </w:pPr>
            <w:r>
              <w:rPr>
                <w:rFonts w:ascii="Arial" w:cs="Arial" w:eastAsia="Arial" w:hAnsi="Arial"/>
                <w:sz w:val="18"/>
                <w:szCs w:val="18"/>
                <w:color w:val="auto"/>
              </w:rPr>
              <w:t>2.41%</w:t>
            </w:r>
          </w:p>
        </w:tc>
        <w:tc>
          <w:tcPr>
            <w:tcW w:w="74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The 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w:t>
      </w:r>
    </w:p>
    <w:p>
      <w:pPr>
        <w:spacing w:after="0" w:line="2" w:lineRule="exact"/>
        <w:rPr>
          <w:sz w:val="20"/>
          <w:szCs w:val="20"/>
          <w:color w:val="auto"/>
        </w:rPr>
      </w:pPr>
    </w:p>
    <w:p>
      <w:pPr>
        <w:ind w:right="8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 (4) the maturities of the traded options used to estimate volatility are at least one year.</w:t>
      </w:r>
    </w:p>
    <w:p>
      <w:pPr>
        <w:spacing w:after="0" w:line="8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w:t>
      </w:r>
      <w:r>
        <w:rPr>
          <w:rFonts w:ascii="Arial" w:cs="Arial" w:eastAsia="Arial" w:hAnsi="Arial"/>
          <w:sz w:val="18"/>
          <w:szCs w:val="18"/>
          <w:i w:val="1"/>
          <w:iCs w:val="1"/>
          <w:color w:val="auto"/>
        </w:rPr>
        <w:t xml:space="preserve"> </w:t>
      </w:r>
      <w:r>
        <w:rPr>
          <w:rFonts w:ascii="Arial" w:cs="Arial" w:eastAsia="Arial" w:hAnsi="Arial"/>
          <w:sz w:val="18"/>
          <w:szCs w:val="18"/>
          <w:color w:val="auto"/>
        </w:rPr>
        <w:t>the 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granted after October 29, 2005. The change to the straight-line attribution method was made so that the expense associated with each stock-based award is recognized ratably over the vesting period. The expense associated with the unvested portion of the pre-adoption grants will continue to be expensed using the graded attribution method.</w:t>
      </w:r>
    </w:p>
    <w:p>
      <w:pPr>
        <w:spacing w:after="0" w:line="8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4.3% to all unvested stock-based awards as of February 2, 2008. The rate of 4.3% represents the portion that is expected to be forfeited each year over the vesting period. This analysis will be re-evaluated quarterly and the forfeiture rate will be adjusted as necessary. Ultimately, the actual expense recognized over the vesting period will only be for those shares that vest.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summary of the activity under the Company’s stock option plans as of February 2, 2008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Weighted-Average</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5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1"/>
              </w:rPr>
              <w:t>Options Outstanding</w:t>
            </w:r>
          </w:p>
        </w:tc>
        <w:tc>
          <w:tcPr>
            <w:tcW w:w="16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Exercise Price Per</w:t>
            </w:r>
          </w:p>
        </w:tc>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Contractual Term in</w:t>
            </w: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Share</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c>
          <w:tcPr>
            <w:tcW w:w="5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at November 3, 2007</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80,158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35.39</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5,550</w:t>
            </w:r>
          </w:p>
        </w:tc>
        <w:tc>
          <w:tcPr>
            <w:tcW w:w="26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29.90</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(2,905)</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10.61</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(1,839)</w:t>
            </w: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36.54</w:t>
            </w:r>
          </w:p>
        </w:tc>
        <w:tc>
          <w:tcPr>
            <w:tcW w:w="1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(497)</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42.45</w:t>
            </w:r>
          </w:p>
        </w:tc>
        <w:tc>
          <w:tcPr>
            <w:tcW w:w="1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February 2, 2008</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80,467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35.83</w:t>
            </w:r>
          </w:p>
        </w:tc>
        <w:tc>
          <w:tcPr>
            <w:tcW w:w="1760" w:type="dxa"/>
            <w:vAlign w:val="bottom"/>
          </w:tcPr>
          <w:p>
            <w:pPr>
              <w:jc w:val="right"/>
              <w:ind w:right="180"/>
              <w:spacing w:after="0"/>
              <w:rPr>
                <w:sz w:val="20"/>
                <w:szCs w:val="20"/>
                <w:color w:val="auto"/>
              </w:rPr>
            </w:pPr>
            <w:r>
              <w:rPr>
                <w:rFonts w:ascii="Arial" w:cs="Arial" w:eastAsia="Arial" w:hAnsi="Arial"/>
                <w:sz w:val="18"/>
                <w:szCs w:val="18"/>
                <w:color w:val="auto"/>
              </w:rPr>
              <w:t>5.4</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126,640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February 2, 2008</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36.20</w:t>
            </w:r>
          </w:p>
        </w:tc>
        <w:tc>
          <w:tcPr>
            <w:tcW w:w="17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125,171</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Options vested or expected to vest at February 2, 2008 (1)</w:t>
            </w:r>
          </w:p>
        </w:tc>
        <w:tc>
          <w:tcPr>
            <w:tcW w:w="1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172"/>
              <w:spacing w:after="0"/>
              <w:rPr>
                <w:sz w:val="20"/>
                <w:szCs w:val="20"/>
                <w:color w:val="auto"/>
              </w:rPr>
            </w:pPr>
            <w:r>
              <w:rPr>
                <w:rFonts w:ascii="Arial" w:cs="Arial" w:eastAsia="Arial" w:hAnsi="Arial"/>
                <w:sz w:val="18"/>
                <w:szCs w:val="18"/>
                <w:color w:val="auto"/>
              </w:rPr>
              <w:t>35.87</w:t>
            </w:r>
          </w:p>
        </w:tc>
        <w:tc>
          <w:tcPr>
            <w:tcW w:w="1760" w:type="dxa"/>
            <w:vAlign w:val="bottom"/>
            <w:vMerge w:val="restart"/>
          </w:tcPr>
          <w:p>
            <w:pPr>
              <w:jc w:val="right"/>
              <w:ind w:right="180"/>
              <w:spacing w:after="0"/>
              <w:rPr>
                <w:sz w:val="20"/>
                <w:szCs w:val="20"/>
                <w:color w:val="auto"/>
              </w:rPr>
            </w:pPr>
            <w:r>
              <w:rPr>
                <w:rFonts w:ascii="Arial" w:cs="Arial" w:eastAsia="Arial" w:hAnsi="Arial"/>
                <w:sz w:val="18"/>
                <w:szCs w:val="18"/>
                <w:color w:val="auto"/>
              </w:rPr>
              <w:t>5.3</w:t>
            </w:r>
          </w:p>
        </w:tc>
        <w:tc>
          <w:tcPr>
            <w:tcW w:w="5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ind w:right="14"/>
              <w:spacing w:after="0"/>
              <w:rPr>
                <w:sz w:val="20"/>
                <w:szCs w:val="20"/>
                <w:color w:val="auto"/>
              </w:rPr>
            </w:pPr>
            <w:r>
              <w:rPr>
                <w:rFonts w:ascii="Arial" w:cs="Arial" w:eastAsia="Arial" w:hAnsi="Arial"/>
                <w:sz w:val="18"/>
                <w:szCs w:val="18"/>
                <w:color w:val="auto"/>
              </w:rPr>
              <w:t>127,031</w:t>
            </w:r>
          </w:p>
        </w:tc>
        <w:tc>
          <w:tcPr>
            <w:tcW w:w="0" w:type="dxa"/>
            <w:vAlign w:val="bottom"/>
          </w:tcPr>
          <w:p>
            <w:pPr>
              <w:spacing w:after="0" w:line="20" w:lineRule="exact"/>
              <w:rPr>
                <w:sz w:val="1"/>
                <w:szCs w:val="1"/>
                <w:color w:val="auto"/>
              </w:rPr>
            </w:pPr>
          </w:p>
        </w:tc>
      </w:tr>
      <w:tr>
        <w:trPr>
          <w:trHeight w:val="210"/>
        </w:trPr>
        <w:tc>
          <w:tcPr>
            <w:tcW w:w="4900" w:type="dxa"/>
            <w:vAlign w:val="bottom"/>
            <w:gridSpan w:val="2"/>
            <w:vMerge w:val="continue"/>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78,653</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760" w:type="dxa"/>
            <w:vAlign w:val="bottom"/>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February 2, 2008, the total intrinsic value of options exercised (i.e., the difference between the market price at exercise and the price paid by the employee to exercise the options) was $55.6 million, and the total amount of cash received from exercise of these options was $30.8 million. The $24.5 million in the Company’s statement of cash flows is net of the value of shares surrendered by employees to satisfy employee tax obligations upon vesting of restricted stock or restricted stock units and in connection with the exercise of stock options granted to our employees under our equity compensation plans. The total grant-date fair value of stock options that vested during the three months ended February 2, 2008 was approximately $74.3 million.</w:t>
      </w:r>
    </w:p>
    <w:p>
      <w:pPr>
        <w:spacing w:after="0" w:line="8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During the three months ended February 3, 2007, the total intrinsic value of options exercised was $35.1 million, and the total amount of cash received from exercise of these options was $24.5 million. The total grant-date fair value of stock options that vested during the three months ended February 3, 2007 was approximately $37.3 million.</w:t>
      </w:r>
    </w:p>
    <w:p>
      <w:pPr>
        <w:spacing w:after="0" w:line="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summary of the Company’s restricted stock and restricted stock unit award activity as of February 2, 2008 and changes during the three-month period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Restricted Shares</w:t>
            </w:r>
          </w:p>
        </w:tc>
        <w:tc>
          <w:tcPr>
            <w:tcW w:w="1560" w:type="dxa"/>
            <w:vAlign w:val="bottom"/>
            <w:gridSpan w:val="2"/>
          </w:tcPr>
          <w:p>
            <w:pPr>
              <w:ind w:left="300"/>
              <w:spacing w:after="0"/>
              <w:rPr>
                <w:sz w:val="20"/>
                <w:szCs w:val="20"/>
                <w:color w:val="auto"/>
              </w:rPr>
            </w:pPr>
            <w:r>
              <w:rPr>
                <w:rFonts w:ascii="Arial" w:cs="Arial" w:eastAsia="Arial" w:hAnsi="Arial"/>
                <w:sz w:val="14"/>
                <w:szCs w:val="14"/>
                <w:b w:val="1"/>
                <w:bCs w:val="1"/>
                <w:color w:val="auto"/>
                <w:w w:val="97"/>
              </w:rPr>
              <w:t>Weighted-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420" w:type="dxa"/>
            <w:vAlign w:val="bottom"/>
          </w:tcPr>
          <w:p>
            <w:pPr>
              <w:spacing w:after="0"/>
              <w:rPr>
                <w:sz w:val="12"/>
                <w:szCs w:val="12"/>
                <w:color w:val="auto"/>
              </w:rPr>
            </w:pPr>
          </w:p>
        </w:tc>
        <w:tc>
          <w:tcPr>
            <w:tcW w:w="14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and/ or Units</w:t>
            </w:r>
          </w:p>
        </w:tc>
        <w:tc>
          <w:tcPr>
            <w:tcW w:w="156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156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November 3, 2007</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2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720" w:type="dxa"/>
            <w:vAlign w:val="bottom"/>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February 2, 2008</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As of February 2, 2008, there was $160.1 million (before tax consideration) of total unrecognized compensation cost related to unvested share-based awards, including stock options, restricted stock and restricted stock units. That cost is expected to be recognized over a weighted-average period of 1.9 years.</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4"/>
          </w:tcPr>
          <w:p>
            <w:pPr>
              <w:jc w:val="right"/>
              <w:ind w:right="320"/>
              <w:spacing w:after="0" w:line="142" w:lineRule="exact"/>
              <w:rPr>
                <w:sz w:val="20"/>
                <w:szCs w:val="20"/>
                <w:color w:val="auto"/>
              </w:rPr>
            </w:pPr>
            <w:r>
              <w:rPr>
                <w:rFonts w:ascii="Arial" w:cs="Arial" w:eastAsia="Arial" w:hAnsi="Arial"/>
                <w:sz w:val="14"/>
                <w:szCs w:val="14"/>
                <w:color w:val="auto"/>
                <w:w w:val="90"/>
              </w:rPr>
              <w:t>February 2, 2008</w:t>
            </w:r>
          </w:p>
        </w:tc>
        <w:tc>
          <w:tcPr>
            <w:tcW w:w="240" w:type="dxa"/>
            <w:vAlign w:val="bottom"/>
          </w:tcPr>
          <w:p>
            <w:pPr>
              <w:spacing w:after="0"/>
              <w:rPr>
                <w:sz w:val="12"/>
                <w:szCs w:val="12"/>
                <w:color w:val="auto"/>
              </w:rPr>
            </w:pP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color w:val="auto"/>
                <w:w w:val="91"/>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121,848</w:t>
            </w:r>
          </w:p>
        </w:tc>
        <w:tc>
          <w:tcPr>
            <w:tcW w:w="6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156,453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(3,596)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Change in unrealized holding gains (net of taxes of $374 and $1,117, respectively) on securities classified as</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2,243</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w w:val="99"/>
              </w:rPr>
              <w:t>Change in unrealized holding losses (net of taxes of $27 and $47, respectively) on securities classified as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(losses) gains on derivative instruments designated as cash flow hedges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432"/>
        </w:trPr>
        <w:tc>
          <w:tcPr>
            <w:tcW w:w="8620" w:type="dxa"/>
            <w:vAlign w:val="bottom"/>
            <w:gridSpan w:val="2"/>
          </w:tcPr>
          <w:p>
            <w:pPr>
              <w:spacing w:after="0"/>
              <w:rPr>
                <w:sz w:val="20"/>
                <w:szCs w:val="20"/>
                <w:color w:val="auto"/>
              </w:rPr>
            </w:pPr>
            <w:r>
              <w:rPr>
                <w:rFonts w:ascii="Arial" w:cs="Arial" w:eastAsia="Arial" w:hAnsi="Arial"/>
                <w:sz w:val="18"/>
                <w:szCs w:val="18"/>
                <w:color w:val="auto"/>
                <w:w w:val="97"/>
              </w:rPr>
              <w:t>Foreign currency translation adjustment related to accumulated other comprehensive income — pension plans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Transition asset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Net actuarial gain</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241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(2,646)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5,398</w:t>
            </w: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Comprehensive income from continuing operations</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119,202</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161,851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248,871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23"/>
        </w:trPr>
        <w:tc>
          <w:tcPr>
            <w:tcW w:w="86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368,073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158,625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3"/>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0" w:type="dxa"/>
            <w:vAlign w:val="bottom"/>
            <w:gridSpan w:val="7"/>
          </w:tcPr>
          <w:p>
            <w:pPr>
              <w:spacing w:after="0"/>
              <w:rPr>
                <w:sz w:val="20"/>
                <w:szCs w:val="20"/>
                <w:color w:val="auto"/>
              </w:rPr>
            </w:pPr>
            <w:r>
              <w:rPr>
                <w:rFonts w:ascii="Arial" w:cs="Arial" w:eastAsia="Arial" w:hAnsi="Arial"/>
                <w:sz w:val="18"/>
                <w:szCs w:val="18"/>
                <w:color w:val="auto"/>
                <w:w w:val="94"/>
              </w:rPr>
              <w:t>The components of accumulated other comprehensive income at February 2, 2008 and November 3, 2007 consisted of the following:</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600" w:type="dxa"/>
            <w:vAlign w:val="bottom"/>
          </w:tcPr>
          <w:p>
            <w:pPr>
              <w:spacing w:after="0"/>
              <w:rPr>
                <w:sz w:val="24"/>
                <w:szCs w:val="24"/>
                <w:color w:val="auto"/>
              </w:rPr>
            </w:pPr>
          </w:p>
        </w:tc>
        <w:tc>
          <w:tcPr>
            <w:tcW w:w="1380" w:type="dxa"/>
            <w:vAlign w:val="bottom"/>
            <w:gridSpan w:val="5"/>
          </w:tcPr>
          <w:p>
            <w:pPr>
              <w:spacing w:after="0"/>
              <w:rPr>
                <w:sz w:val="20"/>
                <w:szCs w:val="20"/>
                <w:color w:val="auto"/>
              </w:rPr>
            </w:pPr>
            <w:r>
              <w:rPr>
                <w:rFonts w:ascii="Arial" w:cs="Arial" w:eastAsia="Arial" w:hAnsi="Arial"/>
                <w:sz w:val="14"/>
                <w:szCs w:val="14"/>
                <w:color w:val="auto"/>
              </w:rPr>
              <w:t>February 2, 2008</w:t>
            </w:r>
          </w:p>
        </w:tc>
        <w:tc>
          <w:tcPr>
            <w:tcW w:w="1420" w:type="dxa"/>
            <w:vAlign w:val="bottom"/>
            <w:gridSpan w:val="5"/>
          </w:tcPr>
          <w:p>
            <w:pPr>
              <w:ind w:left="240"/>
              <w:spacing w:after="0"/>
              <w:rPr>
                <w:sz w:val="20"/>
                <w:szCs w:val="20"/>
                <w:color w:val="auto"/>
              </w:rPr>
            </w:pPr>
            <w:r>
              <w:rPr>
                <w:rFonts w:ascii="Arial" w:cs="Arial" w:eastAsia="Arial" w:hAnsi="Arial"/>
                <w:sz w:val="14"/>
                <w:szCs w:val="14"/>
                <w:color w:val="auto"/>
              </w:rPr>
              <w:t>November 3, 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16,458</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Unrealized gains (losses) on available-for-sale securities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1,731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derivative instruments</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5,834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income — pension plans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service cost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200"/>
              <w:spacing w:after="0"/>
              <w:rPr>
                <w:sz w:val="20"/>
                <w:szCs w:val="20"/>
                <w:color w:val="auto"/>
              </w:rPr>
            </w:pPr>
            <w:r>
              <w:rPr>
                <w:rFonts w:ascii="Arial" w:cs="Arial" w:eastAsia="Arial" w:hAnsi="Arial"/>
                <w:sz w:val="18"/>
                <w:szCs w:val="18"/>
                <w:color w:val="auto"/>
              </w:rPr>
              <w:t>Transition asset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actuarial gain</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00"/>
              <w:spacing w:after="0"/>
              <w:rPr>
                <w:sz w:val="20"/>
                <w:szCs w:val="20"/>
                <w:color w:val="auto"/>
              </w:rPr>
            </w:pPr>
            <w:r>
              <w:rPr>
                <w:rFonts w:ascii="Arial" w:cs="Arial" w:eastAsia="Arial" w:hAnsi="Arial"/>
                <w:sz w:val="18"/>
                <w:szCs w:val="18"/>
                <w:color w:val="auto"/>
              </w:rPr>
              <w:t>Total accumulated other comprehensive income</w:t>
            </w: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31,452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566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6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4"/>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February 2, 2008</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38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121,848</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156,453</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248,871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38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370,719</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153,227</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Basic shares:</w:t>
            </w: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299,141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338,698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share-basic:</w:t>
            </w: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38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0.41</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38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Diluted shares:</w:t>
            </w: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shares outstanding</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299,141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338,698</w:t>
            </w:r>
          </w:p>
        </w:tc>
        <w:tc>
          <w:tcPr>
            <w:tcW w:w="0" w:type="dxa"/>
            <w:vAlign w:val="bottom"/>
          </w:tcPr>
          <w:p>
            <w:pPr>
              <w:spacing w:after="0"/>
              <w:rPr>
                <w:sz w:val="1"/>
                <w:szCs w:val="1"/>
                <w:color w:val="auto"/>
              </w:rPr>
            </w:pPr>
          </w:p>
        </w:tc>
      </w:tr>
      <w:tr>
        <w:trPr>
          <w:trHeight w:val="223"/>
        </w:trPr>
        <w:tc>
          <w:tcPr>
            <w:tcW w:w="5560" w:type="dxa"/>
            <w:vAlign w:val="bottom"/>
          </w:tcPr>
          <w:p>
            <w:pPr>
              <w:ind w:left="220"/>
              <w:spacing w:after="0"/>
              <w:rPr>
                <w:sz w:val="20"/>
                <w:szCs w:val="20"/>
                <w:color w:val="auto"/>
              </w:rPr>
            </w:pPr>
            <w:r>
              <w:rPr>
                <w:rFonts w:ascii="Arial" w:cs="Arial" w:eastAsia="Arial" w:hAnsi="Arial"/>
                <w:sz w:val="18"/>
                <w:szCs w:val="18"/>
                <w:color w:val="auto"/>
              </w:rPr>
              <w:t>Assumed exercise of common stock equivalents</w:t>
            </w:r>
          </w:p>
        </w:tc>
        <w:tc>
          <w:tcPr>
            <w:tcW w:w="3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common and common equivalent shares</w:t>
            </w:r>
          </w:p>
        </w:tc>
        <w:tc>
          <w:tcPr>
            <w:tcW w:w="3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304,260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349,208</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Earnings per share-diluted:</w:t>
            </w: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continuing operations, net of tax</w:t>
            </w:r>
          </w:p>
        </w:tc>
        <w:tc>
          <w:tcPr>
            <w:tcW w:w="338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0.40</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5560" w:type="dxa"/>
            <w:vAlign w:val="bottom"/>
          </w:tcPr>
          <w:p>
            <w:pPr>
              <w:ind w:left="220"/>
              <w:spacing w:after="0"/>
              <w:rPr>
                <w:sz w:val="20"/>
                <w:szCs w:val="20"/>
                <w:color w:val="auto"/>
              </w:rPr>
            </w:pPr>
            <w:r>
              <w:rPr>
                <w:rFonts w:ascii="Arial" w:cs="Arial" w:eastAsia="Arial" w:hAnsi="Arial"/>
                <w:sz w:val="18"/>
                <w:szCs w:val="18"/>
                <w:color w:val="auto"/>
              </w:rPr>
              <w:t>Income (loss) from discontinued operations, net of tax</w:t>
            </w:r>
          </w:p>
        </w:tc>
        <w:tc>
          <w:tcPr>
            <w:tcW w:w="3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38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1.22</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560" w:type="dxa"/>
            <w:vAlign w:val="bottom"/>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56,707</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56,551</w:t>
            </w:r>
          </w:p>
        </w:tc>
        <w:tc>
          <w:tcPr>
            <w:tcW w:w="0" w:type="dxa"/>
            <w:vAlign w:val="bottom"/>
          </w:tcPr>
          <w:p>
            <w:pPr>
              <w:spacing w:after="0"/>
              <w:rPr>
                <w:sz w:val="1"/>
                <w:szCs w:val="1"/>
                <w:color w:val="auto"/>
              </w:rPr>
            </w:pPr>
          </w:p>
        </w:tc>
      </w:tr>
      <w:tr>
        <w:trPr>
          <w:trHeight w:val="405"/>
        </w:trPr>
        <w:tc>
          <w:tcPr>
            <w:tcW w:w="5560" w:type="dxa"/>
            <w:vAlign w:val="bottom"/>
          </w:tcPr>
          <w:p>
            <w:pPr>
              <w:spacing w:after="0"/>
              <w:rPr>
                <w:sz w:val="24"/>
                <w:szCs w:val="24"/>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56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Closure of Wafer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Reorganization of</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Consolidation of a</w:t>
            </w:r>
          </w:p>
        </w:tc>
        <w:tc>
          <w:tcPr>
            <w:tcW w:w="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Reduction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220" w:type="dxa"/>
            <w:vAlign w:val="bottom"/>
          </w:tcPr>
          <w:p>
            <w:pPr>
              <w:spacing w:after="0"/>
              <w:rPr>
                <w:sz w:val="12"/>
                <w:szCs w:val="12"/>
                <w:color w:val="auto"/>
              </w:rPr>
            </w:pPr>
          </w:p>
        </w:tc>
        <w:tc>
          <w:tcPr>
            <w:tcW w:w="16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Product Development</w:t>
            </w:r>
          </w:p>
        </w:tc>
        <w:tc>
          <w:tcPr>
            <w:tcW w:w="220" w:type="dxa"/>
            <w:vAlign w:val="bottom"/>
          </w:tcPr>
          <w:p>
            <w:pPr>
              <w:spacing w:after="0"/>
              <w:rPr>
                <w:sz w:val="12"/>
                <w:szCs w:val="12"/>
                <w:color w:val="auto"/>
              </w:rPr>
            </w:pPr>
          </w:p>
        </w:tc>
        <w:tc>
          <w:tcPr>
            <w:tcW w:w="16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Wafer Fabrication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Overhead</w:t>
            </w:r>
          </w:p>
        </w:tc>
        <w:tc>
          <w:tcPr>
            <w:tcW w:w="11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and Support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Facility in</w:t>
            </w:r>
          </w:p>
        </w:tc>
        <w:tc>
          <w:tcPr>
            <w:tcW w:w="20" w:type="dxa"/>
            <w:vAlign w:val="bottom"/>
          </w:tcPr>
          <w:p>
            <w:pPr>
              <w:spacing w:after="0"/>
              <w:rPr>
                <w:sz w:val="12"/>
                <w:szCs w:val="12"/>
                <w:color w:val="auto"/>
              </w:rPr>
            </w:pPr>
          </w:p>
        </w:tc>
        <w:tc>
          <w:tcPr>
            <w:tcW w:w="11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Infrastructure</w:t>
            </w: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Sunnyvale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Limerick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Workforce reductions</w:t>
            </w:r>
          </w:p>
        </w:tc>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20,315</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11,165</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20,315</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11,165</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w:t>
            </w:r>
          </w:p>
        </w:tc>
        <w:tc>
          <w:tcPr>
            <w:tcW w:w="42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Abandonment of equipment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459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Change in estimate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(2,029)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2,344</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2006 Charges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140" w:type="dxa"/>
            <w:vAlign w:val="bottom"/>
            <w:gridSpan w:val="3"/>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10,288</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estimate</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Total Fiscal 2007 Charges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Closure of Wafer</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Reorganization of</w:t>
            </w:r>
          </w:p>
        </w:tc>
        <w:tc>
          <w:tcPr>
            <w:tcW w:w="220" w:type="dxa"/>
            <w:vAlign w:val="bottom"/>
          </w:tcPr>
          <w:p>
            <w:pPr>
              <w:spacing w:after="0"/>
              <w:rPr>
                <w:sz w:val="24"/>
                <w:szCs w:val="24"/>
                <w:color w:val="auto"/>
              </w:rPr>
            </w:pPr>
          </w:p>
        </w:tc>
        <w:tc>
          <w:tcPr>
            <w:tcW w:w="1680" w:type="dxa"/>
            <w:vAlign w:val="bottom"/>
            <w:gridSpan w:val="4"/>
          </w:tcPr>
          <w:p>
            <w:pPr>
              <w:ind w:left="20"/>
              <w:spacing w:after="0"/>
              <w:rPr>
                <w:sz w:val="20"/>
                <w:szCs w:val="20"/>
                <w:color w:val="auto"/>
              </w:rPr>
            </w:pPr>
            <w:r>
              <w:rPr>
                <w:rFonts w:ascii="Arial" w:cs="Arial" w:eastAsia="Arial" w:hAnsi="Arial"/>
                <w:sz w:val="14"/>
                <w:szCs w:val="14"/>
                <w:b w:val="1"/>
                <w:bCs w:val="1"/>
                <w:color w:val="auto"/>
              </w:rPr>
              <w:t>Consolidation of a</w:t>
            </w:r>
          </w:p>
        </w:tc>
        <w:tc>
          <w:tcPr>
            <w:tcW w:w="20" w:type="dxa"/>
            <w:vAlign w:val="bottom"/>
          </w:tcPr>
          <w:p>
            <w:pPr>
              <w:spacing w:after="0"/>
              <w:rPr>
                <w:sz w:val="24"/>
                <w:szCs w:val="24"/>
                <w:color w:val="auto"/>
              </w:rPr>
            </w:pPr>
          </w:p>
        </w:tc>
        <w:tc>
          <w:tcPr>
            <w:tcW w:w="11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Reduction of</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Fabrication</w:t>
            </w:r>
          </w:p>
        </w:tc>
        <w:tc>
          <w:tcPr>
            <w:tcW w:w="18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Product Development</w:t>
            </w:r>
          </w:p>
        </w:tc>
        <w:tc>
          <w:tcPr>
            <w:tcW w:w="1900" w:type="dxa"/>
            <w:vAlign w:val="bottom"/>
            <w:gridSpan w:val="5"/>
          </w:tcPr>
          <w:p>
            <w:pPr>
              <w:ind w:left="220"/>
              <w:spacing w:after="0" w:line="149" w:lineRule="exact"/>
              <w:rPr>
                <w:sz w:val="20"/>
                <w:szCs w:val="20"/>
                <w:color w:val="auto"/>
              </w:rPr>
            </w:pPr>
            <w:r>
              <w:rPr>
                <w:rFonts w:ascii="Arial" w:cs="Arial" w:eastAsia="Arial" w:hAnsi="Arial"/>
                <w:sz w:val="14"/>
                <w:szCs w:val="14"/>
                <w:b w:val="1"/>
                <w:bCs w:val="1"/>
                <w:color w:val="auto"/>
              </w:rPr>
              <w:t>Wafer Fabrication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Overhead</w:t>
            </w:r>
          </w:p>
        </w:tc>
        <w:tc>
          <w:tcPr>
            <w:tcW w:w="112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Facility in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and Support</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Facility in</w:t>
            </w:r>
          </w:p>
        </w:tc>
        <w:tc>
          <w:tcPr>
            <w:tcW w:w="118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Infrastructure</w:t>
            </w:r>
          </w:p>
        </w:tc>
        <w:tc>
          <w:tcPr>
            <w:tcW w:w="1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Sunnyvale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Programs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Limerick</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November 3, 2007</w:t>
            </w: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11,146</w:t>
            </w:r>
          </w:p>
        </w:tc>
        <w:tc>
          <w:tcPr>
            <w:tcW w:w="2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Severance payments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(3,053)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(446)</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(1,199)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Effect of foreign currency translation on</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accrual</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Balance at February 2, 2008</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13,966</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During the fourth quarter of fiscal 2005, the Company recorded a special charge of $20.3 million as a result of a decision to close its California wafer fabrication operations and transfer virtually all of the production of products manufactured there to the Company’s facility in Wilmington, Massachusetts. The charge was for severance and fringe benefit costs that were recorded pursuant to SFAS 88, </w:t>
      </w:r>
      <w:r>
        <w:rPr>
          <w:rFonts w:ascii="Arial" w:cs="Arial" w:eastAsia="Arial" w:hAnsi="Arial"/>
          <w:sz w:val="18"/>
          <w:szCs w:val="18"/>
          <w:i w:val="1"/>
          <w:iCs w:val="1"/>
          <w:color w:val="auto"/>
        </w:rPr>
        <w:t>Employers’ Accounting for Settlements and Curtailments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Defined Benefit Pension Plans and for Termination Benefits</w:t>
      </w:r>
      <w:r>
        <w:rPr>
          <w:rFonts w:ascii="Arial" w:cs="Arial" w:eastAsia="Arial" w:hAnsi="Arial"/>
          <w:sz w:val="18"/>
          <w:szCs w:val="18"/>
          <w:color w:val="auto"/>
        </w:rPr>
        <w:t>, or SFAS 88, under the Company’s ongoing benefit plan for 339 manufacturing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28 general and administrative employees. The severance benefit was calculated based on length of past service, and employees had to continue to be employed until they were involuntarily terminated in order to receive the severance benefit. The Company completed the final cleanup and closure activities associated with this action during the second quarter of fiscal 2007.</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charge recorded in the fourth quarter of fiscal 2005, the Company recorded additional expense during fiscal 2006, which consisted of</w:t>
      </w:r>
    </w:p>
    <w:p>
      <w:pPr>
        <w:spacing w:after="0" w:line="3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$18.3 million of non-cash cost of sales expenses for additional depreciation due to shortened useful lives of certain manufacturing equipment and $2.0 million for stay-on bonuses. The Company reversed approximately $2.0 million of its severance accrual during fiscal 2006 because some employees voluntarily left the Company, other employees found alternative employment within the Company, and there was an over accrual related to fringe benefits because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severance payments, normally paid as income continuance, were paid in lump sum payments, which reduced the benefit costs associated with these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employment of all of the remaining employees included in this action has been terminated by the Company.</w:t>
      </w:r>
    </w:p>
    <w:p>
      <w:pPr>
        <w:spacing w:after="0" w:line="10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The Company ceased production at the wafer fabrication facility on November 9, 2006. During the first quarter of fiscal 2007, the Company recorded additional expense, in accordance with SFAS 146, </w:t>
      </w:r>
      <w:r>
        <w:rPr>
          <w:rFonts w:ascii="Arial" w:cs="Arial" w:eastAsia="Arial" w:hAnsi="Arial"/>
          <w:sz w:val="17"/>
          <w:szCs w:val="17"/>
          <w:i w:val="1"/>
          <w:iCs w:val="1"/>
          <w:color w:val="auto"/>
        </w:rPr>
        <w:t>Accounting for Costs Associated with Exit or Disposal Activities,</w:t>
      </w:r>
      <w:r>
        <w:rPr>
          <w:rFonts w:ascii="Arial" w:cs="Arial" w:eastAsia="Arial" w:hAnsi="Arial"/>
          <w:sz w:val="17"/>
          <w:szCs w:val="17"/>
          <w:color w:val="auto"/>
        </w:rPr>
        <w:t xml:space="preserve"> which consisted of $3.2 million for clean-up and closure costs that were charged to expense as incurred and $0.4 million for lease obligation costs for a warehouse facility the Company ceased using during the first quarter of fiscal 2007. During the second quarter of fiscal 2007, the Company recorded a special charge, in accordance with SFAS 146, which included $5.0 million of expense for future lease obligation costs for the wafer fabrication facility that the Company ceased using during the second quarter of fiscal 2007. The lease obligation costs are being paid out on a monthly basis over the remaining lease term which expires in 2010. Also included in the special charge was $1.7 million for clean-up and closure costs that were charged to expense as incurred. The clean-up activity was completed during the second quarter of fiscal 2007, and the Company does not expect to incur any additional charges related to this action.</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of fiscal 2005, the Company recorded a special charge of $11.2 million as a result of its decision to reorganize its product development and support programs with the goal of providing greater focus on its analog and digital signal processing product programs. The charge was for severance and fringe benefit costs that were recorded pursuant to SFAS 88 under the Company’s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2006, the Company recorded an additional special charge of $3.8 million related to this reorganization action. Approximately $1.5 million of this charge was for lease obligation costs for a facility the Company ceased using during the first quarter of fiscal 2006 and the write-off of property, plant and equipment and other items at this facility. The remaining $2.3 million related to severance and fringe benefit costs that were recorded in the fourth quarter of fiscal 2006 pursuant to SFAS 88 under the Company’s ongoing benefit plan or statutory requirements at foreign locations for 46 engineering and selling, marketing, general and administrative employees.</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fiscal 2007, the Company recorded an additional special charge of $1.6 million related to this reorganization action. Approximately $0.6 million of this charge was for contract termination costs. The remaining $1.0 million relates to severance and fringe benefit costs recorded pursuant to SFAS 88 under the Company’s ongoing benefit plan for six engineering employees.</w:t>
      </w:r>
    </w:p>
    <w:p>
      <w:pPr>
        <w:spacing w:after="0" w:line="7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During the second quarter of fiscal 2007, the Company recorded an additional special charge of $3.4 million related to this reorganization action. Approximately $3.2 million relates to the severance and fringe benefit costs recorded pursuant to SFAS 88 under the Company’s ongoing benefit plan or minimum statutory requirements at foreign locations for 20 engineering and selling, marketing, general and administrative employees. The remaining $0.2 million of this charge was for lease obligation costs for a facility the Company ceased using during the second quarter of fiscal 2007.</w:t>
      </w:r>
    </w:p>
    <w:p>
      <w:pPr>
        <w:spacing w:after="0" w:line="46"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During the fourth quarter of fiscal 2007, the Company reversed approximately $0.9 million of the Company’s severance accrual because some employees voluntarily left the Company and other employees found alternative employment within the Company, and were therefore no longer entitled to severance payments.</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employment of all employees included in this action has been terminated and amounts owed to employees for severance are being paid out as income continuance. The Company does not expect to incur any further charges related to this reorganization action.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Fourth Quarter of Fiscal 2007 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fourth quarter of fiscal 2007, the Company recorded a special charge of $13.7 million as a result of the Company’s decision to solely use eight-inch technology at its wafer fabrication facility in Limerick. Certain manufacturing processes and products produced on the Limerick facility’s six-inch production line will transition to the existing eight-inch production line in Limerick while others will transition to external foundries. The charge is for severance and fringe benefit costs recorded pursuant to SFAS 88 under the Company’s ongoing benefit plan for 150 manufacturing employees. Production is expected to cease in the six-inch wafer fabrication facility during the first half of fiscal 2009, and the employment of the affected employees will be terminated.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February 2, 2008, 147 of the 150 employees included in this action were still employed by the Company. These employees must continue to be employed until their employment is involuntarily terminated in order to receive the severance benefit. The Company expects to incur additional expenses related to this action during fiscal 2009 of approximately $6 million related to clean-up and closure costs. In accordance with SFAS 146, these costs will be expensed as incurred.</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fourth quarter of fiscal 2007, the Company decided to either deemphasize or exit certain businesses or products and focus investments in products and end markets where the Company has better opportunities for profitable growth. In September 2007, the Company entered into a definitive agreement to sell its Baseband Chipset Business. As a result of these decisions, the Company decided to reduce the support infrastructure in manufacturing, engineering and SMG&amp;A to more appropriately reflect the required overhead structure of the Company. Consequently, during the fourth quarter of fiscal 2007, the Company recorded a special charge of $12.3 million, of which $10.7 million is for severance and fringe benefit costs recorded pursuant to SFAS 88 under the Company’s ongoing benefit plan or statutory requirements at foreign locations for 25 manufacturing employees and 127 engineering and selling, marketing, general and administrative employees. The remaining $1.6 million is for contract termination costs related to a license agreement associated with products the Company will no longer develop and for which there is no future alternative use. These actions are expected to be substantially completed in the second quarter of fiscal 2008.</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February 2, 2008, 25 of the 152 employees included in this action were still employed by the Company. These employees must continue to be employed until their employment is involuntarily terminated in order to receive the severance benefit.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No.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5"/>
              </w:rPr>
              <w:t>February 2, 2008</w:t>
            </w:r>
          </w:p>
        </w:tc>
        <w:tc>
          <w:tcPr>
            <w:tcW w:w="64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651"/>
              <w:spacing w:after="0"/>
              <w:rPr>
                <w:sz w:val="20"/>
                <w:szCs w:val="20"/>
                <w:color w:val="auto"/>
              </w:rPr>
            </w:pPr>
            <w:r>
              <w:rPr>
                <w:rFonts w:ascii="Arial" w:cs="Arial" w:eastAsia="Arial" w:hAnsi="Arial"/>
                <w:sz w:val="14"/>
                <w:szCs w:val="14"/>
                <w:b w:val="1"/>
                <w:bCs w:val="1"/>
                <w:color w:val="auto"/>
                <w:w w:val="94"/>
              </w:rPr>
              <w:t>February 3, 2007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Revenue</w:t>
            </w:r>
          </w:p>
        </w:tc>
        <w:tc>
          <w:tcPr>
            <w:tcW w:w="26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182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 of Total Product</w:t>
            </w:r>
          </w:p>
        </w:tc>
        <w:tc>
          <w:tcPr>
            <w:tcW w:w="6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00" w:type="dxa"/>
            <w:vAlign w:val="bottom"/>
            <w:vMerge w:val="restart"/>
          </w:tcPr>
          <w:p>
            <w:pPr>
              <w:spacing w:after="0"/>
              <w:rPr>
                <w:sz w:val="10"/>
                <w:szCs w:val="10"/>
                <w:color w:val="auto"/>
              </w:rPr>
            </w:pPr>
          </w:p>
        </w:tc>
        <w:tc>
          <w:tcPr>
            <w:tcW w:w="7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58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 Product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6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$ 300,085</w:t>
            </w:r>
          </w:p>
        </w:tc>
        <w:tc>
          <w:tcPr>
            <w:tcW w:w="2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$ 298,452</w:t>
            </w:r>
          </w:p>
        </w:tc>
        <w:tc>
          <w:tcPr>
            <w:tcW w:w="1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Communications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145,040</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700" w:type="dxa"/>
            <w:vAlign w:val="bottom"/>
          </w:tcPr>
          <w:p>
            <w:pPr>
              <w:jc w:val="right"/>
              <w:spacing w:after="0"/>
              <w:rPr>
                <w:sz w:val="20"/>
                <w:szCs w:val="20"/>
                <w:color w:val="auto"/>
              </w:rPr>
            </w:pPr>
            <w:r>
              <w:rPr>
                <w:rFonts w:ascii="Arial" w:cs="Arial" w:eastAsia="Arial" w:hAnsi="Arial"/>
                <w:sz w:val="18"/>
                <w:szCs w:val="18"/>
                <w:color w:val="auto"/>
              </w:rPr>
              <w:t>123,105</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133,286</w:t>
            </w:r>
          </w:p>
        </w:tc>
        <w:tc>
          <w:tcPr>
            <w:tcW w:w="2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129,604</w:t>
            </w:r>
          </w:p>
        </w:tc>
        <w:tc>
          <w:tcPr>
            <w:tcW w:w="1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Computer</w:t>
            </w:r>
          </w:p>
        </w:tc>
        <w:tc>
          <w:tcPr>
            <w:tcW w:w="720" w:type="dxa"/>
            <w:vAlign w:val="bottom"/>
          </w:tcPr>
          <w:p>
            <w:pPr>
              <w:jc w:val="right"/>
              <w:spacing w:after="0"/>
              <w:rPr>
                <w:sz w:val="20"/>
                <w:szCs w:val="20"/>
                <w:color w:val="auto"/>
              </w:rPr>
            </w:pPr>
            <w:r>
              <w:rPr>
                <w:rFonts w:ascii="Arial" w:cs="Arial" w:eastAsia="Arial" w:hAnsi="Arial"/>
                <w:sz w:val="18"/>
                <w:szCs w:val="18"/>
                <w:color w:val="auto"/>
              </w:rPr>
              <w:t>35,498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40,104</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$ 613,909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$ 591,265</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Revenue from one-time IP license</w:t>
            </w:r>
          </w:p>
        </w:tc>
        <w:tc>
          <w:tcPr>
            <w:tcW w:w="7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35,000</w:t>
            </w:r>
          </w:p>
        </w:tc>
        <w:tc>
          <w:tcPr>
            <w:tcW w:w="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gridSpan w:val="2"/>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$ 613,909</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$ 626,265</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2"/>
            <w:vMerge w:val="restart"/>
          </w:tcPr>
          <w:p>
            <w:pPr>
              <w:jc w:val="right"/>
              <w:ind w:right="902"/>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by geographic region, based upon customer location, for the three-month periods ended February 2, 2008 and February 3, 2007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Region</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156,706</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145,194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124,236</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118,413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81,295</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69,788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98,908</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94,642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Product Revenue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613,909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591,265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predominant countries comprising European operations are Germany, France and the United Kingdom. The predominant countries comprising Rest of Asia are Taiwan and Korea.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evaluates goodwill for impairment annually as well as whenever events or changes in circumstances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2007. No impairment of goodwill resulted in any of the fiscal periods presented. The Company’s next annual impairment assessment will be made in the fourth quarter of fiscal 2008 unless indicators arise that would require the Company to reevaluate goodwill at an earlier date. The following table presents the changes in goodwill during the first three months of fiscal 2008 and the fiscal year ended November 3,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500" w:type="dxa"/>
            <w:vAlign w:val="bottom"/>
            <w:gridSpan w:val="4"/>
          </w:tcPr>
          <w:p>
            <w:pPr>
              <w:ind w:left="280"/>
              <w:spacing w:after="0"/>
              <w:rPr>
                <w:sz w:val="20"/>
                <w:szCs w:val="20"/>
                <w:color w:val="auto"/>
              </w:rPr>
            </w:pPr>
            <w:r>
              <w:rPr>
                <w:rFonts w:ascii="Arial" w:cs="Arial" w:eastAsia="Arial" w:hAnsi="Arial"/>
                <w:sz w:val="14"/>
                <w:szCs w:val="14"/>
                <w:b w:val="1"/>
                <w:bCs w:val="1"/>
                <w:color w:val="auto"/>
                <w:w w:val="99"/>
              </w:rPr>
              <w:t>Fiscal Year Ended</w:t>
            </w:r>
          </w:p>
        </w:tc>
      </w:tr>
      <w:tr>
        <w:trPr>
          <w:trHeight w:val="171"/>
        </w:trPr>
        <w:tc>
          <w:tcPr>
            <w:tcW w:w="8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w w:val="94"/>
              </w:rPr>
              <w:t>February 2, 2008</w:t>
            </w: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November 3, 2007</w:t>
            </w:r>
          </w:p>
        </w:tc>
        <w:tc>
          <w:tcPr>
            <w:tcW w:w="100" w:type="dxa"/>
            <w:vAlign w:val="bottom"/>
          </w:tcPr>
          <w:p>
            <w:pPr>
              <w:spacing w:after="0"/>
              <w:rPr>
                <w:sz w:val="14"/>
                <w:szCs w:val="14"/>
                <w:color w:val="auto"/>
              </w:rPr>
            </w:pPr>
          </w:p>
        </w:tc>
      </w:tr>
      <w:tr>
        <w:trPr>
          <w:trHeight w:val="210"/>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279,469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256,209</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Acquisition of TTPCom assets(1)</w:t>
            </w:r>
          </w:p>
        </w:tc>
        <w:tc>
          <w:tcPr>
            <w:tcW w:w="120" w:type="dxa"/>
            <w:vAlign w:val="bottom"/>
          </w:tcPr>
          <w:p>
            <w:pPr>
              <w:spacing w:after="0"/>
              <w:rPr>
                <w:sz w:val="18"/>
                <w:szCs w:val="18"/>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4,273</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Integrant Technologies(2)</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13,282</w:t>
            </w: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Goodwill allocated to sale of businesses (3)</w:t>
            </w:r>
          </w:p>
        </w:tc>
        <w:tc>
          <w:tcPr>
            <w:tcW w:w="12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8"/>
                <w:szCs w:val="18"/>
                <w:color w:val="auto"/>
              </w:rPr>
              <w:t>(12,649)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(4,504)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5,705</w:t>
            </w:r>
          </w:p>
        </w:tc>
      </w:tr>
      <w:tr>
        <w:trPr>
          <w:trHeight w:val="223"/>
        </w:trPr>
        <w:tc>
          <w:tcPr>
            <w:tcW w:w="82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262,316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279,469</w:t>
            </w:r>
          </w:p>
        </w:tc>
        <w:tc>
          <w:tcPr>
            <w:tcW w:w="10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paid its final milestone related to this acquisition in the second quarter of fiscal 2007.</w:t>
      </w:r>
    </w:p>
    <w:p>
      <w:pPr>
        <w:spacing w:after="0" w:line="76" w:lineRule="exact"/>
        <w:rPr>
          <w:rFonts w:ascii="Arial" w:cs="Arial" w:eastAsia="Arial" w:hAnsi="Arial"/>
          <w:sz w:val="18"/>
          <w:szCs w:val="18"/>
          <w:color w:val="auto"/>
        </w:rPr>
      </w:pPr>
    </w:p>
    <w:p>
      <w:pPr>
        <w:ind w:left="460" w:right="42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completed the final purchase accounting for this transaction during the first quarter of fiscal 2007, which resulted in an additional $5.6 million of goodwill. The Company also purchased additional outstanding minority shares related to this acquisition during fiscal 2007, which resulted in an additional $7.7 million of goodwill.</w:t>
      </w:r>
    </w:p>
    <w:p>
      <w:pPr>
        <w:spacing w:after="0" w:line="32" w:lineRule="exact"/>
        <w:rPr>
          <w:rFonts w:ascii="Arial" w:cs="Arial" w:eastAsia="Arial" w:hAnsi="Arial"/>
          <w:sz w:val="18"/>
          <w:szCs w:val="18"/>
          <w:color w:val="auto"/>
        </w:rPr>
      </w:pPr>
    </w:p>
    <w:p>
      <w:pPr>
        <w:ind w:left="460" w:right="3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allocated $12.6 million of goodwill in connection with the sale of its Baseband Chipset Business to MediaTek Inc. and the sale of its CPU voltage regulation and PC thermal monitoring business to ON Semiconductor Corporation.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In connection with the sale of its Baseband Chipset Business to MediaTek Inc., the Company wrote off $7.9 million of intangible assets against the gain realized by the Company on the sale. These assets had been classified as current assets of discontinued operations in prior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w w:val="93"/>
              </w:rPr>
              <w:t>February 2, 2008</w:t>
            </w:r>
          </w:p>
        </w:tc>
        <w:tc>
          <w:tcPr>
            <w:tcW w:w="5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w w:val="92"/>
              </w:rPr>
              <w:t>November 3, 2007</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780"/>
              <w:spacing w:after="0" w:line="123" w:lineRule="exact"/>
              <w:rPr>
                <w:sz w:val="20"/>
                <w:szCs w:val="20"/>
                <w:color w:val="auto"/>
              </w:rPr>
            </w:pPr>
            <w:r>
              <w:rPr>
                <w:rFonts w:ascii="Arial" w:cs="Arial" w:eastAsia="Arial" w:hAnsi="Arial"/>
                <w:sz w:val="14"/>
                <w:szCs w:val="14"/>
                <w:color w:val="auto"/>
                <w:w w:val="85"/>
              </w:rPr>
              <w:t>Gross</w:t>
            </w: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60" w:type="dxa"/>
            <w:vAlign w:val="bottom"/>
            <w:gridSpan w:val="3"/>
          </w:tcPr>
          <w:p>
            <w:pPr>
              <w:jc w:val="center"/>
              <w:ind w:right="680"/>
              <w:spacing w:after="0" w:line="149" w:lineRule="exact"/>
              <w:rPr>
                <w:sz w:val="20"/>
                <w:szCs w:val="20"/>
                <w:color w:val="auto"/>
              </w:rPr>
            </w:pPr>
            <w:r>
              <w:rPr>
                <w:rFonts w:ascii="Arial" w:cs="Arial" w:eastAsia="Arial" w:hAnsi="Arial"/>
                <w:sz w:val="14"/>
                <w:szCs w:val="14"/>
                <w:color w:val="auto"/>
                <w:w w:val="98"/>
              </w:rPr>
              <w:t>Carrying</w:t>
            </w: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42,597</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24,491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43,626</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23,303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1,645</w:t>
            </w: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1,687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1,403</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5,739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6,588</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6,449</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6,582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6,364</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56,569</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35,283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57,693</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33,540</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Intangible assets acquired prior to the third quarter of fiscal 2006 continue to be amortized on a straight-line basis over their estimated useful lives, which range from five to ten years. The intangible assets acquired during fiscal 2006 are being amortized over their estimated useful lives of two to five years using an accelerated method of amortization that is expected to reflect the estimated pattern of economic use. The remaining amortization expense will be recognized over a weighted-average period of approximately 1.5 years. Amortization expense related to intangibles was $2.4 million and $3.6 million for the three-month periods ended February 2, 2008 and February 3, 2007,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2"/>
          </w:tcPr>
          <w:p>
            <w:pPr>
              <w:spacing w:after="0"/>
              <w:rPr>
                <w:sz w:val="20"/>
                <w:szCs w:val="20"/>
                <w:color w:val="auto"/>
              </w:rPr>
            </w:pPr>
            <w:r>
              <w:rPr>
                <w:rFonts w:ascii="Arial" w:cs="Arial" w:eastAsia="Arial" w:hAnsi="Arial"/>
                <w:sz w:val="14"/>
                <w:szCs w:val="14"/>
                <w:color w:val="auto"/>
              </w:rPr>
              <w:t>Fiscal</w:t>
            </w:r>
          </w:p>
        </w:tc>
        <w:tc>
          <w:tcPr>
            <w:tcW w:w="6460" w:type="dxa"/>
            <w:vAlign w:val="bottom"/>
          </w:tcPr>
          <w:p>
            <w:pPr>
              <w:spacing w:after="0"/>
              <w:rPr>
                <w:sz w:val="14"/>
                <w:szCs w:val="14"/>
                <w:color w:val="auto"/>
              </w:rPr>
            </w:pPr>
          </w:p>
        </w:tc>
        <w:tc>
          <w:tcPr>
            <w:tcW w:w="1440" w:type="dxa"/>
            <w:vAlign w:val="bottom"/>
            <w:gridSpan w:val="4"/>
          </w:tcPr>
          <w:p>
            <w:pPr>
              <w:ind w:left="580"/>
              <w:spacing w:after="0"/>
              <w:rPr>
                <w:sz w:val="20"/>
                <w:szCs w:val="20"/>
                <w:color w:val="auto"/>
              </w:rPr>
            </w:pPr>
            <w:r>
              <w:rPr>
                <w:rFonts w:ascii="Arial" w:cs="Arial" w:eastAsia="Arial" w:hAnsi="Arial"/>
                <w:sz w:val="14"/>
                <w:szCs w:val="14"/>
                <w:color w:val="auto"/>
              </w:rPr>
              <w:t>Amortization</w:t>
            </w:r>
          </w:p>
        </w:tc>
        <w:tc>
          <w:tcPr>
            <w:tcW w:w="0" w:type="dxa"/>
            <w:vAlign w:val="bottom"/>
          </w:tcPr>
          <w:p>
            <w:pPr>
              <w:spacing w:after="0"/>
              <w:rPr>
                <w:sz w:val="1"/>
                <w:szCs w:val="1"/>
                <w:color w:val="auto"/>
              </w:rPr>
            </w:pPr>
          </w:p>
        </w:tc>
      </w:tr>
      <w:tr>
        <w:trPr>
          <w:trHeight w:val="167"/>
        </w:trPr>
        <w:tc>
          <w:tcPr>
            <w:tcW w:w="3520" w:type="dxa"/>
            <w:vAlign w:val="bottom"/>
            <w:gridSpan w:val="2"/>
          </w:tcPr>
          <w:p>
            <w:pPr>
              <w:spacing w:after="0"/>
              <w:rPr>
                <w:sz w:val="20"/>
                <w:szCs w:val="20"/>
                <w:color w:val="auto"/>
              </w:rPr>
            </w:pPr>
            <w:r>
              <w:rPr>
                <w:rFonts w:ascii="Arial" w:cs="Arial" w:eastAsia="Arial" w:hAnsi="Arial"/>
                <w:sz w:val="14"/>
                <w:szCs w:val="14"/>
                <w:color w:val="auto"/>
              </w:rPr>
              <w:t>Year</w:t>
            </w:r>
          </w:p>
        </w:tc>
        <w:tc>
          <w:tcPr>
            <w:tcW w:w="6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color w:val="auto"/>
              </w:rPr>
              <w:t>Expense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6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64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2009</w:t>
            </w:r>
          </w:p>
        </w:tc>
        <w:tc>
          <w:tcPr>
            <w:tcW w:w="7140" w:type="dxa"/>
            <w:vAlign w:val="bottom"/>
            <w:gridSpan w:val="3"/>
          </w:tcPr>
          <w:p>
            <w:pPr>
              <w:ind w:left="70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7140" w:type="dxa"/>
            <w:vAlign w:val="bottom"/>
            <w:gridSpan w:val="3"/>
            <w:shd w:val="clear" w:color="auto" w:fill="CCEEFF"/>
          </w:tcPr>
          <w:p>
            <w:pPr>
              <w:ind w:left="70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2011</w:t>
            </w:r>
          </w:p>
        </w:tc>
        <w:tc>
          <w:tcPr>
            <w:tcW w:w="7140" w:type="dxa"/>
            <w:vAlign w:val="bottom"/>
            <w:gridSpan w:val="3"/>
          </w:tcPr>
          <w:p>
            <w:pPr>
              <w:ind w:left="70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7140" w:type="dxa"/>
            <w:vAlign w:val="bottom"/>
            <w:gridSpan w:val="3"/>
            <w:shd w:val="clear" w:color="auto" w:fill="CCEEFF"/>
          </w:tcPr>
          <w:p>
            <w:pPr>
              <w:ind w:left="70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460" w:type="dxa"/>
            <w:vAlign w:val="bottom"/>
          </w:tcPr>
          <w:p>
            <w:pPr>
              <w:jc w:val="right"/>
              <w:ind w:right="4090"/>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64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7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color w:val="auto"/>
                <w:w w:val="99"/>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7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February 2, 2008</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1"/>
              </w:rPr>
              <w:t>February 3, 2007</w:t>
            </w:r>
          </w:p>
        </w:tc>
        <w:tc>
          <w:tcPr>
            <w:tcW w:w="100" w:type="dxa"/>
            <w:vAlign w:val="bottom"/>
          </w:tcPr>
          <w:p>
            <w:pPr>
              <w:spacing w:after="0"/>
              <w:rPr>
                <w:sz w:val="12"/>
                <w:szCs w:val="12"/>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2,389</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2,542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2,241</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(3,056)</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initial net asset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Amortization of net loss</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r>
      <w:tr>
        <w:trPr>
          <w:trHeight w:val="216"/>
        </w:trPr>
        <w:tc>
          <w:tcPr>
            <w:tcW w:w="8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1,918</w:t>
            </w: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r>
      <w:tr>
        <w:trPr>
          <w:trHeight w:val="20"/>
        </w:trPr>
        <w:tc>
          <w:tcPr>
            <w:tcW w:w="8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Pension contributions of $2.2 million were made by the Company during the three months ended February 2, 2008. The Company presently anticipates contributing an additional $6.5 million to fund its defined benefit pension plans in fiscal year 2008 for a total of $8.7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either of the three-month periods ended February 2, 2008 and February 3, 2007.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the Company’s 2004 Form 10-K filing,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all times since receiving notice of this inquiry, the Company has cooperated with the SEC. In November 2005, the Company and its President and CEO, Mr. Jerald G. Fishman, made an offer of settlement to the Staff of the SEC. The settlement has been submitted to the Commission for approval. There can be no assurance a final settlement will be approved.</w:t>
      </w:r>
    </w:p>
    <w:p>
      <w:pPr>
        <w:spacing w:after="0" w:line="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The SEC’s inquiry focused on two separate issues. The first issue concerned the Company’s disclosure regarding grants of options to employees and directors prior to the release of favorable financial results. Specifically, the issue related to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of the Company on November 30, 1999 and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of the Company on November 10, 2000. The Staff of the SEC has indicated that, in the proposed settlement, the Commission would not charge the Company or Mr. Fishman with any violation of law with respect to this issue.</w:t>
      </w:r>
    </w:p>
    <w:p>
      <w:pPr>
        <w:spacing w:after="0" w:line="4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 xml:space="preserve">The second issue concerned the grant dates for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in 1998 and 1999, and the grant date for options granted to employees (including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connection with the proposed settlement, the Company would consent to a cease-and-desist order under Section 10(b) of the Securities Exchange Act and Rule 10b-5 thereunder, would pay a civil money penalty of $3 million, and would reprice options granted to Mr. Fishman in certain years. Options granted to all others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determined that no restatement of its historical financial results would be necessary due to the proposed settlement.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have been the subject of investigation by the SEC. The Company has cooperated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May 25, 2006, the Company filed a lawsuit in United States District Court for the District of Delaware against Linear Technology Corp., or LTC, alleging infringement of three Company patents by LTC’s making, selling and using various products. In the Company’s complaint, it sought damages in an unspecified amount and injunctive relief. On July 28, 2006, LTC filed an answer and counterclaims, denying that its products infringe the asserted Company patents and asking the court to declare such patents invalid. LTC also claimed that the Company, by making, selling and using various products, infringed seven LTC patents. LTC sought damages in an unspecified amount and injunctive relief. On January 30, 2008, the Company and LTC reached a settlement with respect to this litigation. Pursuant to such settlement agreement, both parties’ claims were dismissed with prejudice, and each party is entitled to sell those products accused of infringement by the other party in this litigation. Neither party is required to pay any amounts to the other party in connection with this settlement.</w:t>
      </w:r>
    </w:p>
    <w:p>
      <w:pPr>
        <w:spacing w:after="0" w:line="8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October 13, 2006, a purported class action complaint was filed in the United States District Court for the District of Massachusetts on behalf of participants in the Company’s Investment Partnership Plan from October 5, 2000 to the present. The complaint named as defendants the Company, certain officers and directors, and the Company’s Investment Partnership Plan Administration Committee. The complaint alleges purported violations of federal law in connection with the Company’s option granting practices during the years 1998, 1999, 2000, and 2001, including breaches of fiduciary duties owed to participants and beneficiaries of the Company’s Investment Partnership Plan under the Employee Retirement Income Security Act. The complaint seeks unspecified monetary damages, as well as equitable and injunctive relief. The Company intends to vigorously defend against these allegations. On November 22, 2006, the Company and the individual defendants filed motions to dismiss the complaint. On January 8, 2007, the Plaintiff filed memoranda in opposition. On January 22, 2007, the Company and the individual defendants filed further memoranda in support of the motions to dismiss. The court heard the Company’s motion to dismiss on January 30, 2008, but has not yet issued a ruling. Although the Company believes it has meritorious defenses to the asserted claims, it is unable at this time to predict the outcome of this proceeding.</w:t>
      </w:r>
    </w:p>
    <w:p>
      <w:pPr>
        <w:spacing w:after="0" w:line="7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From time to time in the ordinary course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Company’s common stock repurchase program has been in place since August 2004. In the aggregate, the Board of Directors has authorized the company to repurchase $4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The Company repurchased approximately 12.1 million shares for approximately $359.4 million during the first quarter of fiscal 2008. This includes $24.9 million of repurchases made near the end of the quarter where the transaction settled subsequent to February 2, 2008. Therefore, the statement of cash flows includes a $24.9 million liability in the financing section for the portion of stock repurchases transacted during the quarter, but paid for subsequent to the end of the quarter. As of February 2, 2008, the Company had repurchased a total of approximately 107.2 million shares of its common stock for approximately</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$3.7 billion under this program and an additional $305.9 million remains under the current authorized program. The repurchased shares are held as authorized but unissued shares of common stock.</w:t>
      </w:r>
    </w:p>
    <w:p>
      <w:pPr>
        <w:spacing w:after="0" w:line="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also from time to time repurchases shares in settlement of employee tax withholding obligations due upon the vesting of restricted stock or restricted stock units, or the exercise of stock options.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New Accounting Standards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September 2006, the FASB issued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w:t>
      </w:r>
      <w:r>
        <w:rPr>
          <w:rFonts w:ascii="Arial" w:cs="Arial" w:eastAsia="Arial" w:hAnsi="Arial"/>
          <w:sz w:val="18"/>
          <w:szCs w:val="18"/>
          <w:i w:val="1"/>
          <w:iCs w:val="1"/>
          <w:color w:val="auto"/>
        </w:rPr>
        <w:t>.</w:t>
      </w:r>
      <w:r>
        <w:rPr>
          <w:rFonts w:ascii="Arial" w:cs="Arial" w:eastAsia="Arial" w:hAnsi="Arial"/>
          <w:sz w:val="18"/>
          <w:szCs w:val="18"/>
          <w:color w:val="auto"/>
        </w:rPr>
        <w:t xml:space="preserve">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SFAS 157 is effective for fiscal years beginning after November 15, 2007, which is the Company’s fiscal year 2009 that begins on November 2, 2008. The Company is currently evaluating the impact, if any, that SFAS 157 will have on the Company’s financial condition and results of operations.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 xml:space="preserve">In February 2007, the FASB, issued SFAS 159, </w:t>
      </w:r>
      <w:r>
        <w:rPr>
          <w:rFonts w:ascii="Arial" w:cs="Arial" w:eastAsia="Arial" w:hAnsi="Arial"/>
          <w:sz w:val="16"/>
          <w:szCs w:val="16"/>
          <w:i w:val="1"/>
          <w:iCs w:val="1"/>
          <w:color w:val="auto"/>
        </w:rPr>
        <w:t>The Fair Value Option for Financial Assets and Financial Liabilities — Including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115 </w:t>
      </w:r>
      <w:r>
        <w:rPr>
          <w:rFonts w:ascii="Arial" w:cs="Arial" w:eastAsia="Arial" w:hAnsi="Arial"/>
          <w:sz w:val="16"/>
          <w:szCs w:val="16"/>
          <w:color w:val="auto"/>
        </w:rPr>
        <w:t>(SFAS 159). SFAS 159 permits entities to choose to measure many financial instruments and certain other items at fair value. The</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as of the beginning of an entity’s first fiscal year that begins after November 15, 2007, which is the Company’s fiscal year 2009 that begins on November 2, 2008. The Company is currently evaluating the impact, if any, that SFAS 159 may have on the Company’s financial condition and results of operations.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The adoption of FIN 48 in the first quarter of fiscal 2008 did not have an impact on the Company’s financial condition or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Discontinued Operations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On November 8, 2007, the Company entered into a purchase and sale agreement with certain subsidiaries of ON Semiconductor Corporation to sell the Company’s CPU voltage regulation and PC thermal monitoring business which consists of core voltage regulator products for the central processing unit in computing and gaming applications and temperature sensors and fan-speed controllers for managing the temperature of the central processing unit. On December 31, 2007, the Company completed the sale of this business for net cash proceeds of $138 million, which are net of other cash payments of approximately $1.4 million. The Company expects to make additional cash payments of approximately $2.2 million in the second quarter of fiscal 2008. The Company recorded a pre-tax gain of $78 million, or $43 million net of tax, which is recorded as a gain on sale of discontinued operations. Additionally, the Company entered into a one-year manufacturing supply agreement with a subsidiary of ON Semiconductor Corporation for an additional $37 million. The Company has allocated the proceeds from this arrangement based on the fair value of the two elements of this transaction: 1) the sale of a business and 2) the obligation to manufacture product for a one-year period. As a result, $85 million was recorded as a liability related to the manufacturing supply agreement, of which approximately $78 million was outstanding as of February 2, 2008. The liability is included in current liabilities of discontinued operations on the Company’s condensed consolidated balance sheet. The Company will record the revenue associated with this manufacturing supply agreement in discontinued operations over the next 11 months. The Company may receive additional proceeds of up to $7.5 million upon the resolution of certain contingent items, which would be recorded as additional gain from the sale of discontinued operations.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 September 2007, the Company entered into a definitive agreement to sell its Baseband Chipset Business to MediaTek Inc. The decision to sell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Baseband Chipset Business was due to the Company’s decision to focus its resources in areas where its signal processing expertise can provide unique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capabilities and earn superior returns. On January 11, 2008, the Company completed the sale of its Baseband Chipset Business for net cash proceeds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$269 million. The cash proceeds received are net of a refundable withholding tax of $62 million and other cash payments of approximately $9 million.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expects to make additional cash payments of approximately $10.5 million over the next six months. The Company recorded a pre-tax gain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$278 million, or $204 million net of tax, which is recorded as a gain on sale of discontinued operations. The Company may receive additional proceeds of up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$10 million upon the resolution of certain contingent items, which would be recorded as additional gain from the sale of discontinued operations.</w:t>
      </w:r>
    </w:p>
    <w:p>
      <w:pPr>
        <w:spacing w:after="0" w:line="11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will receive additional amounts under various transition service agreements entered into in connection with these dispositions over the next four quarters. The transition service agreements include manufacturing, engineering support and certain human resource services and information technology systems support. The Company has evaluated the nature of the transition services and has concluded the services will be primarily completed within the one-year assessment period and the Company does not have the ability to exert significant influence over the disposed businesses’ operating and financial policies. Accordingly, the Company has concluded that it does not have a significant continuing involvement with the disposed businesses and has presented the disposition of these businesses as discontinued operations pursuant to SFAS 144.</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following amounts related to the CPU voltage regulation and PC thermal monitoring and Baseband Chipset businesses have been segregated from continuing operations and reported as discontinued operations and also include the revenue and costs of services provided under the manufacturing supply agreement.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8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47,363</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Cost of sales</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32,983</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12,324</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Selling, marketing, general and administrative</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1,743</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Gain on sale of discontinued operations</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356,016</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356,329</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(6,162)</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107,458</w:t>
            </w:r>
          </w:p>
        </w:tc>
        <w:tc>
          <w:tcPr>
            <w:tcW w:w="68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880" w:type="dxa"/>
            <w:vAlign w:val="bottom"/>
            <w:gridSpan w:val="3"/>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440" w:type="dxa"/>
            <w:vAlign w:val="bottom"/>
            <w:tcBorders>
              <w:right w:val="single" w:sz="8" w:color="CCEEFF"/>
            </w:tcBorders>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248,871</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February 2, 2008</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5"/>
              </w:rPr>
              <w:t>November 3, 2007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Inventory</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15,012</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Intangibles, net</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assets reclassified to current assets of discontinued operations</w:t>
            </w:r>
          </w:p>
        </w:tc>
        <w:tc>
          <w:tcPr>
            <w:tcW w:w="1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22,862</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87,457</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Refundable foreign withholding tax</w:t>
            </w:r>
          </w:p>
        </w:tc>
        <w:tc>
          <w:tcPr>
            <w:tcW w:w="1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9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62,037</w:t>
            </w:r>
          </w:p>
        </w:tc>
        <w:tc>
          <w:tcPr>
            <w:tcW w:w="68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assets reclassified to non-current assets of discontinued operations</w:t>
            </w:r>
          </w:p>
        </w:tc>
        <w:tc>
          <w:tcPr>
            <w:tcW w:w="1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62,037</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Accounts payable</w:t>
            </w:r>
          </w:p>
        </w:tc>
        <w:tc>
          <w:tcPr>
            <w:tcW w:w="15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8,021</w:t>
            </w:r>
          </w:p>
        </w:tc>
        <w:tc>
          <w:tcPr>
            <w:tcW w:w="68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108,252</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associated with a manufacturing supply agreement</w:t>
            </w:r>
          </w:p>
        </w:tc>
        <w:tc>
          <w:tcPr>
            <w:tcW w:w="1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78,043</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Accrued liabilities</w:t>
            </w: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12,680</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reclassified to current liabilities of discontinued operations</w:t>
            </w:r>
          </w:p>
        </w:tc>
        <w:tc>
          <w:tcPr>
            <w:tcW w:w="1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206,996</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provided for potential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than that which is reflected in the historical income tax provisions and accruals. Such differences could have a material impact on the Company’s income tax provision and operating results in the period in which such determination is made.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November 4, 2007 (the first day of its 2008 fiscal year), the Company adopted FASB Interpretation No. 48, </w:t>
      </w:r>
      <w:r>
        <w:rPr>
          <w:rFonts w:ascii="Arial" w:cs="Arial" w:eastAsia="Arial" w:hAnsi="Arial"/>
          <w:sz w:val="16"/>
          <w:szCs w:val="16"/>
          <w:i w:val="1"/>
          <w:iCs w:val="1"/>
          <w:color w:val="auto"/>
        </w:rPr>
        <w:t>Accounting for Uncertainty in Income Taxes</w:t>
      </w:r>
    </w:p>
    <w:p>
      <w:pPr>
        <w:spacing w:after="0" w:line="4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i w:val="1"/>
          <w:iCs w:val="1"/>
          <w:color w:val="auto"/>
        </w:rPr>
        <w:t xml:space="preserve">— an interpretation of FASB Statement No. 109 </w:t>
      </w:r>
      <w:r>
        <w:rPr>
          <w:rFonts w:ascii="Arial" w:cs="Arial" w:eastAsia="Arial" w:hAnsi="Arial"/>
          <w:sz w:val="16"/>
          <w:szCs w:val="16"/>
          <w:color w:val="auto"/>
        </w:rPr>
        <w:t>(FIN 48). FIN 48 differs from the prior standards in that it requires companies to determine whether it is</w:t>
      </w:r>
      <w:r>
        <w:rPr>
          <w:rFonts w:ascii="Arial" w:cs="Arial" w:eastAsia="Arial" w:hAnsi="Arial"/>
          <w:sz w:val="16"/>
          <w:szCs w:val="16"/>
          <w:i w:val="1"/>
          <w:iCs w:val="1"/>
          <w:color w:val="auto"/>
        </w:rPr>
        <w:t xml:space="preserve"> </w:t>
      </w:r>
      <w:r>
        <w:rPr>
          <w:rFonts w:ascii="Arial" w:cs="Arial" w:eastAsia="Arial" w:hAnsi="Arial"/>
          <w:sz w:val="16"/>
          <w:szCs w:val="16"/>
          <w:color w:val="auto"/>
        </w:rPr>
        <w:t>“more likely than not” that a tax position will be sustained by the appropriate taxing authorities before any benefit can be recorded in the financial statements. An uncertain income tax position will not be recognized if it has less than a 50% likelihood of being sustained. There were no changes to the Company’s liabilities for uncertain tax positions as a result of the adoption of FIN 48. As of February 2, 2008, the Company had $10.5 million of liabilities related to tax contingencies. In accordance with FIN 48, these liabilities are classified as non-current, and included in other non-current liabilities, because the Company believes that the ultimate payment or settlement of these liabilities will not occur within the next twelve months. Prior to the adoption of FIN 48, these amounts were included in current income tax payable. The $10.5 million liability for uncertain tax positions as of February 2, 2008 included $5.3</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million for interest and penalties. If these tax positions were settled in the Company’s favor these liabilities would be reversed and lower the Company’s effective tax rate in the period recorded. The Company includes interest and penalties related to unrecognized tax benefits within the provision for taxes in the condensed consolidated statements of income, and as a result, no change in classification was made upon adopting FIN 48. The condensed consolidated statement of income for the period ended February 2, 2008 includes $0.2 million of interest and penalties related to these uncertain tax positions. Due to the complexity associated with its tax uncertainties, the Company cannot make a reasonably reliable estimate as to the period in which it expects to settle the liabilities associated with these uncertain tax positions.</w:t>
      </w:r>
    </w:p>
    <w:p>
      <w:pPr>
        <w:spacing w:after="0" w:line="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fourth quarter of fiscal 2007, the IRS completed its field examination of fiscal years 2004 and 2005. On January 2, 2008, the IRS issued its report for fiscal 2004 and 2005, which included proposed adjustments related to these two fiscal years. The Company has provided for taxes and penalties related to certain of these proposed adjustments. There are four items with a potential total tax liability of $46 million that the Company concluded, based on discussions with its tax advisors, are not likely to result in additional tax liability. Therefore, the Company has not recorded any tax liability for these items and is appealing these proposed adjustments through the normal processes for the resolution of differences between the IRS and taxpayers. Two of the unresolved matters are one-time issues and pertain to Section 965 of the Internal Revenue Code related to the beneficial tax treatment of dividends from foreign owned companies under The American Jobs Creation Act. The other matters pertain to the computation of research and development tax credits and the profits earned from manufacturing activities carried on outside the United States. These latter two matters could impact taxes payable for fiscal 2004 and 2005 as well as for subsequent years.</w:t>
      </w:r>
    </w:p>
    <w:p>
      <w:pPr>
        <w:spacing w:after="0" w:line="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During fiscal 2006, the IRS invited the Company to participate in the Compliance Assurance Process (CAP), which is a voluntary pilot program the IRS is conducting for a limited number of large business taxpayers. The objective of CAP is to reduce taxpayer burden associated with IRS audits while assuring the IRS of the accuracy of tax returns prior to filing. The Company has agreed to participate in CAP. Under the program, the IRS is expected to contemporaneously work with the Company to achieve federal tax compliance and resolve issues prior to the filing of a tax return. CAP is designed to eliminate or substantially reduce the need for post-filing examinations of future tax returns. For fiscal 2006, the IRS has completed the CAP but has not issued its final report. The IRS and the Company have agreed on the treatment of a number of issues that have been included in an Issue Resolutions Agreement related to the 2006 tax return. However, no agreement was reached on the tax treatment of a number of issues, including the same R&amp;D credit and foreign manufacturing issues mentioned above related to fiscal 2004 and 2005. The IRS has also indicated it plans to audit the pricing of intercompany sales (transfer pricing), and this audit is in its initial phase. The Company has not provided for any additional taxes in respect of the examination of the fiscal 2006 return. The CAP is still underway for fiscal 2007. The Company has not prepared its tax return for fiscal 2007, and the IRS has not issued a report for fiscal 2007.</w:t>
      </w:r>
    </w:p>
    <w:p>
      <w:pPr>
        <w:spacing w:after="0" w:line="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Although the Company believes its estimates of income tax payable are reasonable, no assurance can be given that the Company will prevail in the matters raised related to fiscal years 2004, 2005, 2006 and 2007 and that the outcome of one or all of these matters will not be different than that which is reflected in the historical income tax provisions and accruals. The Company believes such differences would not have a material impact on the Company’s financial condition but could have a material impact on the Company’s income tax provision, operating results and operating cash flows in the period in which such matters are resolved.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February 19, 2008, the Company’s Board of Directors declared a cash dividend of $0.18 per outstanding share of common stock. The dividend will be paid on March 26, 2008 to all shareholders of record at the close of business on March 7, 2008.</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3, 2007.</w:t>
      </w:r>
    </w:p>
    <w:p>
      <w:pPr>
        <w:spacing w:after="0" w:line="5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6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sold our baseband chipset business and related support operations, or Baseband Chipset Business, to MediaTek Inc. and sold our CPU voltage regulation and PC thermal monitoring business to certain subsidiaries of ON Semiconductor Corporation during the first quarter of fiscal 2008. We have reflected the financial results of these businesses as discontinued operations in the consolidated statements of income for all periods presented. The assets and liabilities of these businesses are reflected as assets and liabilities of discontinued operations in the consolidated balance sheets as of February 2, 2008 and November 3, 2007. The historical results of operations of these businesses have been segregated from our consolidated financial statements and are included in income (loss) from discontinued operations, net of tax in the consolidated statements of income. Unless otherwise noted, this Management’s Discussion and Analysis relates only to financial results from continuing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2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613,909</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626,265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61.2%</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121,848</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total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0.40</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Diluted EPS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1.22</w:t>
            </w:r>
          </w:p>
        </w:tc>
        <w:tc>
          <w:tcPr>
            <w:tcW w:w="6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Fiscal 2008 is a 52-week year and fiscal 2007 was a 53-week year. The additional week in fiscal 2007 was included in the first quarter ended February 3, 2007. Therefore, the first three months of fiscal 2007 included an additional week of operations as compared to the first three months of fiscal 2008.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February 2, 2008</w:t>
            </w: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92"/>
              </w:rPr>
              <w:t>February 3, 2007</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Revenue</w:t>
            </w:r>
          </w:p>
        </w:tc>
        <w:tc>
          <w:tcPr>
            <w:tcW w:w="260" w:type="dxa"/>
            <w:vAlign w:val="bottom"/>
            <w:tcBorders>
              <w:top w:val="single" w:sz="8" w:color="auto"/>
            </w:tcBorders>
            <w:vMerge w:val="restart"/>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 of Total Product</w:t>
            </w:r>
          </w:p>
        </w:tc>
        <w:tc>
          <w:tcPr>
            <w:tcW w:w="64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Y/Y%</w:t>
            </w:r>
          </w:p>
        </w:tc>
        <w:tc>
          <w:tcPr>
            <w:tcW w:w="700" w:type="dxa"/>
            <w:vAlign w:val="bottom"/>
            <w:tcBorders>
              <w:top w:val="single" w:sz="8" w:color="auto"/>
            </w:tcBorders>
            <w:vMerge w:val="restart"/>
          </w:tcPr>
          <w:p>
            <w:pPr>
              <w:spacing w:after="0"/>
              <w:rPr>
                <w:sz w:val="10"/>
                <w:szCs w:val="10"/>
                <w:color w:val="auto"/>
              </w:rPr>
            </w:pPr>
          </w:p>
        </w:tc>
        <w:tc>
          <w:tcPr>
            <w:tcW w:w="70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b w:val="1"/>
                <w:bCs w:val="1"/>
                <w:color w:val="auto"/>
                <w:w w:val="99"/>
              </w:rPr>
              <w:t>Revenue</w:t>
            </w:r>
          </w:p>
        </w:tc>
        <w:tc>
          <w:tcPr>
            <w:tcW w:w="5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Total Product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66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Revenue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$ 300,085</w:t>
            </w:r>
          </w:p>
        </w:tc>
        <w:tc>
          <w:tcPr>
            <w:tcW w:w="2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$ 298,452</w:t>
            </w:r>
          </w:p>
        </w:tc>
        <w:tc>
          <w:tcPr>
            <w:tcW w:w="1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Communications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145,040</w:t>
            </w:r>
          </w:p>
        </w:tc>
        <w:tc>
          <w:tcPr>
            <w:tcW w:w="2140" w:type="dxa"/>
            <w:vAlign w:val="bottom"/>
            <w:gridSpan w:val="3"/>
          </w:tcPr>
          <w:p>
            <w:pPr>
              <w:jc w:val="right"/>
              <w:ind w:right="500"/>
              <w:spacing w:after="0"/>
              <w:rPr>
                <w:sz w:val="20"/>
                <w:szCs w:val="20"/>
                <w:color w:val="auto"/>
              </w:rPr>
            </w:pPr>
            <w:r>
              <w:rPr>
                <w:rFonts w:ascii="Arial" w:cs="Arial" w:eastAsia="Arial" w:hAnsi="Arial"/>
                <w:sz w:val="18"/>
                <w:szCs w:val="18"/>
                <w:color w:val="auto"/>
              </w:rPr>
              <w:t>23%</w:t>
            </w: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700" w:type="dxa"/>
            <w:vAlign w:val="bottom"/>
          </w:tcPr>
          <w:p>
            <w:pPr>
              <w:jc w:val="right"/>
              <w:spacing w:after="0"/>
              <w:rPr>
                <w:sz w:val="20"/>
                <w:szCs w:val="20"/>
                <w:color w:val="auto"/>
              </w:rPr>
            </w:pPr>
            <w:r>
              <w:rPr>
                <w:rFonts w:ascii="Arial" w:cs="Arial" w:eastAsia="Arial" w:hAnsi="Arial"/>
                <w:sz w:val="18"/>
                <w:szCs w:val="18"/>
                <w:color w:val="auto"/>
              </w:rPr>
              <w:t>123,105</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133,286</w:t>
            </w:r>
          </w:p>
        </w:tc>
        <w:tc>
          <w:tcPr>
            <w:tcW w:w="21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129,604</w:t>
            </w:r>
          </w:p>
        </w:tc>
        <w:tc>
          <w:tcPr>
            <w:tcW w:w="1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Computer</w:t>
            </w:r>
          </w:p>
        </w:tc>
        <w:tc>
          <w:tcPr>
            <w:tcW w:w="720" w:type="dxa"/>
            <w:vAlign w:val="bottom"/>
          </w:tcPr>
          <w:p>
            <w:pPr>
              <w:jc w:val="right"/>
              <w:spacing w:after="0"/>
              <w:rPr>
                <w:sz w:val="20"/>
                <w:szCs w:val="20"/>
                <w:color w:val="auto"/>
              </w:rPr>
            </w:pPr>
            <w:r>
              <w:rPr>
                <w:rFonts w:ascii="Arial" w:cs="Arial" w:eastAsia="Arial" w:hAnsi="Arial"/>
                <w:sz w:val="18"/>
                <w:szCs w:val="18"/>
                <w:color w:val="auto"/>
              </w:rPr>
              <w:t>35,498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5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(11%)</w:t>
            </w:r>
          </w:p>
        </w:tc>
        <w:tc>
          <w:tcPr>
            <w:tcW w:w="700" w:type="dxa"/>
            <w:vAlign w:val="bottom"/>
          </w:tcPr>
          <w:p>
            <w:pPr>
              <w:jc w:val="right"/>
              <w:spacing w:after="0"/>
              <w:rPr>
                <w:sz w:val="20"/>
                <w:szCs w:val="20"/>
                <w:color w:val="auto"/>
              </w:rPr>
            </w:pPr>
            <w:r>
              <w:rPr>
                <w:rFonts w:ascii="Arial" w:cs="Arial" w:eastAsia="Arial" w:hAnsi="Arial"/>
                <w:sz w:val="18"/>
                <w:szCs w:val="18"/>
                <w:color w:val="auto"/>
              </w:rPr>
              <w:t>40,104</w:t>
            </w:r>
          </w:p>
        </w:tc>
        <w:tc>
          <w:tcPr>
            <w:tcW w:w="194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$ 613,909</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$ 591,265</w:t>
            </w:r>
          </w:p>
        </w:tc>
        <w:tc>
          <w:tcPr>
            <w:tcW w:w="1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Revenue from one-time IP license</w:t>
            </w:r>
          </w:p>
        </w:tc>
        <w:tc>
          <w:tcPr>
            <w:tcW w:w="72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color w:val="auto"/>
              </w:rPr>
              <w:t>35,000</w:t>
            </w:r>
          </w:p>
        </w:tc>
        <w:tc>
          <w:tcPr>
            <w:tcW w:w="5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20" w:type="dxa"/>
            <w:vAlign w:val="bottom"/>
            <w:gridSpan w:val="2"/>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26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7"/>
              </w:rPr>
              <w:t>$ 613,909</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$ 626,265</w:t>
            </w: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i w:val="1"/>
          <w:iCs w:val="1"/>
          <w:color w:val="auto"/>
        </w:rPr>
        <w:t xml:space="preserve">Industrial — </w:t>
      </w:r>
      <w:r>
        <w:rPr>
          <w:rFonts w:ascii="Arial" w:cs="Arial" w:eastAsia="Arial" w:hAnsi="Arial"/>
          <w:sz w:val="17"/>
          <w:szCs w:val="17"/>
          <w:color w:val="auto"/>
        </w:rPr>
        <w:t>The year-to-year increase in the first quarter of fiscal 2008 as compared to the first quarter of fiscal 2007 was primarily the result of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 products sold into the automotive sector of the industrial end market and to a lesser extent the instrumentation sector of this end market. These increases were partially offset by a decline in revenue from the automatic test equipment portion of this end market.</w:t>
      </w:r>
    </w:p>
    <w:p>
      <w:pPr>
        <w:spacing w:after="0" w:line="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Communications — </w:t>
      </w:r>
      <w:r>
        <w:rPr>
          <w:rFonts w:ascii="Arial" w:cs="Arial" w:eastAsia="Arial" w:hAnsi="Arial"/>
          <w:sz w:val="18"/>
          <w:szCs w:val="18"/>
          <w:color w:val="auto"/>
        </w:rPr>
        <w:t>The year-to-year increase in the first quarter of fiscal 2008 as compared to the first quarter of fiscal 2007 was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growth in products used in wireless infrastructure applications and analog products used in mobile devices.</w:t>
      </w:r>
    </w:p>
    <w:p>
      <w:pPr>
        <w:spacing w:after="0" w:line="6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increase in the first quarter of fiscal 2008 as compared to the first quarter of fiscal 2007 was primarily the result of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our products used in digital cameras and advanced television systems. These increases were partially offset by a decrease in sales of our products used in digital home applications.</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Computer — </w:t>
      </w:r>
      <w:r>
        <w:rPr>
          <w:rFonts w:ascii="Arial" w:cs="Arial" w:eastAsia="Arial" w:hAnsi="Arial"/>
          <w:sz w:val="18"/>
          <w:szCs w:val="18"/>
          <w:color w:val="auto"/>
        </w:rPr>
        <w:t>The year-to-year decrease in the first quarter of fiscal 2008 as compared to the first quarter of fiscal 2007 was primarily the result of broad based</w:t>
      </w:r>
      <w:r>
        <w:rPr>
          <w:rFonts w:ascii="Arial" w:cs="Arial" w:eastAsia="Arial" w:hAnsi="Arial"/>
          <w:sz w:val="18"/>
          <w:szCs w:val="18"/>
          <w:i w:val="1"/>
          <w:iCs w:val="1"/>
          <w:color w:val="auto"/>
        </w:rPr>
        <w:t xml:space="preserve"> </w:t>
      </w:r>
      <w:r>
        <w:rPr>
          <w:rFonts w:ascii="Arial" w:cs="Arial" w:eastAsia="Arial" w:hAnsi="Arial"/>
          <w:sz w:val="18"/>
          <w:szCs w:val="18"/>
          <w:color w:val="auto"/>
        </w:rPr>
        <w:t>declines in sales of our products into this end market.</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Revenue from One-Time IP License — </w:t>
      </w:r>
      <w:r>
        <w:rPr>
          <w:rFonts w:ascii="Arial" w:cs="Arial" w:eastAsia="Arial" w:hAnsi="Arial"/>
          <w:sz w:val="18"/>
          <w:szCs w:val="18"/>
          <w:color w:val="auto"/>
        </w:rPr>
        <w:t>During the first quarter of fiscal 2007, we recorded revenue of $35 million received in exchange for licensing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to a third party.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Product revenue by geographic region, based upon customer location, for the three-month periods ended February 2, 2008 and February 3, 2007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vMerge w:val="restart"/>
          </w:tcPr>
          <w:p>
            <w:pPr>
              <w:spacing w:after="0"/>
              <w:rPr>
                <w:sz w:val="20"/>
                <w:szCs w:val="20"/>
                <w:color w:val="auto"/>
              </w:rPr>
            </w:pPr>
            <w:r>
              <w:rPr>
                <w:rFonts w:ascii="Arial" w:cs="Arial" w:eastAsia="Arial" w:hAnsi="Arial"/>
                <w:sz w:val="14"/>
                <w:szCs w:val="14"/>
                <w:b w:val="1"/>
                <w:bCs w:val="1"/>
                <w:color w:val="auto"/>
              </w:rPr>
              <w:t>Region</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98"/>
              </w:rPr>
              <w:t>Three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United States Region</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163,228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156,706</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145,194</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124,236</w:t>
            </w: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118,413</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China</w:t>
            </w:r>
          </w:p>
        </w:tc>
        <w:tc>
          <w:tcPr>
            <w:tcW w:w="26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81,295</w:t>
            </w:r>
          </w:p>
        </w:tc>
        <w:tc>
          <w:tcPr>
            <w:tcW w:w="4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69,788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98,908</w:t>
            </w:r>
          </w:p>
        </w:tc>
        <w:tc>
          <w:tcPr>
            <w:tcW w:w="4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94,642</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product revenue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613,909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591,265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predominant countries comprising European operations are Germany, France and the United Kingdom. The predominant countries comprising Rest of Asia are Taiwan and Korea.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$375,803</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$399,664</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Gross margin %</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61.2%</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margin percentage decreased 260 basis points in the first quarter of fiscal 2008 as compared to the first quarter of fiscal 2007. Gross margin percentage in the first quarter of fiscal 2007 was higher as a result of the recording of $35 million we received in exchange for the licensing of certain intellectual property rights to a third party with no associated cost of sales.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using the Black-Scholes option pricing model. As of February 2, 2008, the total compensation cost related to unvested awards not yet recognized in the statement of income was approximately $160.1 million (before tax consideration), which will be recognized over a weighted average period of 1.9 years. See Note 2 in the Notes to our Consolidated Financial Statements contained in Item 1 of this Quarterly Report on Form 10-Q for further information regarding our adoption of SFAS 123R.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$129,539</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$123,077</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R&amp;D expenses as a % of product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21.1%</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Research and development, or R&amp;D, expenses increased $6.5 million, or 5%, in the first quarter of fiscal 2008 as compared to the first quarter of fiscal 2007. This increase was primarily the result of higher employee salary, benefit and bonus expense due primarily to salary increases and to a lesser extent an increase in headcount. These increases were partially offset by one less week of operations in the first quarter of fiscal 2008 as compared to the first quarter of fiscal 2007, a decrease in employee stock option expense and the savings associated with our restructuring actions.</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R&amp;D expenses as a percentage of product revenue will fluctuate from quarter to quarter depending on the amount of product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$100,351</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$101,980</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SMG&amp;A expenses as a % of product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16.3%</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Selling, marketing, general and administrative, or SMG&amp;A, expenses decreased $1.6 million, or 2%, in the first quarter of fiscal 2008 as compared to the first quarter of fiscal 2007. This decrease was primarily the result of one less week of operations in the first quarter of fiscal 2008 as compared to the first quarter of fiscal 2007, lower employee stock option expense and the savings associated with our restructuring actions. These decreases were partially offset by higher employee salary, benefit and bonus expense in the first quarter of fiscal 2008 as compared to the first quarter of fiscal 2007 due primarily to salary increases.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Closure of Wafer Fabrication Facility in Sunnyvale</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During the fourth quarter of fiscal 2005, we recorded a special charge of $20.3 million as a result of a decision to close our California wafer fabrication operations and transfer virtually all of the production of products manufactured there to our facility in Wilmington, Massachusetts. The charge was for severance and fringe benefit costs that were recorded pursuant to SFAS 88, </w:t>
      </w:r>
      <w:r>
        <w:rPr>
          <w:rFonts w:ascii="Arial" w:cs="Arial" w:eastAsia="Arial" w:hAnsi="Arial"/>
          <w:sz w:val="18"/>
          <w:szCs w:val="18"/>
          <w:i w:val="1"/>
          <w:iCs w:val="1"/>
          <w:color w:val="auto"/>
        </w:rPr>
        <w:t>Employers’ Accounting for Settlements and Curtailments of Defined Benefit</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Plans and for Termination Benefits</w:t>
      </w:r>
      <w:r>
        <w:rPr>
          <w:rFonts w:ascii="Arial" w:cs="Arial" w:eastAsia="Arial" w:hAnsi="Arial"/>
          <w:sz w:val="18"/>
          <w:szCs w:val="18"/>
          <w:color w:val="auto"/>
        </w:rPr>
        <w:t>, or SFAS 88, under our ongoing benefit plan for 339 manufacturing employees and 28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The severance benefit was calculated based on length of past service, and employees had to continue to be employed until they were involuntarily terminated in order to receive the severance benefit. We completed the final cleanup and closure activities associated with this action during the second quarter of fiscal 2007.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addition to the charge recorded in the fourth quarter of fiscal 2005, we recorded additional expense during fiscal 2006, which consisted of $18.3 million of non-cash cost of sales expenses for additional depreciation due to shortened useful lives of certain manufacturing equipment and $2.0 million for stay-on bonuses. We reversed approximately $2.0 million of our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in lump sum payments, which reduced the benefit costs associated with these payments. We have terminated the employment of all of the remaining employees included in this action. We ceased production at the wafer fabrication facility on November 9, 2006. During the first quarter of fiscal 2007, we recorded additional expense, in accordance with SFAS 146, </w:t>
      </w:r>
      <w:r>
        <w:rPr>
          <w:rFonts w:ascii="Arial" w:cs="Arial" w:eastAsia="Arial" w:hAnsi="Arial"/>
          <w:sz w:val="16"/>
          <w:szCs w:val="16"/>
          <w:i w:val="1"/>
          <w:iCs w:val="1"/>
          <w:color w:val="auto"/>
        </w:rPr>
        <w:t>Accounting for Costs Associated with Exit or Disposal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Activities, </w:t>
      </w:r>
      <w:r>
        <w:rPr>
          <w:rFonts w:ascii="Arial" w:cs="Arial" w:eastAsia="Arial" w:hAnsi="Arial"/>
          <w:sz w:val="16"/>
          <w:szCs w:val="16"/>
          <w:color w:val="auto"/>
        </w:rPr>
        <w:t>which consisted of $3.2 million for clean-up and closure costs that were charged to expense as incurred and $0.4 million for lease obligation costs</w:t>
      </w:r>
      <w:r>
        <w:rPr>
          <w:rFonts w:ascii="Arial" w:cs="Arial" w:eastAsia="Arial" w:hAnsi="Arial"/>
          <w:sz w:val="16"/>
          <w:szCs w:val="16"/>
          <w:i w:val="1"/>
          <w:iCs w:val="1"/>
          <w:color w:val="auto"/>
        </w:rPr>
        <w:t xml:space="preserve"> </w:t>
      </w:r>
      <w:r>
        <w:rPr>
          <w:rFonts w:ascii="Arial" w:cs="Arial" w:eastAsia="Arial" w:hAnsi="Arial"/>
          <w:sz w:val="16"/>
          <w:szCs w:val="16"/>
          <w:color w:val="auto"/>
        </w:rPr>
        <w:t>for a warehouse facility we ceased using during the first quarter of fiscal 2007. During the second quarter of fiscal 2007, we recorded a special charge, in accordance with SFAS 146, which included $5.0 million of expense for future lease obligation costs for the wafer fabrication facility that we ceased using during the second quarter of fiscal 2007. The lease obligation costs are being paid out on a monthly basis over the remaining lease term which expires in 2010. Also included in this special charge was $1.7 million for clean-up and closure costs that were charged to expense as incurred. The clean-up activity was completed during the second quarter of fiscal 2007, and we do not expect to incur any additional charges related to this action.</w:t>
      </w:r>
    </w:p>
    <w:p>
      <w:pPr>
        <w:spacing w:after="0" w:line="6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closure of this facility has resulted in annual cost savings of approximately $50 million per year beginning in fiscal 2007. These annual savings include: approximately $49 million in cost of sales, of which approximately $7 million relates to non-cash depreciation savings, and approximately $1 million in SMG&amp;A expenses. At current demand levels, if this facility were still in operation, the capacity of the facility would be largely underutilized resulting in significant adverse manufacturing variances associated with the underutilization of our wafer fabrication facilities.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fourth quarter of fiscal 2005, we recorded a special charge of $11.2 million as a result of our decision to reorganize our product development and support programs with the goal of providing greater focus on our analog and digital signal processing product programs. The charge was for severance and fringe benefit costs that were recorded pursuant to SFAS 88 under our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fiscal 2006, we recorded an additional special charge of $3.8 million related to this reorganization action. Approximately $1.5 million of this charge was for lease obligation costs for a facility we ceased using during the first quarter of fiscal 2006 and the write-off of property, plant and equipment and other items at this facility. The remaining $2.3 million related to the severance and fringe benefit costs that were recorded in the fourth quarter of fiscal 2006 pursuant to SFAS 88 under our ongoing benefit plan or statutory requirements at foreign locations for 46 engineering and selling, marketing, general and administrative employees.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During the first quarter of fiscal 2007, we recorded an additional special charge of $1.6 million related to this reorganization action. Approximately</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$0.6 million of this charge was for contract termination costs. The remaining $1.0 million relates to severance and fringe benefit costs recorded pursuant to SFAS 88 under our ongoing benefit plan for six engineering employees.</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second quarter of fiscal 2007, we recorded an additional special charge of $3.4 million related to this reorganization action. Approximately $3.2 million relates to the severance and fringe benefit costs recorded pursuant to SFAS 88 under our ongoing benefit plan or minimum statutory requirements at foreign locations for 20 engineering and selling, marketing, general and administrative employees. The remaining $0.2 million of this charge was for lease obligation costs for a facility we ceased using during the second quarter of fiscal 2007.</w:t>
      </w:r>
    </w:p>
    <w:p>
      <w:pPr>
        <w:spacing w:after="0" w:line="79"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During the fourth quarter of fiscal 2007, we reversed approximately $0.9 million of our severance accrual because some employees voluntarily left the company and other employees found alternative employment within the company, and were therefore no longer entitled to severance payments.</w:t>
      </w:r>
    </w:p>
    <w:p>
      <w:pPr>
        <w:spacing w:after="0" w:line="1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employment of all employees included in this action has been terminated and amounts owed to employees for severance are being paid out as income continuance. We do not expect to incur any further charges related to this reorganization action. These organizational changes, which were fully implemented in the fourth quarter of fiscal 2007, have resulted in savings of</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approximately $30 million per year. These annual savings include: approximately $17 million in R&amp;D expenses, approximately $10 million in SMG&amp;A expenses and approximately $3 million in cost of sales. As this action was completed during fiscal 2007 a portion of these savings are reflected in our results for fiscal 2007 and for the first quarter of fiscal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Fourth Quarter of Fiscal 2007 Special Charges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Consolidation of a Wafer Fabrication Facility in Limerick</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During the fourth quarter of fiscal 2007, we recorded a special charge of $13.7 million as a result of our decision to solely use eight-inch technology at our wafer fabrication facility in Limerick. Certain manufacturing processes and products produced on the Limerick facility’s six-inch production line will transition to our existing eight-inch production line in Limerick while others will transition to external foundries. The charge is for severance and fringe benefit costs recorded pursuant to SFAS 88 under our ongoing benefit plan for 150 manufacturing employees. Production is expected to cease in the six-inch wafer fabrication facility during the first half of 2009, and the affected employees will be terminated. These employees must continue to be employed until their employment is involuntarily terminated in order to receive the severance benefit. We expect to incur additional expenses related to this action during fiscal year 2009 of approximately $6 million related to cleanup and closure costs. In accordance with SFAS 146, these costs will be expensed as incurred. As of February 2, 2008, 147 of the 150 employees included in this cost reduction action were still employed by us. These employees must continue to be employed until their employment is involuntarily terminated in order to receive the severance benefit. The closure of this facility is estimated to result in annual cost savings of approximately $25 million per year, expected to start during the second quarter of fiscal 2009. These annual savings will be in cost of sales, of which approximately $1 million relates to non-cash depreciation savings.</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Reduction of Overhead Infrastructure Costs</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During the fourth quarter of fiscal 2007, we decided to either deemphasize or exit certain businesses or products and focus investments in products and end markets where we have better opportunities for profitable growth. In September 2007, we entered into a definitive agreement to sell our Baseband Chipset Business. As a result of these decisions, we decided to reduce the support infrastructure in manufacturing, engineering and SMG&amp;A to more appropriately reflect our required overhead structure. Consequently, during the fourth quarter of fiscal 2007, we recorded a special charge of $12.3 million, of which $10.7 million is for severance and fringe benefit costs recorded pursuant to SFAS 88 under our ongoing benefit plan or statutory requirements at foreign locations for 25 manufacturing employees and 127 engineering and selling, marketing, general and administrative employees. The remaining $1.6 million is for contract termination costs related to a license agreement associated with products we will no longer develop and for which there is no future alternative use. As of February 2, 2008, 25 of the 152 employees included in this cost reduction action were still employed by us. These employees must continue to be employed until their employment is involuntarily terminated in order to receive the severance benefit. These cost reduction actions are expected to result in savings of approximately $15 million per year once substantially completed in the second quarter of fiscal 2008. These savings are expected to be realized as follows: approximately $7 million in R&amp;D expenses, approximately $6 million in SMG&amp;A expenses and approximately $2 million in cost of sales. A portion of these savings is reflected in our results for the first quarter of fiscal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from Continuing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346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60" w:type="dxa"/>
            <w:vAlign w:val="bottom"/>
            <w:vMerge w:val="restart"/>
          </w:tcPr>
          <w:p>
            <w:pPr>
              <w:spacing w:after="0"/>
              <w:rPr>
                <w:sz w:val="20"/>
                <w:szCs w:val="20"/>
                <w:color w:val="auto"/>
              </w:rPr>
            </w:pPr>
            <w:r>
              <w:rPr>
                <w:rFonts w:ascii="Arial" w:cs="Arial" w:eastAsia="Arial" w:hAnsi="Arial"/>
                <w:sz w:val="18"/>
                <w:szCs w:val="18"/>
                <w:color w:val="auto"/>
              </w:rPr>
              <w:t>Operating income from continuing operations</w:t>
            </w:r>
          </w:p>
        </w:tc>
        <w:tc>
          <w:tcPr>
            <w:tcW w:w="14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February 2, 2008</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0" w:type="dxa"/>
            <w:vAlign w:val="bottom"/>
          </w:tcPr>
          <w:p>
            <w:pPr>
              <w:spacing w:after="0"/>
              <w:rPr>
                <w:sz w:val="1"/>
                <w:szCs w:val="1"/>
                <w:color w:val="auto"/>
              </w:rPr>
            </w:pPr>
          </w:p>
        </w:tc>
      </w:tr>
      <w:tr>
        <w:trPr>
          <w:trHeight w:val="195"/>
        </w:trPr>
        <w:tc>
          <w:tcPr>
            <w:tcW w:w="7960" w:type="dxa"/>
            <w:vAlign w:val="bottom"/>
            <w:vMerge w:val="continue"/>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$145,913</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$169,411</w:t>
            </w:r>
          </w:p>
        </w:tc>
        <w:tc>
          <w:tcPr>
            <w:tcW w:w="0" w:type="dxa"/>
            <w:vAlign w:val="bottom"/>
          </w:tcPr>
          <w:p>
            <w:pPr>
              <w:spacing w:after="0"/>
              <w:rPr>
                <w:sz w:val="1"/>
                <w:szCs w:val="1"/>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Operating income from continuing operations as a % of total revenue</w:t>
            </w:r>
          </w:p>
        </w:tc>
        <w:tc>
          <w:tcPr>
            <w:tcW w:w="1480" w:type="dxa"/>
            <w:vAlign w:val="bottom"/>
          </w:tcPr>
          <w:p>
            <w:pPr>
              <w:jc w:val="right"/>
              <w:ind w:right="199"/>
              <w:spacing w:after="0"/>
              <w:rPr>
                <w:sz w:val="20"/>
                <w:szCs w:val="20"/>
                <w:color w:val="auto"/>
              </w:rPr>
            </w:pPr>
            <w:r>
              <w:rPr>
                <w:rFonts w:ascii="Arial" w:cs="Arial" w:eastAsia="Arial" w:hAnsi="Arial"/>
                <w:sz w:val="18"/>
                <w:szCs w:val="18"/>
                <w:color w:val="auto"/>
              </w:rPr>
              <w:t>23.8%</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$23.5 million decrease in operating income from continuing operations in the first quarter of fiscal 2008 as compared to the first quarter of fiscal 2007 was primarily the result of a 260 basis point decrease in the gross margin percentage and a decrease in revenue of $12.4 million. These decreases were primarily the result of the recording of $35 million in revenue we received in exchange for the licensing of certain intellectual property rights to a third party with no associated cost of sales in the first quarter of fiscal 2007.</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9"/>
              </w:rPr>
              <w:t>Three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(12,526)</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173</w:t>
            </w:r>
          </w:p>
        </w:tc>
        <w:tc>
          <w:tcPr>
            <w:tcW w:w="42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(7,465)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nonoperating income</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(12,353)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Nonoperating income decreased by $19.9 million in the first quarter of fiscal 2008 as compared to the first quarter of fiscal 2007 primarily as a result of lower invested cash balances and, to a lesser extent, lower interest rates in the first quarter of fiscal 2008 as compared to the first quarter of fiscal 2007. The first quarter of fiscal 2007 also included a $7.9 million gain from the sale of an investment.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328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814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February 3, 2008</w:t>
            </w:r>
          </w:p>
        </w:tc>
        <w:tc>
          <w:tcPr>
            <w:tcW w:w="500" w:type="dxa"/>
            <w:vAlign w:val="bottom"/>
          </w:tcPr>
          <w:p>
            <w:pPr>
              <w:spacing w:after="0"/>
              <w:rPr>
                <w:sz w:val="12"/>
                <w:szCs w:val="12"/>
                <w:color w:val="auto"/>
              </w:rPr>
            </w:pPr>
          </w:p>
        </w:tc>
        <w:tc>
          <w:tcPr>
            <w:tcW w:w="14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February 2, 2007</w:t>
            </w:r>
          </w:p>
        </w:tc>
        <w:tc>
          <w:tcPr>
            <w:tcW w:w="0" w:type="dxa"/>
            <w:vAlign w:val="bottom"/>
          </w:tcPr>
          <w:p>
            <w:pPr>
              <w:spacing w:after="0"/>
              <w:rPr>
                <w:sz w:val="1"/>
                <w:szCs w:val="1"/>
                <w:color w:val="auto"/>
              </w:rPr>
            </w:pPr>
          </w:p>
        </w:tc>
      </w:tr>
      <w:tr>
        <w:trPr>
          <w:trHeight w:val="195"/>
        </w:trPr>
        <w:tc>
          <w:tcPr>
            <w:tcW w:w="8140" w:type="dxa"/>
            <w:vAlign w:val="bottom"/>
            <w:vMerge w:val="continue"/>
          </w:tcPr>
          <w:p>
            <w:pPr>
              <w:spacing w:after="0"/>
              <w:rPr>
                <w:sz w:val="16"/>
                <w:szCs w:val="16"/>
                <w:color w:val="auto"/>
              </w:rPr>
            </w:pPr>
          </w:p>
        </w:tc>
        <w:tc>
          <w:tcPr>
            <w:tcW w:w="13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$36,418</w:t>
            </w:r>
          </w:p>
        </w:tc>
        <w:tc>
          <w:tcPr>
            <w:tcW w:w="500" w:type="dxa"/>
            <w:vAlign w:val="bottom"/>
          </w:tcPr>
          <w:p>
            <w:pPr>
              <w:spacing w:after="0"/>
              <w:rPr>
                <w:sz w:val="16"/>
                <w:szCs w:val="16"/>
                <w:color w:val="auto"/>
              </w:rPr>
            </w:pPr>
          </w:p>
        </w:tc>
        <w:tc>
          <w:tcPr>
            <w:tcW w:w="140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$45,479</w:t>
            </w:r>
          </w:p>
        </w:tc>
        <w:tc>
          <w:tcPr>
            <w:tcW w:w="0" w:type="dxa"/>
            <w:vAlign w:val="bottom"/>
          </w:tcPr>
          <w:p>
            <w:pPr>
              <w:spacing w:after="0"/>
              <w:rPr>
                <w:sz w:val="1"/>
                <w:szCs w:val="1"/>
                <w:color w:val="auto"/>
              </w:rPr>
            </w:pP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380" w:type="dxa"/>
            <w:vAlign w:val="bottom"/>
          </w:tcPr>
          <w:p>
            <w:pPr>
              <w:jc w:val="right"/>
              <w:ind w:right="199"/>
              <w:spacing w:after="0"/>
              <w:rPr>
                <w:sz w:val="20"/>
                <w:szCs w:val="20"/>
                <w:color w:val="auto"/>
              </w:rPr>
            </w:pPr>
            <w:r>
              <w:rPr>
                <w:rFonts w:ascii="Arial" w:cs="Arial" w:eastAsia="Arial" w:hAnsi="Arial"/>
                <w:sz w:val="18"/>
                <w:szCs w:val="18"/>
                <w:color w:val="auto"/>
              </w:rPr>
              <w:t>23.0%</w:t>
            </w:r>
          </w:p>
        </w:tc>
        <w:tc>
          <w:tcPr>
            <w:tcW w:w="1900" w:type="dxa"/>
            <w:vAlign w:val="bottom"/>
            <w:gridSpan w:val="2"/>
          </w:tcPr>
          <w:p>
            <w:pPr>
              <w:jc w:val="right"/>
              <w:ind w:right="219"/>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effective tax rate reflects the applicable tax rate in effect in the various tax jurisdictions around the world where our income is earned. Our effective tax rate for the first quarter of fiscal 2008 was higher by 50 basis points compared to our effective tax rate for the first quarter of fiscal 2007. The increase was primarily due to the fact that the first quarter of fiscal 2007 included a $9.9 million cumulative adjustment related to the application of the U.S. federal research and development tax credit to a portion of our fiscal 2006 results that had the effect of lowering the effective tax rate in the first quarter of fiscal 2007. Additionally, this credit that was available during fiscal 2007 expired during the first half of the first quarter of fiscal 2008. The tax benefit was partially offset by a tax adjustment recorded in the first quarter of fiscal 2007 upon the finalization of the accounting for a 2006 acquisition and the following transactions in the first quarter of fiscal 2007, which were taxed at the higher U.S. tax rate: the one-time receipt of $35 million associated with the licensing of intellectual property to a third party and the gain on the sale of an investment of $7.9 million.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Continuing Operations, net of tax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84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February 2, 2008</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60" w:type="dxa"/>
            <w:vAlign w:val="bottom"/>
          </w:tcPr>
          <w:p>
            <w:pPr>
              <w:spacing w:after="0"/>
              <w:rPr>
                <w:sz w:val="12"/>
                <w:szCs w:val="12"/>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net of tax</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121,848</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156,453</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Income from continuing operations, net of tax as a % of total revenue</w:t>
            </w:r>
          </w:p>
        </w:tc>
        <w:tc>
          <w:tcPr>
            <w:tcW w:w="28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Diluted EPS from continuing operations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0.40</w:t>
            </w:r>
          </w:p>
        </w:tc>
        <w:tc>
          <w:tcPr>
            <w:tcW w:w="6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0.45</w:t>
            </w:r>
          </w:p>
        </w:tc>
      </w:tr>
    </w:tbl>
    <w:p>
      <w:pPr>
        <w:spacing w:after="0" w:line="94" w:lineRule="exact"/>
        <w:rPr>
          <w:sz w:val="20"/>
          <w:szCs w:val="20"/>
          <w:color w:val="auto"/>
        </w:rPr>
      </w:pPr>
    </w:p>
    <w:p>
      <w:pPr>
        <w:jc w:val="both"/>
        <w:ind w:right="860"/>
        <w:spacing w:after="0" w:line="264" w:lineRule="auto"/>
        <w:rPr>
          <w:sz w:val="20"/>
          <w:szCs w:val="20"/>
          <w:color w:val="auto"/>
        </w:rPr>
      </w:pPr>
      <w:r>
        <w:rPr>
          <w:rFonts w:ascii="Arial" w:cs="Arial" w:eastAsia="Arial" w:hAnsi="Arial"/>
          <w:sz w:val="18"/>
          <w:szCs w:val="18"/>
          <w:color w:val="auto"/>
        </w:rPr>
        <w:t>Income from continuing operations, net of tax, in the first quarter of fiscal 2008 was lower than in the first quarter of fiscal 2007 by approximately $34.6 million primarily as a result of the $23.5 million decrease in operating income from continuing operations, and the $19.9 million decrease in nonoperating income that were partially offset by a lower provision for income taxes in fiscal 2008.</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68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February 2, 2008</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Gain on sale of discontinued operations, net of tax</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246,983</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248,871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Diluted EPS from discontinued operations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gridSpan w:val="2"/>
            <w:vMerge w:val="continue"/>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We sold our Baseband Chipset Business to MediaTek Inc. and our CPU voltage regulation and PC thermal monitoring business to certain subsidiaries of ON Semiconductor Corporation during the first quarter of fiscal 2008. Accordingly, the results of the operations of these businesses have been presented as discontinued operations within the consolidated financial statements in accordance with Statement of Financial Accounting Standards No. 144,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 (SFAS 144)</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planning for revenue for the second quarter of fiscal 2008 to be in the range of $615 million to $640 million, or flat to up 4% from the first quarter of fiscal 2008. We are also planning for our gross margin percentage for the second quarter of fiscal 2008 to be approximately equal to the first quarter of fiscal 2008. Operating expenses are planned to be higher in the second quarter of fiscal 2008 primarily as a result of our annual salary increases which took effect at the beginning of the second quarter. Diluted EPS from continuing operations for the second quarter of fiscal 2008 is planned to be in the range of $0.39 to $0.42 and diluted EPS from discontinued operations for the second quarter of fiscal 2008 is expected to be $0.01.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Pr>
          <w:p>
            <w:pPr>
              <w:spacing w:after="0"/>
              <w:rPr>
                <w:sz w:val="14"/>
                <w:szCs w:val="14"/>
                <w:color w:val="auto"/>
              </w:rPr>
            </w:pPr>
          </w:p>
        </w:tc>
        <w:tc>
          <w:tcPr>
            <w:tcW w:w="3480" w:type="dxa"/>
            <w:vAlign w:val="bottom"/>
            <w:tcBorders>
              <w:bottom w:val="single" w:sz="8" w:color="auto"/>
            </w:tcBorders>
            <w:gridSpan w:val="3"/>
          </w:tcPr>
          <w:p>
            <w:pPr>
              <w:jc w:val="right"/>
              <w:ind w:right="9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794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5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2, 2008</w:t>
            </w:r>
          </w:p>
        </w:tc>
        <w:tc>
          <w:tcPr>
            <w:tcW w:w="500" w:type="dxa"/>
            <w:vAlign w:val="bottom"/>
          </w:tcPr>
          <w:p>
            <w:pPr>
              <w:spacing w:after="0"/>
              <w:rPr>
                <w:sz w:val="12"/>
                <w:szCs w:val="12"/>
                <w:color w:val="auto"/>
              </w:rPr>
            </w:pPr>
          </w:p>
        </w:tc>
        <w:tc>
          <w:tcPr>
            <w:tcW w:w="14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February 3, 2007</w:t>
            </w:r>
          </w:p>
        </w:tc>
        <w:tc>
          <w:tcPr>
            <w:tcW w:w="0" w:type="dxa"/>
            <w:vAlign w:val="bottom"/>
          </w:tcPr>
          <w:p>
            <w:pPr>
              <w:spacing w:after="0"/>
              <w:rPr>
                <w:sz w:val="1"/>
                <w:szCs w:val="1"/>
                <w:color w:val="auto"/>
              </w:rPr>
            </w:pPr>
          </w:p>
        </w:tc>
      </w:tr>
      <w:tr>
        <w:trPr>
          <w:trHeight w:val="195"/>
        </w:trPr>
        <w:tc>
          <w:tcPr>
            <w:tcW w:w="7940" w:type="dxa"/>
            <w:vAlign w:val="bottom"/>
            <w:vMerge w:val="continue"/>
          </w:tcPr>
          <w:p>
            <w:pPr>
              <w:spacing w:after="0"/>
              <w:rPr>
                <w:sz w:val="16"/>
                <w:szCs w:val="16"/>
                <w:color w:val="auto"/>
              </w:rPr>
            </w:pPr>
          </w:p>
        </w:tc>
        <w:tc>
          <w:tcPr>
            <w:tcW w:w="1500" w:type="dxa"/>
            <w:vAlign w:val="bottom"/>
          </w:tcPr>
          <w:p>
            <w:pPr>
              <w:jc w:val="right"/>
              <w:ind w:right="379"/>
              <w:spacing w:after="0" w:line="195" w:lineRule="exact"/>
              <w:rPr>
                <w:sz w:val="20"/>
                <w:szCs w:val="20"/>
                <w:color w:val="auto"/>
              </w:rPr>
            </w:pPr>
            <w:r>
              <w:rPr>
                <w:rFonts w:ascii="Arial" w:cs="Arial" w:eastAsia="Arial" w:hAnsi="Arial"/>
                <w:sz w:val="18"/>
                <w:szCs w:val="18"/>
                <w:color w:val="auto"/>
              </w:rPr>
              <w:t>$177,420</w:t>
            </w:r>
          </w:p>
        </w:tc>
        <w:tc>
          <w:tcPr>
            <w:tcW w:w="500" w:type="dxa"/>
            <w:vAlign w:val="bottom"/>
          </w:tcPr>
          <w:p>
            <w:pPr>
              <w:spacing w:after="0"/>
              <w:rPr>
                <w:sz w:val="16"/>
                <w:szCs w:val="16"/>
                <w:color w:val="auto"/>
              </w:rPr>
            </w:pPr>
          </w:p>
        </w:tc>
        <w:tc>
          <w:tcPr>
            <w:tcW w:w="1480" w:type="dxa"/>
            <w:vAlign w:val="bottom"/>
          </w:tcPr>
          <w:p>
            <w:pPr>
              <w:jc w:val="right"/>
              <w:ind w:right="359"/>
              <w:spacing w:after="0" w:line="195" w:lineRule="exact"/>
              <w:rPr>
                <w:sz w:val="20"/>
                <w:szCs w:val="20"/>
                <w:color w:val="auto"/>
              </w:rPr>
            </w:pPr>
            <w:r>
              <w:rPr>
                <w:rFonts w:ascii="Arial" w:cs="Arial" w:eastAsia="Arial" w:hAnsi="Arial"/>
                <w:sz w:val="18"/>
                <w:szCs w:val="18"/>
                <w:color w:val="auto"/>
              </w:rPr>
              <w:t>$208,153</w:t>
            </w:r>
          </w:p>
        </w:tc>
        <w:tc>
          <w:tcPr>
            <w:tcW w:w="0" w:type="dxa"/>
            <w:vAlign w:val="bottom"/>
          </w:tcPr>
          <w:p>
            <w:pPr>
              <w:spacing w:after="0"/>
              <w:rPr>
                <w:sz w:val="1"/>
                <w:szCs w:val="1"/>
                <w:color w:val="auto"/>
              </w:rPr>
            </w:pPr>
          </w:p>
        </w:tc>
      </w:tr>
      <w:tr>
        <w:trPr>
          <w:trHeight w:val="230"/>
        </w:trPr>
        <w:tc>
          <w:tcPr>
            <w:tcW w:w="7940" w:type="dxa"/>
            <w:vAlign w:val="bottom"/>
          </w:tcPr>
          <w:p>
            <w:pPr>
              <w:spacing w:after="0"/>
              <w:rPr>
                <w:sz w:val="20"/>
                <w:szCs w:val="20"/>
                <w:color w:val="auto"/>
              </w:rPr>
            </w:pPr>
            <w:r>
              <w:rPr>
                <w:rFonts w:ascii="Arial" w:cs="Arial" w:eastAsia="Arial" w:hAnsi="Arial"/>
                <w:sz w:val="18"/>
                <w:szCs w:val="18"/>
                <w:color w:val="auto"/>
              </w:rPr>
              <w:t>Net cash provided by operations as a % of total revenue</w:t>
            </w:r>
          </w:p>
        </w:tc>
        <w:tc>
          <w:tcPr>
            <w:tcW w:w="1500" w:type="dxa"/>
            <w:vAlign w:val="bottom"/>
          </w:tcPr>
          <w:p>
            <w:pPr>
              <w:jc w:val="right"/>
              <w:ind w:right="219"/>
              <w:spacing w:after="0"/>
              <w:rPr>
                <w:sz w:val="20"/>
                <w:szCs w:val="20"/>
                <w:color w:val="auto"/>
              </w:rPr>
            </w:pPr>
            <w:r>
              <w:rPr>
                <w:rFonts w:ascii="Arial" w:cs="Arial" w:eastAsia="Arial" w:hAnsi="Arial"/>
                <w:sz w:val="18"/>
                <w:szCs w:val="18"/>
                <w:color w:val="auto"/>
              </w:rPr>
              <w:t>28.9%</w:t>
            </w:r>
          </w:p>
        </w:tc>
        <w:tc>
          <w:tcPr>
            <w:tcW w:w="1980" w:type="dxa"/>
            <w:vAlign w:val="bottom"/>
            <w:gridSpan w:val="2"/>
          </w:tcPr>
          <w:p>
            <w:pPr>
              <w:jc w:val="right"/>
              <w:ind w:right="219"/>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At February 2, 2008, cash, cash equivalents and short-term investments totaled $1,271.8 million, an increase of $190.6 million from the fourth quarter of fiscal 2007. The primary sources of funds for the first three months of fiscal 2008 were net proceeds from the sale of two businesses of $406.7 million, net cash generated from operating activities of $177.4 million and proceeds of $24.5 million from our various employee stock plans. The principal uses of funds for the first three months of fiscal 2008 were the repurchase of approximately 12.1 million shares of our common stock for an aggregate of $359.4 million (less $24.9 million paid subsequent to the end of the first quarter), dividend payments of $53.8 million and capital expenditures of $40.1 million.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 2008</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3, 2007</w:t>
            </w:r>
          </w:p>
        </w:tc>
      </w:tr>
      <w:tr>
        <w:trPr>
          <w:trHeight w:val="20"/>
        </w:trPr>
        <w:tc>
          <w:tcPr>
            <w:tcW w:w="5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340,080</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323,777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Days sales outstanding</w:t>
            </w:r>
          </w:p>
        </w:tc>
        <w:tc>
          <w:tcPr>
            <w:tcW w:w="3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342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330,196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324,373</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3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127</w:t>
            </w:r>
          </w:p>
        </w:tc>
        <w:tc>
          <w:tcPr>
            <w:tcW w:w="3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bl>
    <w:p>
      <w:pPr>
        <w:spacing w:after="0" w:line="7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Accounts receivable at February 2, 2008 increased $16.3 million, or 5%, from the end of the fourth quarter of fiscal 2007. The increase in receivables was primarily related to higher shipments in the last month of the first quarter of fiscal 2008 as compared to the fourth quarter of fiscal 2007. Inventory at February 2, 2008 increased by $5.8 million, or 2%, from the end of fiscal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additions to property, plant and equipment were $40.1 million in the first quarter of fiscal 2008 and were funded with a combination of cash on hand and cash generated from operations. Capital expenditures are expected to be approximately $170 million in fiscal 2008.</w:t>
      </w:r>
    </w:p>
    <w:p>
      <w:pPr>
        <w:spacing w:after="0" w:line="6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February 19, 2008, our Board of Directors declared a cash dividend of $0.18 per outstanding share of our common stock. The dividend is payable on March 26, 2008 to shareholders of record on March 7, 2008 and is expected to be approximately $53 million in the aggregate. The payment of future dividends will be based on several factors including our financial performance, outlook and liquidity. Quarterly dividends are expected to continue at $0.18 per share, although they remain subject to declaration or change by our Board of Directors.</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At February 2, 2008, our principal source of liquidity was $1,271.8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 development efforts, dividend payments (if any) and purchases of stock (if any) under our stock repurchase program for at least the next twelve months and thereafter for the foreseeable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There have not been any material changes to the amounts presented in the table summarizing our contractual obligations that was included in our Annual Report on Form 10-K for the year ended November 3, 2007.</w:t>
      </w:r>
    </w:p>
    <w:p>
      <w:pPr>
        <w:spacing w:after="0" w:line="6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As of February 2, 2008, the total liabilities associated with uncertain tax positions under FIN 48 was $10.5 million, which are included in “Other non-current liabilities,” as a result of our adoption of FIN 48. Due to the complexity associated with our tax uncertainties, we cannot make a reasonably reliable estimate of the period in which we expect to settle the non-current liabilities associated with these uncertain tax positions. Therefore, we are not updating the amounts included in the contractual obligations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September 2006, the Financial Accounting Standards Board (FASB) issued Statement of Financial Accounting Standard (SFAS) 157,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(SFAS 157). SFAS 157 provides enhanced guidance for using fair value to measure assets and liabilities. The standard also responds to</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requests for expanded information about the extent to which companies measure assets and liabilities at fair value, the information used to measure fair value and the effect of fair value measurements on earnings. SFAS 157 applies whenever other standards require or permit assets or liabilities to be measured at fair value. This standard does not expand the use of fair value in any new circumstances. SFAS 157 is effective for fiscal years beginning after November 15, 2007, which is our fiscal year 2009 that begins on November 2, 2008. We are currently evaluating the impact that SFAS 157 may have on our financial condition and results of operations.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 xml:space="preserve">In February 2007, the FASB, issued SFAS 159, </w:t>
      </w:r>
      <w:r>
        <w:rPr>
          <w:rFonts w:ascii="Arial" w:cs="Arial" w:eastAsia="Arial" w:hAnsi="Arial"/>
          <w:sz w:val="17"/>
          <w:szCs w:val="17"/>
          <w:i w:val="1"/>
          <w:iCs w:val="1"/>
          <w:color w:val="auto"/>
        </w:rPr>
        <w:t>The Fair Value Option for Financial Assets and Financial Liabilities — Including an amendment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115 </w:t>
      </w:r>
      <w:r>
        <w:rPr>
          <w:rFonts w:ascii="Arial" w:cs="Arial" w:eastAsia="Arial" w:hAnsi="Arial"/>
          <w:sz w:val="17"/>
          <w:szCs w:val="17"/>
          <w:color w:val="auto"/>
        </w:rPr>
        <w:t>(SFAS 159). SFAS 159 permits entities to choose to measure many financial instruments and certain other items at fair value. The</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as of the beginning of an entity’s first fiscal year that begins after November 15, 2007, which is our fiscal year 2009 that begins on November 2, 2008. We are currently evaluating the impact, if any, that SFAS 159 may have on our financial condition and results of operations.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In June 2006, the FASB issued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(FIN 48). FIN 48 clarifies the accounting for uncertainty in income taxes recognized in an enterprise’s financial statements in accordance with SFAS 109, </w:t>
      </w:r>
      <w:r>
        <w:rPr>
          <w:rFonts w:ascii="Arial" w:cs="Arial" w:eastAsia="Arial" w:hAnsi="Arial"/>
          <w:sz w:val="16"/>
          <w:szCs w:val="16"/>
          <w:i w:val="1"/>
          <w:iCs w:val="1"/>
          <w:color w:val="auto"/>
        </w:rPr>
        <w:t xml:space="preserve">Accounting for Income Taxes. </w:t>
      </w:r>
      <w:r>
        <w:rPr>
          <w:rFonts w:ascii="Arial" w:cs="Arial" w:eastAsia="Arial" w:hAnsi="Arial"/>
          <w:sz w:val="16"/>
          <w:szCs w:val="16"/>
          <w:color w:val="auto"/>
        </w:rPr>
        <w:t>FIN 48 prescribes a recognition threshold and measurement attribute for the financial statement recognition and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of a tax position taken or expected to be taken in a tax return. FIN 48 also provides guidance on derecognition, classification, interest and penalties,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accounting in interim periods, disclosure, and transition. FIN 48 is effective for fiscal years beginning after December 15, 2006. The adoption of FIN 48 in the first quarter of fiscal 2008 did not have an impact on our financial condition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material changes to the information provided under the heading “Critical Accounting Policies and Estimates” included in our Annual Report on Form 10-K for the year ended November 3, 2007 except for the adoption of FIN 48 described below.</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must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the recognition of revenue and expense for tax and financial statement purposes, as well as the interest and penalties relating to these uncertain tax positions. We assessed the likelihood of the realization of deferred tax assets and concluded that a valuation allowance is needed to reserve the amount of the deferred tax assets that may not be realized due to the expiration of certain state credit carryovers. In reaching our conclusion, we evaluated certain relevant criteria including the existence of deferred tax liabilities that can be used to absorb deferred tax assets, the taxable income in prior carryback years in the impacted state jurisdictions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 which in turn, may result in an increase or decrease to our tax provision in a subsequent period.</w:t>
      </w:r>
    </w:p>
    <w:p>
      <w:pPr>
        <w:spacing w:after="0" w:line="6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November 4, 2007 (the first day of our 2008 fiscal year), we adopted FASB Interpretation No.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interpretation of FASB Statement No. 109 </w:t>
      </w:r>
      <w:r>
        <w:rPr>
          <w:rFonts w:ascii="Arial" w:cs="Arial" w:eastAsia="Arial" w:hAnsi="Arial"/>
          <w:sz w:val="17"/>
          <w:szCs w:val="17"/>
          <w:color w:val="auto"/>
        </w:rPr>
        <w:t>(FIN 48). FIN 48 differs from the prior standards in that it requires companies to determine that it is “more likely</w:t>
      </w:r>
      <w:r>
        <w:rPr>
          <w:rFonts w:ascii="Arial" w:cs="Arial" w:eastAsia="Arial" w:hAnsi="Arial"/>
          <w:sz w:val="17"/>
          <w:szCs w:val="17"/>
          <w:i w:val="1"/>
          <w:iCs w:val="1"/>
          <w:color w:val="auto"/>
        </w:rPr>
        <w:t xml:space="preserve"> </w:t>
      </w:r>
      <w:r>
        <w:rPr>
          <w:rFonts w:ascii="Arial" w:cs="Arial" w:eastAsia="Arial" w:hAnsi="Arial"/>
          <w:sz w:val="17"/>
          <w:szCs w:val="17"/>
          <w:color w:val="auto"/>
        </w:rPr>
        <w:t>than not” that a tax position will be sustained by the appropriate taxing authorities before any benefit can be recorded in the financial statements. An uncertain income tax position will not be recognized if it has less than a 50% likelihood of being sustained. For those tax positions where it is more likely than not that a tax benefit will be sustained, we have recorded the largest amount of tax benefit with a greater than 50 percent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 We reevaluate these uncertain tax positions on a quarterly basis. This evaluation is based on factors including, but not limited to, changes in known facts or circumstances, changes in tax law, effectively settled issues under audit, and new audit activity. Such a change in recognition or measurement would result in the recognition of a tax benefit or an additional charge to the tax provision.</w:t>
      </w:r>
    </w:p>
    <w:p>
      <w:pPr>
        <w:spacing w:after="0" w:line="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November 3,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80" w:firstLine="8"/>
        <w:spacing w:after="0" w:line="276"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February 2, 2008.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February 2, 2008, our Chief Executive Officer and Chief Financial Officer concluded that, as of such date, our disclosure controls and procedures were effective at the reasonable assurance level.</w:t>
      </w:r>
    </w:p>
    <w:p>
      <w:pPr>
        <w:spacing w:after="0" w:line="70" w:lineRule="exact"/>
        <w:rPr>
          <w:sz w:val="20"/>
          <w:szCs w:val="20"/>
          <w:color w:val="auto"/>
        </w:rPr>
      </w:pPr>
    </w:p>
    <w:p>
      <w:pPr>
        <w:ind w:firstLine="8"/>
        <w:spacing w:after="0" w:line="264"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February 2, 2008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our 2004 Form 10-K filing, we disclosed that the Securities and Exchange Commission, or SEC, had initiated an inquiry into our stock option granting practices, focusing on options that were granted shortly before the issuance of favorable financial results. On November 15, 2005, we announced that we had reached a tentative settlement with the SEC.</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all times since receiving notice of this inquiry, we have cooperated with the SEC. In November 2005, we and our President and CEO, Mr. Jerald G. Fishman, made an offer of settlement to the Staff of the SEC. The settlement has been submitted to the Commission for approval. There can be no assurance a final settlement will be approved.</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The SEC’s inquiry focused on two separate issues. The first issue concerned our disclosure regarding grants of options to employees and directors prior to the release of favorable financial results. Specifically, the issue related to options granted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on November 30, 1999 and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on November 10, 2000. The Staff of the SEC has indicated that, in the proposed settlement, the Commission would not charge us or Mr. Fishman with any violation of law with respect to this issue.</w:t>
      </w:r>
    </w:p>
    <w:p>
      <w:pPr>
        <w:spacing w:after="0" w:line="7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 xml:space="preserve">The second issue concerned the grant dates for options granted to employees </w:t>
      </w:r>
      <w:r>
        <w:rPr>
          <w:rFonts w:ascii="Arial" w:cs="Arial" w:eastAsia="Arial" w:hAnsi="Arial"/>
          <w:sz w:val="17"/>
          <w:szCs w:val="17"/>
          <w:b w:val="1"/>
          <w:bCs w:val="1"/>
          <w:color w:val="auto"/>
        </w:rPr>
        <w:t>(</w:t>
      </w:r>
      <w:r>
        <w:rPr>
          <w:rFonts w:ascii="Arial" w:cs="Arial" w:eastAsia="Arial" w:hAnsi="Arial"/>
          <w:sz w:val="17"/>
          <w:szCs w:val="17"/>
          <w:color w:val="auto"/>
        </w:rPr>
        <w:t>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in 1998 and 1999, and the grant date for options granted to employees (including officers</w:t>
      </w:r>
      <w:r>
        <w:rPr>
          <w:rFonts w:ascii="Arial" w:cs="Arial" w:eastAsia="Arial" w:hAnsi="Arial"/>
          <w:sz w:val="17"/>
          <w:szCs w:val="17"/>
          <w:b w:val="1"/>
          <w:bCs w:val="1"/>
          <w:color w:val="auto"/>
        </w:rPr>
        <w:t>)</w:t>
      </w:r>
      <w:r>
        <w:rPr>
          <w:rFonts w:ascii="Arial" w:cs="Arial" w:eastAsia="Arial" w:hAnsi="Arial"/>
          <w:sz w:val="17"/>
          <w:szCs w:val="17"/>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proposed settlement, we would consent to a cease-and-desist order under Section 10(b) of the Securities Exchange Act and Rule 10b-5 thereunder, would pay a civil money penalty of $3 million, and would reprice options granted to Mr. Fishman in certain years. Options granted to all others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We and Mr. Fishman would settle this matter without admitting or denying the Commission’s findings.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We have determined that no restatement of our historical financial results would be necessary due to the proposed settlement.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have been the subject of investigation by the SEC. We have cooperated with the office of the U.S. Attorney in connection with this subpoena. We cannot predict the outcome of this matter, but believe the disposition of the matter will not have a material adverse effect on us or our financial position.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25, 2006, we filed a lawsuit in United States District Court for the District of Delaware against Linear Technology Corp., or LTC, alleging infringement of three of our patents by LTC’s making, selling and using various products. In our complaint, we sought damages in an unspecified amount and injunctive relief. On July 28, 2006, LTC filed an answer and counterclaims, denying that its products infringe the asserted patents and asking the court to declare such patents invalid. LTC also claimed that we, by making, selling and using various products, infringed seven LTC patents. LTC sought damages in an unspecified amount and injunctive relief. On January 30, 2008, we and LTC reached a settlement with respect to this litigation. Pursuant to such settlement agreement, both parties’ claims were dismissed with prejudice, and each party is entitled to sell those products accused of infringement by the other party in this litigation. Neither party is required to pay any amounts to the other party in connection with this settlement.</w:t>
      </w:r>
    </w:p>
    <w:p>
      <w:pPr>
        <w:spacing w:after="0" w:line="5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October 13, 2006, a purported class action complaint was filed in the United States District Court for the District of Massachusetts on behalf of participants in our Investment Partnership Plan from October 5, 2000 to the present. The complaint named us as defendants, certain officers and directors, and our Investment Partnership Plan Administration Committee. The complaint alleges purported violations of federal law in connection with our option granting practices during the years 1998, 1999, 2000, and 2001, including breaches of fiduciary duties owed to participants and beneficiaries of our Investment Partnership Plan under the Employee Retirement Income Security Act. The complaint seeks unspecified monetary damages, as well as equitable and injunctive relief. We intend to vigorously defend against these allegations. On November 22, 2006, we and the individual defendants filed motions to dismiss the complaint. On January 8, 2007, the Plaintiff filed memoranda in opposition. On January 22, 2007, we and the individual defendants filed further memoranda in support of the motions to dismiss. The court heard our motion to dismiss on January 30, 2008, but has not yet issued a ruling. Although we believe we have meritorious defenses to the asserted claims, we are unable at this time to predict the outcome of this proceeding.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disclosed in “Part I, Item 1A. Risk Factors” of our Annual Report on Form 10-K for the fiscal year ended November 3, 2007.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operating results and net income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future revenue, gross margins, operating results and net income are difficult to predict and may be materially affected by a number of factors, including:</w:t>
      </w:r>
    </w:p>
    <w:p>
      <w:pPr>
        <w:spacing w:after="0" w:line="140"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risk that our backlog could decline significantly;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ability to utilize our manufacturing facilities at efficient levels;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 including with respect to costs associated with labor, utilities, transportation and raw materials;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changes in our effective tax rate;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effect of adverse changes in economic conditions in the United States and international markets; and</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effects of public health emergencies, natural disasters, security risks, terrorist activities, international conflicts and other events beyond our control.</w:t>
      </w:r>
    </w:p>
    <w:p>
      <w:pPr>
        <w:spacing w:after="0" w:line="62"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revenue, gross margins and operating results on a quarterly or annual basis. In addition, if our revenue, gross margins, operating results and net income do not meet the expectations of securities analysts or investors, the market price of our common stock may decline.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Long-term contracts are not typical for us and reductions, cancellations or delays in orders for our products could adversely affect our operating results.</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are subject to the risk of cancellations of orders leading to a sharp reduction of sales and backlog. Further, orders or forecasts may be for products that meet the customer’s unique requirements so that those cancelled or unrealized orders would, in addition, result in an inventory of unsaleable products, resulting in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Our future success depends upon our ability to continue to innovate, improve our products, develop and market new products, and identify and enter new markets.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success significantly depends on our continued ability to improve our products and develop and market innovative new products. Product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such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face intense technological and pricing competition in the semiconductor industry, and we expect such competition to increase in the future. 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 markets we serve. Competition is based on design and quality of products, product performance, features and functionality, and price, with the relative importance of these factors varying among products, markets and customers. Existing or new competitors may develop products or technologies that more effectively address the demands of our customers and markets with enhanced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 the future against existing or new competitors, or that our operating results will not be adversely affected by increased price competition.</w:t>
      </w:r>
    </w:p>
    <w:p>
      <w:pPr>
        <w:spacing w:after="0" w:line="6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 and test services, and therefore cannot control their availability or conditions of supply.</w:t>
      </w:r>
    </w:p>
    <w:p>
      <w:pPr>
        <w:spacing w:after="0" w:line="62"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a limited number of third-party wafer fabricators, primarily Taiwan Semiconductor Manufacturing Company. These suppliers manufacture components in accordance with our proprietary designs and specifications. We have no written supply agreements with these suppliers and purchase our custom components through individual purchase orders. In addition, these suppliers often provide manufacturing services to our competitors and therefore periods of increased industry demand may result in capacity constraints. If these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sufficiently the demand for our products, and increased production may lead to overcapacity and lower prices.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cyclical nature of the semiconductor industry has resulted in sustained and short-term periods when demand for our products has increased or decreased rapidly. During periods of rapid increases in demand, our available capacity may not be sufficient to satisfy the available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 Conversely, if we expand our operations and workforce too rapidly or procure excessive resources in anticipation of increased demand for our products, and such demand does not materialize at the pace at which we expect, or declines,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w:t>
      </w:r>
    </w:p>
    <w:p>
      <w:pPr>
        <w:spacing w:after="0" w:line="7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Our semiconductor products are complex and may contain undetected defects which could result in significant costs, claims and damage to our reputation, and adversely affect the market acceptance of our products.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Semiconductor products are highly complex and may contain undetected defects when they are first introduced or as new versions are developed. We invest significant resources in the testing of our products; however, if any of our products contain defects, we may be required to incur additional development and remediation costs, pursuant to warranty and indemnification provisions in our customer contracts. These problems may divert our technical and other resources from other product development efforts and could result in claims against us by our customers or others, including liability for costs associated with product recalls, which may adversely impact our operating results. There can be no assurance that we are adequately insured to protect against all such claims. If any of our products contains defects, or has reliability, quality or compatibility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problems, our reputation may be damaged, which could make it more difficult for us to sell our products to existing and prospective customers and could adversely affect our operating results.</w:t>
      </w:r>
    </w:p>
    <w:p>
      <w:pPr>
        <w:spacing w:after="0" w:line="6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w:t>
      </w:r>
    </w:p>
    <w:p>
      <w:pPr>
        <w:spacing w:after="0" w:line="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services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such claims or pay damage awards. While we maintain product liability insurance, there can be no assurance that such insurance will be available or adequate to protect against all such claims. We may incur costs and expenses relating to a recall of our customers’ products due to an alleged failure of components we supply. See Note 10 in the Notes to our Consolidated Financial Statements contained in Item 1 of this Quarterly Report on Form 10-Q for information concerning certain pending litigation that involves us. An adverse outcome in these matters or other litigation could have a material adverse effect on our consolidated financial position or on our consolidated results of operations or cash flows in the period in which the litigation is resolved.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continued success depends to a significant extent upon the recruitment and retention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or purchase or license technology from third parties in order to introduce new products and services or enhance our existing products and services.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we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or the issuance of securities with rights that are superior to the rights of our common stockholders. Acquisitions also involve a number of risks, including:</w:t>
      </w:r>
    </w:p>
    <w:p>
      <w:pPr>
        <w:spacing w:after="0" w:line="71"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and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utilities and equipment and availability of key services including transport of our products worldwide. Any prolonged inability to utilize one of our manufacturing facilities, or those of our subcontractors or third-party wafer fabrication foundries, as a result of fire, natural disaster, unavailability of utilities or otherwise, would have a material adverse effect on our results of operations and financial condition.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legal and other risks through our significant worldwide operations.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first three months of fiscal 2008, approximately 75% of our product revenue was derived from customers in international markets. Although we engage in hedging transactions to reduce our exposure to currency exchange rate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political and legal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and intellectual property, trade and travel restrictions, pandemics, import and export license requirements and restrictions, difficulties in staffing and managing worldwide operations, and accounts receivable collections.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w:t>
      </w:r>
    </w:p>
    <w:p>
      <w:pPr>
        <w:spacing w:after="0" w:line="117"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our operating results could be adversely affected.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increasingly strict environmental regulations, which could increase our expenses and affect our operating results.</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Our industry is subject to increasingly strict environmental regulations that control and restrict the use, transportation, emission, discharge, storage and disposal of certain chemicals used in the manufacturing process. Public attention on environmental controls has increased, and changes in environmental regulations require us to invest in potentially costly remediation equipment or alter the way our products are made. In addition, we use hazardous and other regulated materials that subject us to risks of liability for damages caused by accidental releases, regardless of fault. Any failure to control such materials adequately or to comply with regulatory restrictions could increase our expenses and adversely affect our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 or our published guidance;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660" w:right="680" w:hanging="436"/>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660" w:hanging="436"/>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ind w:left="300"/>
              <w:spacing w:after="0"/>
              <w:rPr>
                <w:sz w:val="20"/>
                <w:szCs w:val="20"/>
                <w:color w:val="auto"/>
              </w:rPr>
            </w:pPr>
            <w:r>
              <w:rPr>
                <w:rFonts w:ascii="Arial" w:cs="Arial" w:eastAsia="Arial" w:hAnsi="Arial"/>
                <w:sz w:val="14"/>
                <w:szCs w:val="14"/>
                <w:color w:val="auto"/>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color w:val="auto"/>
                <w:w w:val="97"/>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6"/>
              </w:rPr>
              <w:t>Shares Purchased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5"/>
              </w:rPr>
              <w:t>Total 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as Part of Publicly</w:t>
            </w:r>
          </w:p>
        </w:tc>
        <w:tc>
          <w:tcPr>
            <w:tcW w:w="30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760" w:type="dxa"/>
            <w:vAlign w:val="bottom"/>
            <w:gridSpan w:val="4"/>
          </w:tcPr>
          <w:p>
            <w:pPr>
              <w:jc w:val="center"/>
              <w:ind w:left="94"/>
              <w:spacing w:after="0" w:line="149" w:lineRule="exact"/>
              <w:rPr>
                <w:sz w:val="20"/>
                <w:szCs w:val="20"/>
                <w:color w:val="auto"/>
              </w:rPr>
            </w:pPr>
            <w:r>
              <w:rPr>
                <w:rFonts w:ascii="Arial" w:cs="Arial" w:eastAsia="Arial" w:hAnsi="Arial"/>
                <w:sz w:val="14"/>
                <w:szCs w:val="14"/>
                <w:color w:val="auto"/>
                <w:w w:val="88"/>
              </w:rPr>
              <w:t>Shares Purchased</w:t>
            </w:r>
          </w:p>
        </w:tc>
        <w:tc>
          <w:tcPr>
            <w:tcW w:w="164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Average Price Paid</w:t>
            </w:r>
          </w:p>
        </w:tc>
        <w:tc>
          <w:tcPr>
            <w:tcW w:w="28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Announced Plans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the Plans or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Borders>
              <w:bottom w:val="single" w:sz="8" w:color="auto"/>
            </w:tcBorders>
          </w:tcPr>
          <w:p>
            <w:pPr>
              <w:ind w:left="2220"/>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(a)</w:t>
            </w:r>
          </w:p>
        </w:tc>
        <w:tc>
          <w:tcPr>
            <w:tcW w:w="30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w w:val="92"/>
              </w:rPr>
              <w:t>Per Share (b)</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or Programs (c)</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88"/>
              </w:rPr>
              <w:t>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November 4, 2007 through December 1,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4,622,580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4,622,534</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514,066,889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December 2, 2007 through December 29, 2007</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460,938</w:t>
            </w:r>
          </w:p>
        </w:tc>
        <w:tc>
          <w:tcPr>
            <w:tcW w:w="280" w:type="dxa"/>
            <w:vAlign w:val="bottom"/>
          </w:tcPr>
          <w:p>
            <w:pPr>
              <w:spacing w:after="0"/>
              <w:rPr>
                <w:sz w:val="18"/>
                <w:szCs w:val="18"/>
                <w:color w:val="auto"/>
              </w:rPr>
            </w:pP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31.50</w:t>
            </w:r>
          </w:p>
        </w:tc>
        <w:tc>
          <w:tcPr>
            <w:tcW w:w="28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8"/>
                <w:szCs w:val="18"/>
                <w:color w:val="auto"/>
              </w:rPr>
              <w:t>260,860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505,857,507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December 30, 2007 through February 2, 2008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7,243,858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7,243,557</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7"/>
              </w:rPr>
              <w:t>305,853,822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29.67</w:t>
            </w:r>
          </w:p>
        </w:tc>
        <w:tc>
          <w:tcPr>
            <w:tcW w:w="28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60" w:type="dxa"/>
            <w:vAlign w:val="bottom"/>
            <w:gridSpan w:val="2"/>
            <w:vMerge w:val="restart"/>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100"/>
              <w:spacing w:after="0"/>
              <w:rPr>
                <w:sz w:val="20"/>
                <w:szCs w:val="20"/>
                <w:color w:val="auto"/>
              </w:rPr>
            </w:pPr>
            <w:r>
              <w:rPr>
                <w:rFonts w:ascii="Arial" w:cs="Arial" w:eastAsia="Arial" w:hAnsi="Arial"/>
                <w:sz w:val="18"/>
                <w:szCs w:val="18"/>
                <w:color w:val="auto"/>
                <w:w w:val="97"/>
              </w:rPr>
              <w:t>305,853,822</w:t>
            </w: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12,327,376</w:t>
            </w:r>
          </w:p>
        </w:tc>
        <w:tc>
          <w:tcPr>
            <w:tcW w:w="2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12,126,951</w:t>
            </w:r>
          </w:p>
        </w:tc>
        <w:tc>
          <w:tcPr>
            <w:tcW w:w="28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0" w:hanging="452"/>
        <w:spacing w:after="0" w:line="306"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200,425 shares paid to the Company by employees to satisfy employee tax obligations upon vesting of restricted stock or restricted stock units and in connection with the exercise of stock options granted to our employees under our equity compensation plans.</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20" w:hanging="452"/>
        <w:spacing w:after="0" w:line="255"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Repurchased pursuant to the stock repurchase program publicly announced on August 12, 2004. On December 6, 2006, our Board of Directors authorized the repurchase by us of an additional $1 billion of our common stock, increasing the total amount of our common stock we are authorized to repurchase from $2 billion to $3 billion. On June 6, 2007, our Board of Directors authorized the repurchase by us of an additional $1 billion of our common stock, increasing the total amount of our common stock we are authorized to repurchase from $3 billion to $4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80" w:firstLine="45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20, 2008</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560" w:type="dxa"/>
            <w:vAlign w:val="bottom"/>
          </w:tcPr>
          <w:p>
            <w:pPr>
              <w:spacing w:after="0"/>
              <w:rPr>
                <w:sz w:val="20"/>
                <w:szCs w:val="20"/>
                <w:color w:val="auto"/>
              </w:rPr>
            </w:pPr>
            <w:r>
              <w:rPr>
                <w:rFonts w:ascii="Arial" w:cs="Arial" w:eastAsia="Arial" w:hAnsi="Arial"/>
                <w:sz w:val="18"/>
                <w:szCs w:val="18"/>
                <w:color w:val="auto"/>
              </w:rPr>
              <w:t>Date: February 20, 2008</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Joseph E. McDonough</w:t>
            </w:r>
          </w:p>
        </w:tc>
        <w:tc>
          <w:tcPr>
            <w:tcW w:w="168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McDonough</w:t>
            </w:r>
          </w:p>
        </w:tc>
        <w:tc>
          <w:tcPr>
            <w:tcW w:w="1680" w:type="dxa"/>
            <w:vAlign w:val="bottom"/>
          </w:tcPr>
          <w:p>
            <w:pPr>
              <w:spacing w:after="0"/>
              <w:rPr>
                <w:sz w:val="16"/>
                <w:szCs w:val="16"/>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 President-Finance</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16"/>
        </w:trPr>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Financial and</w:t>
            </w:r>
          </w:p>
        </w:tc>
        <w:tc>
          <w:tcPr>
            <w:tcW w:w="1680" w:type="dxa"/>
            <w:vAlign w:val="bottom"/>
          </w:tcPr>
          <w:p>
            <w:pPr>
              <w:spacing w:after="0"/>
              <w:rPr>
                <w:sz w:val="18"/>
                <w:szCs w:val="18"/>
                <w:color w:val="auto"/>
              </w:rPr>
            </w:pPr>
          </w:p>
        </w:tc>
      </w:tr>
      <w:tr>
        <w:trPr>
          <w:trHeight w:val="230"/>
        </w:trPr>
        <w:tc>
          <w:tcPr>
            <w:tcW w:w="35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405"/>
        </w:trPr>
        <w:tc>
          <w:tcPr>
            <w:tcW w:w="3560" w:type="dxa"/>
            <w:vAlign w:val="bottom"/>
          </w:tcPr>
          <w:p>
            <w:pPr>
              <w:spacing w:after="0"/>
              <w:rPr>
                <w:sz w:val="24"/>
                <w:szCs w:val="24"/>
                <w:color w:val="auto"/>
              </w:rPr>
            </w:pPr>
          </w:p>
        </w:tc>
        <w:tc>
          <w:tcPr>
            <w:tcW w:w="6180" w:type="dxa"/>
            <w:vAlign w:val="bottom"/>
            <w:gridSpan w:val="2"/>
          </w:tcPr>
          <w:p>
            <w:pPr>
              <w:jc w:val="right"/>
              <w:ind w:right="3850"/>
              <w:spacing w:after="0"/>
              <w:rPr>
                <w:sz w:val="20"/>
                <w:szCs w:val="20"/>
                <w:color w:val="auto"/>
              </w:rPr>
            </w:pPr>
            <w:r>
              <w:rPr>
                <w:rFonts w:ascii="Arial" w:cs="Arial" w:eastAsia="Arial" w:hAnsi="Arial"/>
                <w:sz w:val="18"/>
                <w:szCs w:val="18"/>
                <w:color w:val="auto"/>
              </w:rPr>
              <w:t>40</w:t>
            </w:r>
          </w:p>
        </w:tc>
        <w:tc>
          <w:tcPr>
            <w:tcW w:w="1680" w:type="dxa"/>
            <w:vAlign w:val="bottom"/>
          </w:tcPr>
          <w:p>
            <w:pPr>
              <w:spacing w:after="0"/>
              <w:rPr>
                <w:sz w:val="24"/>
                <w:szCs w:val="24"/>
                <w:color w:val="auto"/>
              </w:rPr>
            </w:pPr>
          </w:p>
        </w:tc>
      </w:tr>
      <w:tr>
        <w:trPr>
          <w:trHeight w:val="226"/>
        </w:trPr>
        <w:tc>
          <w:tcPr>
            <w:tcW w:w="35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2780" w:type="dxa"/>
            <w:vAlign w:val="bottom"/>
            <w:vMerge w:val="restart"/>
          </w:tcPr>
          <w:p>
            <w:pPr>
              <w:jc w:val="center"/>
              <w:ind w:right="2268"/>
              <w:spacing w:after="0"/>
              <w:rPr>
                <w:sz w:val="20"/>
                <w:szCs w:val="20"/>
                <w:color w:val="auto"/>
              </w:rPr>
            </w:pPr>
            <w:r>
              <w:rPr>
                <w:rFonts w:ascii="Arial" w:cs="Arial" w:eastAsia="Arial" w:hAnsi="Arial"/>
                <w:sz w:val="14"/>
                <w:szCs w:val="14"/>
                <w:b w:val="1"/>
                <w:bCs w:val="1"/>
                <w:color w:val="auto"/>
                <w:w w:val="94"/>
              </w:rPr>
              <w:t>Exhibit</w:t>
            </w:r>
          </w:p>
        </w:tc>
        <w:tc>
          <w:tcPr>
            <w:tcW w:w="23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278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3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2780" w:type="dxa"/>
            <w:vAlign w:val="bottom"/>
          </w:tcPr>
          <w:p>
            <w:pPr>
              <w:jc w:val="center"/>
              <w:ind w:right="2268"/>
              <w:spacing w:after="0"/>
              <w:rPr>
                <w:sz w:val="20"/>
                <w:szCs w:val="20"/>
                <w:color w:val="auto"/>
              </w:rPr>
            </w:pPr>
            <w:r>
              <w:rPr>
                <w:rFonts w:ascii="Arial" w:cs="Arial" w:eastAsia="Arial" w:hAnsi="Arial"/>
                <w:sz w:val="14"/>
                <w:szCs w:val="14"/>
                <w:b w:val="1"/>
                <w:bCs w:val="1"/>
                <w:color w:val="auto"/>
                <w:w w:val="88"/>
              </w:rPr>
              <w:t>No.</w:t>
            </w:r>
          </w:p>
        </w:tc>
        <w:tc>
          <w:tcPr>
            <w:tcW w:w="2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20" w:right="300" w:hanging="631"/>
        <w:spacing w:after="0" w:line="254" w:lineRule="auto"/>
        <w:tabs>
          <w:tab w:leader="none" w:pos="8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No. 1 to Purchase and Sale Agreement, dated January 11, 2008, among Analog Devices, Inc., various subsidiaries, and MediaTek Inc., incorporated herein by reference to Exhibit 2.2 of the Company’s Current Report on Form 8-K filed with the Securities and Exchange Commission on January 16, 2008 (File No. 1-7819).</w:t>
      </w:r>
    </w:p>
    <w:p>
      <w:pPr>
        <w:spacing w:after="0" w:line="191" w:lineRule="exact"/>
        <w:rPr>
          <w:sz w:val="20"/>
          <w:szCs w:val="20"/>
          <w:color w:val="auto"/>
        </w:rPr>
      </w:pPr>
    </w:p>
    <w:p>
      <w:pPr>
        <w:jc w:val="both"/>
        <w:ind w:left="820" w:right="220" w:hanging="631"/>
        <w:spacing w:after="0" w:line="264" w:lineRule="auto"/>
        <w:tabs>
          <w:tab w:leader="none" w:pos="8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License Agreement, dated as of January 11, 2008, among Analog Devices, Inc., Analog Devices B.V., MediaTek Inc. and MediaTek Singapore Pte. Ltd., incorporated herein by reference to Exhibit 2.3 of the Company’s Current Report on Form 8-K filed with the Securities and Exchange Commission on January 16, 2008 (File No. 1-7819).</w:t>
      </w:r>
    </w:p>
    <w:p>
      <w:pPr>
        <w:spacing w:after="0" w:line="181" w:lineRule="exact"/>
        <w:rPr>
          <w:sz w:val="20"/>
          <w:szCs w:val="20"/>
          <w:color w:val="auto"/>
        </w:rPr>
      </w:pPr>
    </w:p>
    <w:p>
      <w:pPr>
        <w:ind w:left="820" w:right="120" w:hanging="676"/>
        <w:spacing w:after="0" w:line="277" w:lineRule="auto"/>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Description of 2008 Executive Bonus Plan, incorporated herein by reference to Item 5.02(e) in the Company’s Current Report on Form 8-K filed with the Securities and Exchange Commission on January 23, 2008 (File No. 1-7819).</w:t>
      </w:r>
    </w:p>
    <w:p>
      <w:pPr>
        <w:spacing w:after="0" w:line="170" w:lineRule="exact"/>
        <w:rPr>
          <w:sz w:val="20"/>
          <w:szCs w:val="20"/>
          <w:color w:val="auto"/>
        </w:rPr>
      </w:pPr>
    </w:p>
    <w:p>
      <w:pPr>
        <w:ind w:left="820" w:hanging="676"/>
        <w:spacing w:after="0" w:line="277" w:lineRule="auto"/>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Executive Officer).</w:t>
      </w:r>
    </w:p>
    <w:p>
      <w:pPr>
        <w:spacing w:after="0" w:line="170" w:lineRule="exact"/>
        <w:rPr>
          <w:sz w:val="20"/>
          <w:szCs w:val="20"/>
          <w:color w:val="auto"/>
        </w:rPr>
      </w:pPr>
    </w:p>
    <w:p>
      <w:pPr>
        <w:ind w:left="820" w:hanging="676"/>
        <w:spacing w:after="0" w:line="277" w:lineRule="auto"/>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Rule 13a-14(a) and 15d-14(a) of the Securities Exchange Act, as Adopted Pursuant to Section 302 of the Sarbanes-Oxley Act of 2002 (Chief Financial Officer).</w:t>
      </w:r>
    </w:p>
    <w:p>
      <w:pPr>
        <w:spacing w:after="0" w:line="170"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(Chief Executive Officer).</w:t>
      </w:r>
    </w:p>
    <w:p>
      <w:pPr>
        <w:spacing w:after="0" w:line="225" w:lineRule="exact"/>
        <w:rPr>
          <w:sz w:val="20"/>
          <w:szCs w:val="20"/>
          <w:color w:val="auto"/>
        </w:rPr>
      </w:pPr>
    </w:p>
    <w:p>
      <w:pPr>
        <w:ind w:left="14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Pursuant to 18 U.S.C. Section 1350 (Chief Financial Officer).</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19" w:right="27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660" w:hanging="43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660" w:hanging="43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660" w:right="280" w:hanging="436"/>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436"/>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660" w:right="280" w:hanging="436"/>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60" w:right="4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360" w:right="16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360" w:right="340" w:hanging="447"/>
        <w:spacing w:after="0" w:line="342"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360" w:right="40" w:hanging="447"/>
        <w:spacing w:after="0" w:line="264"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60" w:hanging="436"/>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60" w:right="580" w:hanging="447"/>
        <w:spacing w:after="0" w:line="342" w:lineRule="auto"/>
        <w:tabs>
          <w:tab w:leader="none" w:pos="13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360" w:right="260" w:hanging="447"/>
        <w:spacing w:after="0" w:line="277" w:lineRule="auto"/>
        <w:tabs>
          <w:tab w:leader="none" w:pos="13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Vice President, Finance</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and 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368"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2, 2008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Jerald G. Fishman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368"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February 2, 2008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660" w:hanging="43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Dated: February 20, 2008</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McDonough</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Joseph E. McDonough</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emdash "/>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2019-12-11T11:19:55Z</dcterms:created>
  <dcterms:modified xsi:type="dcterms:W3CDTF">2019-12-11T11:19:55Z</dcterms:modified>
</cp:coreProperties>
</file>