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May 2, 2009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70"/>
              <w:spacing w:after="0"/>
              <w:rPr>
                <w:sz w:val="20"/>
                <w:szCs w:val="20"/>
                <w:color w:val="auto"/>
              </w:rPr>
            </w:pPr>
            <w:r>
              <w:rPr>
                <w:rFonts w:ascii="Arial" w:cs="Arial" w:eastAsia="Arial" w:hAnsi="Arial"/>
                <w:sz w:val="18"/>
                <w:szCs w:val="18"/>
                <w:i w:val="1"/>
                <w:iCs w:val="1"/>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00"/>
          </w:cols>
          <w:pgMar w:left="240" w:top="122" w:right="279" w:bottom="1440" w:gutter="0" w:footer="0" w:header="0"/>
          <w:type w:val="continuous"/>
        </w:sectPr>
      </w:pPr>
    </w:p>
    <w:p>
      <w:pPr>
        <w:ind w:left="220" w:right="1980" w:firstLine="1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2, 2009 there were 291,249,011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ITEM 4. Controls and Procedures</w:t>
        </w:r>
      </w:hyperlink>
    </w:p>
    <w:p>
      <w:pPr>
        <w:ind w:left="320"/>
        <w:spacing w:after="0" w:line="232"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ITEM 1A. Risk Factors</w:t>
        </w:r>
      </w:hyperlink>
    </w:p>
    <w:p>
      <w:pPr>
        <w:ind w:left="320" w:right="3299"/>
        <w:spacing w:after="0" w:line="230"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9">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49">
        <w:r>
          <w:rPr>
            <w:rFonts w:ascii="Arial" w:cs="Arial" w:eastAsia="Arial" w:hAnsi="Arial"/>
            <w:sz w:val="22"/>
            <w:szCs w:val="22"/>
            <w:u w:val="single" w:color="auto"/>
            <w:color w:val="0000EE"/>
          </w:rPr>
          <w:t>ITEM 6. Exhibits</w:t>
        </w:r>
      </w:hyperlink>
    </w:p>
    <w:p>
      <w:pPr>
        <w:spacing w:after="0" w:line="232"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ind w:left="1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2, 2009</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w w:val="93"/>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474,748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649,340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Cost of sales (1)</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213,196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253,319</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margin</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261,552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396,021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 (1)</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109,448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134,653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Selling, marketing, general and administrative (1)</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82,276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104,183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charges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203,643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157,185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nterest income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(10,669)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(10,555)</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20" w:type="dxa"/>
            <w:vAlign w:val="bottom"/>
            <w:gridSpan w:val="2"/>
          </w:tcPr>
          <w:p>
            <w:pPr>
              <w:ind w:left="100"/>
              <w:spacing w:after="0"/>
              <w:rPr>
                <w:sz w:val="20"/>
                <w:szCs w:val="20"/>
                <w:color w:val="auto"/>
              </w:rPr>
            </w:pPr>
            <w:r>
              <w:rPr>
                <w:rFonts w:ascii="Arial" w:cs="Arial" w:eastAsia="Arial" w:hAnsi="Arial"/>
                <w:sz w:val="18"/>
                <w:szCs w:val="18"/>
                <w:color w:val="auto"/>
              </w:rPr>
              <w:t>Income from continuing operations before income taxes</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62,233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167,740</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37,848</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20" w:type="dxa"/>
            <w:vAlign w:val="bottom"/>
            <w:gridSpan w:val="2"/>
          </w:tcPr>
          <w:p>
            <w:pPr>
              <w:ind w:left="100"/>
              <w:spacing w:after="0"/>
              <w:rPr>
                <w:sz w:val="20"/>
                <w:szCs w:val="20"/>
                <w:color w:val="auto"/>
              </w:rPr>
            </w:pPr>
            <w:r>
              <w:rPr>
                <w:rFonts w:ascii="Arial" w:cs="Arial" w:eastAsia="Arial" w:hAnsi="Arial"/>
                <w:sz w:val="18"/>
                <w:szCs w:val="18"/>
                <w:color w:val="auto"/>
              </w:rPr>
              <w:t>Income from continuing operations, net of tax</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51,754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129,892</w:t>
            </w:r>
          </w:p>
        </w:tc>
        <w:tc>
          <w:tcPr>
            <w:tcW w:w="0" w:type="dxa"/>
            <w:vAlign w:val="bottom"/>
          </w:tcPr>
          <w:p>
            <w:pPr>
              <w:spacing w:after="0"/>
              <w:rPr>
                <w:sz w:val="1"/>
                <w:szCs w:val="1"/>
                <w:color w:val="auto"/>
              </w:rPr>
            </w:pPr>
          </w:p>
        </w:tc>
      </w:tr>
      <w:tr>
        <w:trPr>
          <w:trHeight w:val="223"/>
        </w:trPr>
        <w:tc>
          <w:tcPr>
            <w:tcW w:w="10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tax:</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Income from discontinued operations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23"/>
        </w:trPr>
        <w:tc>
          <w:tcPr>
            <w:tcW w:w="10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51,754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133,086</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tcPr>
          <w:p>
            <w:pPr>
              <w:ind w:left="100"/>
              <w:spacing w:after="0"/>
              <w:rPr>
                <w:sz w:val="20"/>
                <w:szCs w:val="20"/>
                <w:color w:val="auto"/>
              </w:rPr>
            </w:pPr>
            <w:r>
              <w:rPr>
                <w:rFonts w:ascii="Arial" w:cs="Arial" w:eastAsia="Arial" w:hAnsi="Arial"/>
                <w:sz w:val="18"/>
                <w:szCs w:val="18"/>
                <w:color w:val="auto"/>
              </w:rPr>
              <w:t>Shares used to compute earnings per share — basic</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291,227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290,389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292,446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295,360</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tcPr>
          <w:p>
            <w:pPr>
              <w:ind w:left="100"/>
              <w:spacing w:after="0"/>
              <w:rPr>
                <w:sz w:val="20"/>
                <w:szCs w:val="20"/>
                <w:color w:val="auto"/>
              </w:rPr>
            </w:pPr>
            <w:r>
              <w:rPr>
                <w:rFonts w:ascii="Arial" w:cs="Arial" w:eastAsia="Arial" w:hAnsi="Arial"/>
                <w:sz w:val="18"/>
                <w:szCs w:val="18"/>
                <w:color w:val="auto"/>
              </w:rPr>
              <w:t>Basic earnings per share from continuing operations</w:t>
            </w:r>
          </w:p>
        </w:tc>
        <w:tc>
          <w:tcPr>
            <w:tcW w:w="2480" w:type="dxa"/>
            <w:vAlign w:val="bottom"/>
            <w:gridSpan w:val="2"/>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tcPr>
          <w:p>
            <w:pPr>
              <w:ind w:left="100"/>
              <w:spacing w:after="0"/>
              <w:rPr>
                <w:sz w:val="20"/>
                <w:szCs w:val="20"/>
                <w:color w:val="auto"/>
              </w:rPr>
            </w:pPr>
            <w:r>
              <w:rPr>
                <w:rFonts w:ascii="Arial" w:cs="Arial" w:eastAsia="Arial" w:hAnsi="Arial"/>
                <w:sz w:val="18"/>
                <w:szCs w:val="18"/>
                <w:color w:val="auto"/>
              </w:rPr>
              <w:t>Diluted earnings per share from continuing operations</w:t>
            </w:r>
          </w:p>
        </w:tc>
        <w:tc>
          <w:tcPr>
            <w:tcW w:w="2480" w:type="dxa"/>
            <w:vAlign w:val="bottom"/>
            <w:gridSpan w:val="2"/>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tcPr>
          <w:p>
            <w:pPr>
              <w:ind w:left="100"/>
              <w:spacing w:after="0"/>
              <w:rPr>
                <w:sz w:val="20"/>
                <w:szCs w:val="20"/>
                <w:color w:val="auto"/>
              </w:rPr>
            </w:pPr>
            <w:r>
              <w:rPr>
                <w:rFonts w:ascii="Arial" w:cs="Arial" w:eastAsia="Arial" w:hAnsi="Arial"/>
                <w:sz w:val="18"/>
                <w:szCs w:val="18"/>
                <w:color w:val="auto"/>
              </w:rPr>
              <w:t>Dividends declared and paid per share</w:t>
            </w:r>
          </w:p>
        </w:tc>
        <w:tc>
          <w:tcPr>
            <w:tcW w:w="2480" w:type="dxa"/>
            <w:vAlign w:val="bottom"/>
            <w:gridSpan w:val="2"/>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0.20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 Includes stock-based compensation expense as follows: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tcPr>
          <w:p>
            <w:pPr>
              <w:ind w:left="820"/>
              <w:spacing w:after="0"/>
              <w:rPr>
                <w:sz w:val="20"/>
                <w:szCs w:val="20"/>
                <w:color w:val="auto"/>
              </w:rPr>
            </w:pPr>
            <w:r>
              <w:rPr>
                <w:rFonts w:ascii="Arial" w:cs="Arial" w:eastAsia="Arial" w:hAnsi="Arial"/>
                <w:sz w:val="18"/>
                <w:szCs w:val="18"/>
                <w:color w:val="auto"/>
              </w:rPr>
              <w:t>Cost of sales</w:t>
            </w:r>
          </w:p>
        </w:tc>
        <w:tc>
          <w:tcPr>
            <w:tcW w:w="2480" w:type="dxa"/>
            <w:vAlign w:val="bottom"/>
            <w:gridSpan w:val="2"/>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6820" w:type="dxa"/>
            <w:vAlign w:val="bottom"/>
          </w:tcPr>
          <w:p>
            <w:pPr>
              <w:ind w:left="820"/>
              <w:spacing w:after="0"/>
              <w:rPr>
                <w:sz w:val="20"/>
                <w:szCs w:val="20"/>
                <w:color w:val="auto"/>
              </w:rPr>
            </w:pPr>
            <w:r>
              <w:rPr>
                <w:rFonts w:ascii="Arial" w:cs="Arial" w:eastAsia="Arial" w:hAnsi="Arial"/>
                <w:sz w:val="18"/>
                <w:szCs w:val="18"/>
                <w:color w:val="auto"/>
              </w:rPr>
              <w:t>Selling, marketing, general and administrative</w:t>
            </w:r>
          </w:p>
        </w:tc>
        <w:tc>
          <w:tcPr>
            <w:tcW w:w="2480" w:type="dxa"/>
            <w:vAlign w:val="bottom"/>
            <w:gridSpan w:val="2"/>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4,703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1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2, 2009</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951,317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1,263,249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 of sales (1)</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420,763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530,554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229,276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170,122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53,656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453,054</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(11,323)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(12,691)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439"/>
        </w:trPr>
        <w:tc>
          <w:tcPr>
            <w:tcW w:w="73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1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90,191</w:t>
            </w: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7340" w:type="dxa"/>
            <w:vAlign w:val="bottom"/>
            <w:gridSpan w:val="2"/>
          </w:tcPr>
          <w:p>
            <w:pPr>
              <w:spacing w:after="0"/>
              <w:rPr>
                <w:sz w:val="20"/>
                <w:szCs w:val="20"/>
                <w:color w:val="auto"/>
              </w:rPr>
            </w:pPr>
            <w:r>
              <w:rPr>
                <w:rFonts w:ascii="Arial" w:cs="Arial" w:eastAsia="Arial" w:hAnsi="Arial"/>
                <w:sz w:val="18"/>
                <w:szCs w:val="18"/>
                <w:color w:val="auto"/>
              </w:rPr>
              <w:t>Income from continuing operations, net of tax</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76,339</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246,983</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1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76,703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503,805</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basic</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291,207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291,847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gridSpan w:val="2"/>
          </w:tcPr>
          <w:p>
            <w:pPr>
              <w:spacing w:after="0"/>
              <w:rPr>
                <w:sz w:val="20"/>
                <w:szCs w:val="20"/>
                <w:color w:val="auto"/>
              </w:rPr>
            </w:pPr>
            <w:r>
              <w:rPr>
                <w:rFonts w:ascii="Arial" w:cs="Arial" w:eastAsia="Arial" w:hAnsi="Arial"/>
                <w:sz w:val="18"/>
                <w:szCs w:val="18"/>
                <w:color w:val="auto"/>
              </w:rPr>
              <w:t>Basic earnings per share from continuing operations</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gridSpan w:val="2"/>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gridSpan w:val="2"/>
          </w:tcPr>
          <w:p>
            <w:pPr>
              <w:spacing w:after="0"/>
              <w:rPr>
                <w:sz w:val="20"/>
                <w:szCs w:val="20"/>
                <w:color w:val="auto"/>
              </w:rPr>
            </w:pPr>
            <w:r>
              <w:rPr>
                <w:rFonts w:ascii="Arial" w:cs="Arial" w:eastAsia="Arial" w:hAnsi="Arial"/>
                <w:sz w:val="18"/>
                <w:szCs w:val="18"/>
                <w:color w:val="auto"/>
              </w:rPr>
              <w:t>Dividends declared and paid per share</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Includes stock-based compensation expense as follows: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00"/>
              <w:spacing w:after="0"/>
              <w:rPr>
                <w:sz w:val="20"/>
                <w:szCs w:val="20"/>
                <w:color w:val="auto"/>
              </w:rPr>
            </w:pPr>
            <w:r>
              <w:rPr>
                <w:rFonts w:ascii="Arial" w:cs="Arial" w:eastAsia="Arial" w:hAnsi="Arial"/>
                <w:sz w:val="18"/>
                <w:szCs w:val="18"/>
                <w:color w:val="auto"/>
              </w:rPr>
              <w:t>Cost of sales</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3,392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11,372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800"/>
              <w:spacing w:after="0"/>
              <w:rPr>
                <w:sz w:val="20"/>
                <w:szCs w:val="20"/>
                <w:color w:val="auto"/>
              </w:rPr>
            </w:pPr>
            <w:r>
              <w:rPr>
                <w:rFonts w:ascii="Arial" w:cs="Arial" w:eastAsia="Arial" w:hAnsi="Arial"/>
                <w:sz w:val="18"/>
                <w:szCs w:val="18"/>
                <w:color w:val="auto"/>
              </w:rPr>
              <w:t>Selling, marketing, general and administrative</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9,213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10,128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color w:val="auto"/>
              </w:rPr>
              <w:t>May 2, 2009</w:t>
            </w:r>
          </w:p>
        </w:tc>
        <w:tc>
          <w:tcPr>
            <w:tcW w:w="1500" w:type="dxa"/>
            <w:vAlign w:val="bottom"/>
            <w:gridSpan w:val="4"/>
          </w:tcPr>
          <w:p>
            <w:pPr>
              <w:ind w:left="320"/>
              <w:spacing w:after="0"/>
              <w:rPr>
                <w:sz w:val="20"/>
                <w:szCs w:val="20"/>
                <w:color w:val="auto"/>
              </w:rPr>
            </w:pPr>
            <w:r>
              <w:rPr>
                <w:rFonts w:ascii="Arial" w:cs="Arial" w:eastAsia="Arial" w:hAnsi="Arial"/>
                <w:sz w:val="14"/>
                <w:szCs w:val="14"/>
                <w:color w:val="auto"/>
              </w:rPr>
              <w:t>November 1,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676,879</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608,599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228,520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Raw materials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16,558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 in process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208,936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304,834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Deferred tax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82,925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39,336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1,942,213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Land and buildings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384,573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1,514,864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62,707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66,069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2,028,213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1,512,276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2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515,937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investments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1,149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241,708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10,095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68,142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26,509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62,037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 other assets</w:t>
            </w:r>
          </w:p>
        </w:tc>
        <w:tc>
          <w:tcPr>
            <w:tcW w:w="2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417,189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2,875,339</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$2,261 and $2,632 related to stock-based compensation at May 2, 2009 and November 1, 2008,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w w:val="98"/>
              </w:rPr>
              <w:t>May 2, 2009</w:t>
            </w:r>
          </w:p>
        </w:tc>
        <w:tc>
          <w:tcPr>
            <w:tcW w:w="1460" w:type="dxa"/>
            <w:vAlign w:val="bottom"/>
            <w:gridSpan w:val="4"/>
          </w:tcPr>
          <w:p>
            <w:pPr>
              <w:ind w:left="280"/>
              <w:spacing w:after="0"/>
              <w:rPr>
                <w:sz w:val="20"/>
                <w:szCs w:val="20"/>
                <w:color w:val="auto"/>
              </w:rPr>
            </w:pPr>
            <w:r>
              <w:rPr>
                <w:rFonts w:ascii="Arial" w:cs="Arial" w:eastAsia="Arial" w:hAnsi="Arial"/>
                <w:sz w:val="14"/>
                <w:szCs w:val="14"/>
                <w:color w:val="auto"/>
              </w:rPr>
              <w:t>November 1,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85,565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124,792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10,934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137,332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365,048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7,548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90,040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1"/>
              </w:rPr>
              <w:t>Common stock, $0.16 2/3 par value, 1,200,000,000 shares authorized, 291,249,011 shares issued and outstanding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(291,193,451 on November 1, 2008)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48,542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2,401,875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2,420,251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2,875,339</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May 2, 2009</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ind w:left="18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76,703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$ 503,805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72,195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23,977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Income tax payments related to gain on sale of businesses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special charge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13,768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Other non-cash activity</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529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(52,875)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53,824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Total adjustments</w:t>
            </w: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59,203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(172,842)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135,906</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330,963</w:t>
            </w:r>
          </w:p>
        </w:tc>
        <w:tc>
          <w:tcPr>
            <w:tcW w:w="0" w:type="dxa"/>
            <w:vAlign w:val="bottom"/>
          </w:tcPr>
          <w:p>
            <w:pPr>
              <w:spacing w:after="0"/>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(847,583)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952,240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810,916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(expenditures) proceeds from sales of businesses (See Note 14)</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(34,281)</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assets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Net cash provided by investing activities</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(3,580)</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(524,802)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liability from common stock repurchases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2,920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benefit-stock options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Dividend payments to shareholders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(116,402)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(106,347)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(117,057)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(558,640)</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83,280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593,599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424,972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676,879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$ 414,361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MAY 2,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November 1, 2008 and related notes. The results of operations for the interim period shown in this report are not necessarily indicative of the results that may be expected for the fiscal year ending October 31, 2009 or any future period.</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sheets as of May 2, 2009 and November 1, 2008.</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2009 and fiscal 2008 are 52-week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reported in previous years have been reclassified to conform to the fiscal 2009 presentation. Such reclassified amounts were immaterial.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Revenue from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Distributors are granted price 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8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May 2, 2009 and November 1, 2008, the Company had gross deferred revenue of $204.7 million and $279.3 million, respectively, and gross deferred cost of sales of $79.9 million and $103.9 million, respectively. Deferred income on shipments to distributors as of May 2, 2009 was lower than the amount as of November 1, 2008 by $50.6 million, as a result of the distributors’ sales to their customers in the first six months of fiscal 2009 exceeding the Company’s shipments to its distributors during this same time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during either of the three- and six-month periods ended May 2, 2009 and May 3, 2008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—The Company uses the Black-Scholes option pricing model to calculate the grant-date fair value of an award.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Company’s stock option awards and the related estimated weighted-average assumptions to calculate the fair value of stock options granted during the three- and six-month periods ended May 2, 2009 and May 3, 2008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continue"/>
          </w:tcPr>
          <w:p>
            <w:pPr>
              <w:spacing w:after="0"/>
              <w:rPr>
                <w:sz w:val="12"/>
                <w:szCs w:val="12"/>
                <w:color w:val="auto"/>
              </w:rPr>
            </w:pPr>
          </w:p>
        </w:tc>
        <w:tc>
          <w:tcPr>
            <w:tcW w:w="132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May 2, 2009</w:t>
            </w:r>
          </w:p>
        </w:tc>
        <w:tc>
          <w:tcPr>
            <w:tcW w:w="13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May 3, 2008</w:t>
            </w:r>
          </w:p>
        </w:tc>
        <w:tc>
          <w:tcPr>
            <w:tcW w:w="480" w:type="dxa"/>
            <w:vAlign w:val="bottom"/>
          </w:tcPr>
          <w:p>
            <w:pPr>
              <w:spacing w:after="0"/>
              <w:rPr>
                <w:sz w:val="12"/>
                <w:szCs w:val="12"/>
                <w:color w:val="auto"/>
              </w:rPr>
            </w:pPr>
          </w:p>
        </w:tc>
        <w:tc>
          <w:tcPr>
            <w:tcW w:w="132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May 2, 2009</w:t>
            </w:r>
          </w:p>
        </w:tc>
        <w:tc>
          <w:tcPr>
            <w:tcW w:w="13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195</w:t>
            </w:r>
          </w:p>
        </w:tc>
        <w:tc>
          <w:tcPr>
            <w:tcW w:w="6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116</w:t>
            </w: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84"/>
              </w:rPr>
              <w:t>5,615</w:t>
            </w:r>
          </w:p>
        </w:tc>
        <w:tc>
          <w:tcPr>
            <w:tcW w:w="6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4"/>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exercise price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2"/>
              <w:spacing w:after="0"/>
              <w:rPr>
                <w:sz w:val="20"/>
                <w:szCs w:val="20"/>
                <w:color w:val="auto"/>
              </w:rPr>
            </w:pPr>
            <w:r>
              <w:rPr>
                <w:rFonts w:ascii="Arial" w:cs="Arial" w:eastAsia="Arial" w:hAnsi="Arial"/>
                <w:sz w:val="18"/>
                <w:szCs w:val="18"/>
                <w:color w:val="auto"/>
                <w:w w:val="84"/>
              </w:rPr>
              <w:t>19.99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28.17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2"/>
              <w:spacing w:after="0"/>
              <w:rPr>
                <w:sz w:val="20"/>
                <w:szCs w:val="20"/>
                <w:color w:val="auto"/>
              </w:rPr>
            </w:pPr>
            <w:r>
              <w:rPr>
                <w:rFonts w:ascii="Arial" w:cs="Arial" w:eastAsia="Arial" w:hAnsi="Arial"/>
                <w:sz w:val="18"/>
                <w:szCs w:val="18"/>
                <w:color w:val="auto"/>
                <w:w w:val="84"/>
              </w:rPr>
              <w:t>19.57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6.17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7.43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Assumptions: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47.8%</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33.0%</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59.1%</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340" w:type="dxa"/>
            <w:vAlign w:val="bottom"/>
          </w:tcPr>
          <w:p>
            <w:pPr>
              <w:spacing w:after="0"/>
              <w:rPr>
                <w:sz w:val="18"/>
                <w:szCs w:val="18"/>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8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amount of stock-based compensation expense recognized during a period is based on the value of the portion of the awards that are ultimately expected to vest. Statement of Financial Accounting Standards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May 2, 2009.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shares that vest.</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summary of the activity under the Company’s stock option plans as of May 2, 2009 and changes during the three- and six-month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0"/>
              </w:rPr>
              <w:t>Options</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1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May 2, 2009</w:t>
            </w:r>
          </w:p>
        </w:tc>
        <w:tc>
          <w:tcPr>
            <w:tcW w:w="2020" w:type="dxa"/>
            <w:vAlign w:val="bottom"/>
            <w:gridSpan w:val="4"/>
          </w:tcPr>
          <w:p>
            <w:pPr>
              <w:jc w:val="center"/>
              <w:ind w:left="415"/>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6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8"/>
        </w:trPr>
        <w:tc>
          <w:tcPr>
            <w:tcW w:w="4860" w:type="dxa"/>
            <w:vAlign w:val="bottom"/>
            <w:gridSpan w:val="2"/>
            <w:vMerge w:val="continue"/>
          </w:tcPr>
          <w:p>
            <w:pPr>
              <w:spacing w:after="0"/>
              <w:rPr>
                <w:sz w:val="15"/>
                <w:szCs w:val="15"/>
                <w:color w:val="auto"/>
              </w:rPr>
            </w:pPr>
          </w:p>
        </w:tc>
        <w:tc>
          <w:tcPr>
            <w:tcW w:w="202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91"/>
              </w:rPr>
              <w:t>(in thousands)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40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January 31, 2009</w:t>
            </w:r>
          </w:p>
        </w:tc>
        <w:tc>
          <w:tcPr>
            <w:tcW w:w="15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74,593</w:t>
            </w:r>
          </w:p>
        </w:tc>
        <w:tc>
          <w:tcPr>
            <w:tcW w:w="5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$35.39</w:t>
            </w:r>
          </w:p>
        </w:tc>
        <w:tc>
          <w:tcPr>
            <w:tcW w:w="1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195</w:t>
            </w:r>
          </w:p>
        </w:tc>
        <w:tc>
          <w:tcPr>
            <w:tcW w:w="500" w:type="dxa"/>
            <w:vAlign w:val="bottom"/>
          </w:tcPr>
          <w:p>
            <w:pPr>
              <w:spacing w:after="0"/>
              <w:rPr>
                <w:sz w:val="18"/>
                <w:szCs w:val="18"/>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$19.99</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20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(140)</w:t>
            </w: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$15.94</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2020" w:type="dxa"/>
            <w:vAlign w:val="bottom"/>
            <w:gridSpan w:val="4"/>
          </w:tcPr>
          <w:p>
            <w:pPr>
              <w:jc w:val="right"/>
              <w:ind w:right="460"/>
              <w:spacing w:after="0"/>
              <w:rPr>
                <w:sz w:val="20"/>
                <w:szCs w:val="20"/>
                <w:color w:val="auto"/>
              </w:rPr>
            </w:pPr>
            <w:r>
              <w:rPr>
                <w:rFonts w:ascii="Arial" w:cs="Arial" w:eastAsia="Arial" w:hAnsi="Arial"/>
                <w:sz w:val="18"/>
                <w:szCs w:val="18"/>
                <w:color w:val="auto"/>
              </w:rPr>
              <w:t>(182)</w:t>
            </w: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$32.09</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20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(1,634)</w:t>
            </w: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$39.90</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2, 2009</w:t>
            </w:r>
          </w:p>
        </w:tc>
        <w:tc>
          <w:tcPr>
            <w:tcW w:w="10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72,832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$35.29</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w w:val="87"/>
              </w:rPr>
              <w:t>17,267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May 2, 2009</w:t>
            </w:r>
          </w:p>
        </w:tc>
        <w:tc>
          <w:tcPr>
            <w:tcW w:w="10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53,977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$37.22</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8,399</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May 2, 2009 (1)</w:t>
            </w:r>
          </w:p>
        </w:tc>
        <w:tc>
          <w:tcPr>
            <w:tcW w:w="15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vMerge w:val="restart"/>
          </w:tcPr>
          <w:p>
            <w:pPr>
              <w:jc w:val="right"/>
              <w:ind w:right="515"/>
              <w:spacing w:after="0"/>
              <w:rPr>
                <w:sz w:val="20"/>
                <w:szCs w:val="20"/>
                <w:color w:val="auto"/>
              </w:rPr>
            </w:pPr>
            <w:r>
              <w:rPr>
                <w:rFonts w:ascii="Arial" w:cs="Arial" w:eastAsia="Arial" w:hAnsi="Arial"/>
                <w:sz w:val="18"/>
                <w:szCs w:val="18"/>
                <w:color w:val="auto"/>
              </w:rPr>
              <w:t>$35.46</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7"/>
              </w:rPr>
              <w:t>4.7</w:t>
            </w:r>
          </w:p>
        </w:tc>
        <w:tc>
          <w:tcPr>
            <w:tcW w:w="400" w:type="dxa"/>
            <w:vAlign w:val="bottom"/>
            <w:vMerge w:val="restart"/>
          </w:tcPr>
          <w:p>
            <w:pPr>
              <w:ind w:left="320"/>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ind w:right="174"/>
              <w:spacing w:after="0"/>
              <w:rPr>
                <w:sz w:val="20"/>
                <w:szCs w:val="20"/>
                <w:color w:val="auto"/>
              </w:rPr>
            </w:pPr>
            <w:r>
              <w:rPr>
                <w:rFonts w:ascii="Arial" w:cs="Arial" w:eastAsia="Arial" w:hAnsi="Arial"/>
                <w:sz w:val="18"/>
                <w:szCs w:val="18"/>
                <w:color w:val="auto"/>
                <w:w w:val="87"/>
              </w:rPr>
              <w:t>16,302</w:t>
            </w: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71,390</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jc w:val="center"/>
              <w:ind w:left="176"/>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Six Months Ended May 2, 2009</w:t>
            </w:r>
          </w:p>
        </w:tc>
        <w:tc>
          <w:tcPr>
            <w:tcW w:w="412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Options Outstanding</w:t>
            </w:r>
          </w:p>
        </w:tc>
        <w:tc>
          <w:tcPr>
            <w:tcW w:w="1640" w:type="dxa"/>
            <w:vAlign w:val="bottom"/>
          </w:tcPr>
          <w:p>
            <w:pPr>
              <w:jc w:val="center"/>
              <w:ind w:left="176"/>
              <w:spacing w:after="0" w:line="149" w:lineRule="exact"/>
              <w:rPr>
                <w:sz w:val="20"/>
                <w:szCs w:val="20"/>
                <w:color w:val="auto"/>
              </w:rPr>
            </w:pPr>
            <w:r>
              <w:rPr>
                <w:rFonts w:ascii="Arial" w:cs="Arial" w:eastAsia="Arial" w:hAnsi="Arial"/>
                <w:sz w:val="14"/>
                <w:szCs w:val="14"/>
                <w:b w:val="1"/>
                <w:bCs w:val="1"/>
                <w:color w:val="auto"/>
                <w:w w:val="93"/>
              </w:rPr>
              <w:t>Exercise Price Per</w:t>
            </w:r>
          </w:p>
        </w:tc>
        <w:tc>
          <w:tcPr>
            <w:tcW w:w="0" w:type="dxa"/>
            <w:vAlign w:val="bottom"/>
          </w:tcPr>
          <w:p>
            <w:pPr>
              <w:spacing w:after="0"/>
              <w:rPr>
                <w:sz w:val="1"/>
                <w:szCs w:val="1"/>
                <w:color w:val="auto"/>
              </w:rPr>
            </w:pPr>
          </w:p>
        </w:tc>
      </w:tr>
      <w:tr>
        <w:trPr>
          <w:trHeight w:val="178"/>
        </w:trPr>
        <w:tc>
          <w:tcPr>
            <w:tcW w:w="5660" w:type="dxa"/>
            <w:vAlign w:val="bottom"/>
            <w:gridSpan w:val="2"/>
            <w:vMerge w:val="continue"/>
          </w:tcPr>
          <w:p>
            <w:pPr>
              <w:spacing w:after="0"/>
              <w:rPr>
                <w:sz w:val="15"/>
                <w:szCs w:val="15"/>
                <w:color w:val="auto"/>
              </w:rPr>
            </w:pPr>
          </w:p>
        </w:tc>
        <w:tc>
          <w:tcPr>
            <w:tcW w:w="4120" w:type="dxa"/>
            <w:vAlign w:val="bottom"/>
            <w:gridSpan w:val="4"/>
            <w:vMerge w:val="continue"/>
          </w:tcPr>
          <w:p>
            <w:pPr>
              <w:spacing w:after="0"/>
              <w:rPr>
                <w:sz w:val="15"/>
                <w:szCs w:val="15"/>
                <w:color w:val="auto"/>
              </w:rPr>
            </w:pPr>
          </w:p>
        </w:tc>
        <w:tc>
          <w:tcPr>
            <w:tcW w:w="1640" w:type="dxa"/>
            <w:vAlign w:val="bottom"/>
          </w:tcPr>
          <w:p>
            <w:pPr>
              <w:jc w:val="center"/>
              <w:ind w:left="176"/>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November 1, 2008</w:t>
            </w:r>
          </w:p>
        </w:tc>
        <w:tc>
          <w:tcPr>
            <w:tcW w:w="33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70,340</w:t>
            </w:r>
          </w:p>
        </w:tc>
        <w:tc>
          <w:tcPr>
            <w:tcW w:w="7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5,615</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412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(183)</w:t>
            </w: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4120" w:type="dxa"/>
            <w:vAlign w:val="bottom"/>
            <w:gridSpan w:val="4"/>
          </w:tcPr>
          <w:p>
            <w:pPr>
              <w:jc w:val="right"/>
              <w:ind w:right="700"/>
              <w:spacing w:after="0"/>
              <w:rPr>
                <w:sz w:val="20"/>
                <w:szCs w:val="20"/>
                <w:color w:val="auto"/>
              </w:rPr>
            </w:pPr>
            <w:r>
              <w:rPr>
                <w:rFonts w:ascii="Arial" w:cs="Arial" w:eastAsia="Arial" w:hAnsi="Arial"/>
                <w:sz w:val="18"/>
                <w:szCs w:val="18"/>
                <w:color w:val="auto"/>
              </w:rPr>
              <w:t>(666)</w:t>
            </w: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412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(2,274)</w:t>
            </w: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2, 2009</w:t>
            </w:r>
          </w:p>
        </w:tc>
        <w:tc>
          <w:tcPr>
            <w:tcW w:w="28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72,832</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three and six months ended May 2, 2009, the total intrinsic value of options exercised (i.e., the difference between the market price at exercise and the price paid by the employee to exercise the options) was $0.6 million and $0.7 million, respectively, and the total amount of proceeds received from exercise of these options was $2.2 million and $3.0 million, respectively. Proceeds from stock option exercises pursuant to employee stock plans in the Company’s statement of cash flows during the six months ended May 2, 2009 of $2.9 million, is net of the value of shares surrendered by employees to satisfy employee tax obligations upon vesting of restricted stock or restricted stock units and in connection with the exercise of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options granted to the Company’s employees under the Company’s equity compensation plans. The withholding amount is based on the Company’s minimum statutory withholding requirement pursuant to SFAS 123R. The total grant-date fair value of stock options that vested during the three and six months ended May 2, 2009 was approximately $1.6 million and $72.1 million, respectively.</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three and six months ended May 3, 2008, the total intrinsic value of options exercised (i.e., the difference between the market price at exercise and the price paid by the employee to exercise the options) was $20.9 million and $76.5 million, respectively, and the total amount of cash received from exercise of these options was $37.7 million and $68.5 million, respectively. Proceeds from stock option exercises pursuant to employee stock plans in the Company’s statement of cash flows during the six months ended May 3, 2008 of $62.1 million, is net of the value of shares surrendered by employees to satisfy employee tax obligations upon vesting of restricted stock or restricted stock units and in connection with the exercise of stock options granted to the Company’s employees under the Company’s equity compensation plans. The total grant-date fair value of stock options that vested during the three and six months ended May 3, 2008 was approximately $1.3 million and $75.7 million, respectively.</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 activity as of May 2, 2009 and changes during the three- and six-month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660" w:type="dxa"/>
            <w:vAlign w:val="bottom"/>
            <w:gridSpan w:val="4"/>
          </w:tcPr>
          <w:p>
            <w:pPr>
              <w:jc w:val="center"/>
              <w:ind w:left="1879"/>
              <w:spacing w:after="0"/>
              <w:rPr>
                <w:sz w:val="20"/>
                <w:szCs w:val="20"/>
                <w:color w:val="auto"/>
              </w:rPr>
            </w:pPr>
            <w:r>
              <w:rPr>
                <w:rFonts w:ascii="Arial" w:cs="Arial" w:eastAsia="Arial" w:hAnsi="Arial"/>
                <w:sz w:val="14"/>
                <w:szCs w:val="14"/>
                <w:b w:val="1"/>
                <w:bCs w:val="1"/>
                <w:color w:val="auto"/>
                <w:w w:val="92"/>
              </w:rPr>
              <w:t>Restricted Shares</w:t>
            </w:r>
          </w:p>
        </w:tc>
        <w:tc>
          <w:tcPr>
            <w:tcW w:w="1500" w:type="dxa"/>
            <w:vAlign w:val="bottom"/>
          </w:tcPr>
          <w:p>
            <w:pPr>
              <w:jc w:val="center"/>
              <w:ind w:left="1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May 2, 2009</w:t>
            </w:r>
          </w:p>
        </w:tc>
        <w:tc>
          <w:tcPr>
            <w:tcW w:w="3660" w:type="dxa"/>
            <w:vAlign w:val="bottom"/>
            <w:gridSpan w:val="4"/>
          </w:tcPr>
          <w:p>
            <w:pPr>
              <w:jc w:val="center"/>
              <w:ind w:left="1879"/>
              <w:spacing w:after="0" w:line="149" w:lineRule="exact"/>
              <w:rPr>
                <w:sz w:val="20"/>
                <w:szCs w:val="20"/>
                <w:color w:val="auto"/>
              </w:rPr>
            </w:pPr>
            <w:r>
              <w:rPr>
                <w:rFonts w:ascii="Arial" w:cs="Arial" w:eastAsia="Arial" w:hAnsi="Arial"/>
                <w:sz w:val="14"/>
                <w:szCs w:val="14"/>
                <w:b w:val="1"/>
                <w:bCs w:val="1"/>
                <w:color w:val="auto"/>
                <w:w w:val="95"/>
              </w:rPr>
              <w:t>and/ or Units</w:t>
            </w:r>
          </w:p>
        </w:tc>
        <w:tc>
          <w:tcPr>
            <w:tcW w:w="150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8"/>
        </w:trPr>
        <w:tc>
          <w:tcPr>
            <w:tcW w:w="6260" w:type="dxa"/>
            <w:vAlign w:val="bottom"/>
            <w:gridSpan w:val="2"/>
            <w:vMerge w:val="continue"/>
          </w:tcPr>
          <w:p>
            <w:pPr>
              <w:spacing w:after="0"/>
              <w:rPr>
                <w:sz w:val="15"/>
                <w:szCs w:val="15"/>
                <w:color w:val="auto"/>
              </w:rPr>
            </w:pPr>
          </w:p>
        </w:tc>
        <w:tc>
          <w:tcPr>
            <w:tcW w:w="3660" w:type="dxa"/>
            <w:vAlign w:val="bottom"/>
            <w:gridSpan w:val="4"/>
          </w:tcPr>
          <w:p>
            <w:pPr>
              <w:jc w:val="center"/>
              <w:ind w:left="1879"/>
              <w:spacing w:after="0"/>
              <w:rPr>
                <w:sz w:val="20"/>
                <w:szCs w:val="20"/>
                <w:color w:val="auto"/>
              </w:rPr>
            </w:pPr>
            <w:r>
              <w:rPr>
                <w:rFonts w:ascii="Arial" w:cs="Arial" w:eastAsia="Arial" w:hAnsi="Arial"/>
                <w:sz w:val="14"/>
                <w:szCs w:val="14"/>
                <w:b w:val="1"/>
                <w:bCs w:val="1"/>
                <w:color w:val="auto"/>
                <w:w w:val="94"/>
              </w:rPr>
              <w:t>Outstanding</w:t>
            </w:r>
          </w:p>
        </w:tc>
        <w:tc>
          <w:tcPr>
            <w:tcW w:w="1500" w:type="dxa"/>
            <w:vAlign w:val="bottom"/>
          </w:tcPr>
          <w:p>
            <w:pPr>
              <w:jc w:val="center"/>
              <w:ind w:left="177"/>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January 31, 2009</w:t>
            </w:r>
          </w:p>
        </w:tc>
        <w:tc>
          <w:tcPr>
            <w:tcW w:w="29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7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296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8"/>
                <w:szCs w:val="18"/>
                <w:color w:val="auto"/>
              </w:rPr>
            </w:pPr>
          </w:p>
        </w:tc>
        <w:tc>
          <w:tcPr>
            <w:tcW w:w="1500" w:type="dxa"/>
            <w:vAlign w:val="bottom"/>
          </w:tcPr>
          <w:p>
            <w:pPr>
              <w:jc w:val="right"/>
              <w:ind w:right="337"/>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50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Non-vested shares outstanding at May 2, 2009</w:t>
            </w:r>
          </w:p>
        </w:tc>
        <w:tc>
          <w:tcPr>
            <w:tcW w:w="2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146</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00" w:type="dxa"/>
            <w:vAlign w:val="bottom"/>
          </w:tcPr>
          <w:p>
            <w:pPr>
              <w:jc w:val="right"/>
              <w:ind w:right="337"/>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660" w:type="dxa"/>
            <w:vAlign w:val="bottom"/>
            <w:gridSpan w:val="4"/>
          </w:tcPr>
          <w:p>
            <w:pPr>
              <w:jc w:val="center"/>
              <w:ind w:left="1879"/>
              <w:spacing w:after="0"/>
              <w:rPr>
                <w:sz w:val="20"/>
                <w:szCs w:val="20"/>
                <w:color w:val="auto"/>
              </w:rPr>
            </w:pPr>
            <w:r>
              <w:rPr>
                <w:rFonts w:ascii="Arial" w:cs="Arial" w:eastAsia="Arial" w:hAnsi="Arial"/>
                <w:sz w:val="14"/>
                <w:szCs w:val="14"/>
                <w:b w:val="1"/>
                <w:bCs w:val="1"/>
                <w:color w:val="auto"/>
                <w:w w:val="92"/>
              </w:rPr>
              <w:t>Restricted Shares</w:t>
            </w:r>
          </w:p>
        </w:tc>
        <w:tc>
          <w:tcPr>
            <w:tcW w:w="1500" w:type="dxa"/>
            <w:vAlign w:val="bottom"/>
            <w:vMerge w:val="restart"/>
          </w:tcPr>
          <w:p>
            <w:pPr>
              <w:jc w:val="center"/>
              <w:ind w:left="1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660" w:type="dxa"/>
            <w:vAlign w:val="bottom"/>
            <w:gridSpan w:val="4"/>
          </w:tcPr>
          <w:p>
            <w:pPr>
              <w:jc w:val="center"/>
              <w:ind w:left="1879"/>
              <w:spacing w:after="0" w:line="149" w:lineRule="exact"/>
              <w:rPr>
                <w:sz w:val="20"/>
                <w:szCs w:val="20"/>
                <w:color w:val="auto"/>
              </w:rPr>
            </w:pPr>
            <w:r>
              <w:rPr>
                <w:rFonts w:ascii="Arial" w:cs="Arial" w:eastAsia="Arial" w:hAnsi="Arial"/>
                <w:sz w:val="14"/>
                <w:szCs w:val="14"/>
                <w:b w:val="1"/>
                <w:bCs w:val="1"/>
                <w:color w:val="auto"/>
                <w:w w:val="95"/>
              </w:rPr>
              <w:t>and/ or Units</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Six Months Ended May 2, 2009</w:t>
            </w:r>
          </w:p>
        </w:tc>
        <w:tc>
          <w:tcPr>
            <w:tcW w:w="3660" w:type="dxa"/>
            <w:vAlign w:val="bottom"/>
            <w:gridSpan w:val="4"/>
          </w:tcPr>
          <w:p>
            <w:pPr>
              <w:jc w:val="center"/>
              <w:ind w:left="1879"/>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50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8"/>
        </w:trPr>
        <w:tc>
          <w:tcPr>
            <w:tcW w:w="6260" w:type="dxa"/>
            <w:vAlign w:val="bottom"/>
            <w:gridSpan w:val="2"/>
            <w:vMerge w:val="continue"/>
          </w:tcPr>
          <w:p>
            <w:pPr>
              <w:spacing w:after="0"/>
              <w:rPr>
                <w:sz w:val="15"/>
                <w:szCs w:val="15"/>
                <w:color w:val="auto"/>
              </w:rPr>
            </w:pPr>
          </w:p>
        </w:tc>
        <w:tc>
          <w:tcPr>
            <w:tcW w:w="3660" w:type="dxa"/>
            <w:vAlign w:val="bottom"/>
            <w:gridSpan w:val="4"/>
          </w:tcPr>
          <w:p>
            <w:pPr>
              <w:jc w:val="center"/>
              <w:ind w:left="1879"/>
              <w:spacing w:after="0"/>
              <w:rPr>
                <w:sz w:val="20"/>
                <w:szCs w:val="20"/>
                <w:color w:val="auto"/>
              </w:rPr>
            </w:pPr>
            <w:r>
              <w:rPr>
                <w:rFonts w:ascii="Arial" w:cs="Arial" w:eastAsia="Arial" w:hAnsi="Arial"/>
                <w:sz w:val="14"/>
                <w:szCs w:val="14"/>
                <w:b w:val="1"/>
                <w:bCs w:val="1"/>
                <w:color w:val="auto"/>
                <w:w w:val="89"/>
              </w:rPr>
              <w:t>(in thousands)</w:t>
            </w:r>
          </w:p>
        </w:tc>
        <w:tc>
          <w:tcPr>
            <w:tcW w:w="1500" w:type="dxa"/>
            <w:vAlign w:val="bottom"/>
          </w:tcPr>
          <w:p>
            <w:pPr>
              <w:jc w:val="center"/>
              <w:ind w:left="177"/>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November 1, 2008</w:t>
            </w:r>
          </w:p>
        </w:tc>
        <w:tc>
          <w:tcPr>
            <w:tcW w:w="29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7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296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700" w:type="dxa"/>
            <w:vAlign w:val="bottom"/>
          </w:tcPr>
          <w:p>
            <w:pPr>
              <w:spacing w:after="0"/>
              <w:rPr>
                <w:sz w:val="18"/>
                <w:szCs w:val="18"/>
                <w:color w:val="auto"/>
              </w:rPr>
            </w:pPr>
          </w:p>
        </w:tc>
        <w:tc>
          <w:tcPr>
            <w:tcW w:w="1500" w:type="dxa"/>
            <w:vAlign w:val="bottom"/>
          </w:tcPr>
          <w:p>
            <w:pPr>
              <w:jc w:val="right"/>
              <w:ind w:right="337"/>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50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680" w:type="dxa"/>
            <w:vAlign w:val="bottom"/>
          </w:tcPr>
          <w:p>
            <w:pPr>
              <w:spacing w:after="0"/>
              <w:rPr>
                <w:sz w:val="18"/>
                <w:szCs w:val="18"/>
                <w:color w:val="auto"/>
              </w:rPr>
            </w:pPr>
          </w:p>
        </w:tc>
        <w:tc>
          <w:tcPr>
            <w:tcW w:w="980" w:type="dxa"/>
            <w:vAlign w:val="bottom"/>
            <w:gridSpan w:val="3"/>
          </w:tcPr>
          <w:p>
            <w:pPr>
              <w:jc w:val="right"/>
              <w:ind w:right="660"/>
              <w:spacing w:after="0"/>
              <w:rPr>
                <w:sz w:val="20"/>
                <w:szCs w:val="20"/>
                <w:color w:val="auto"/>
              </w:rPr>
            </w:pPr>
            <w:r>
              <w:rPr>
                <w:rFonts w:ascii="Arial" w:cs="Arial" w:eastAsia="Arial" w:hAnsi="Arial"/>
                <w:sz w:val="18"/>
                <w:szCs w:val="18"/>
                <w:color w:val="auto"/>
              </w:rPr>
              <w:t>(3)</w:t>
            </w:r>
          </w:p>
        </w:tc>
        <w:tc>
          <w:tcPr>
            <w:tcW w:w="1500" w:type="dxa"/>
            <w:vAlign w:val="bottom"/>
          </w:tcPr>
          <w:p>
            <w:pPr>
              <w:jc w:val="right"/>
              <w:ind w:right="337"/>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2, 2009</w:t>
            </w:r>
          </w:p>
        </w:tc>
        <w:tc>
          <w:tcPr>
            <w:tcW w:w="2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7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of May 2, 2009, there was $130.2 million (before tax consideration) of total unrecognized compensation cost related to unvested share-based awards, including stock options, restricted stock and restricted stock units. That cost is expected to be recognized over a weighted-average period of 1.8 years.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2, 2009</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51,754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$ 129,892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5,546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Change in unrealized holding losses (net of taxes of $54 and $175, respectively) on securities classified as short-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w w:val="94"/>
              </w:rPr>
              <w:t>Change in unrealized holding gains (net of taxes of $142 and $1,003, respectively) on securities classified as other</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263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Change in unrealized gains (losses) (net of taxes of $1,459 and $201, respectively) on derivative instruments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8,906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Transition (obligation) asset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(loss) gain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14,087</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65,841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125,742</w:t>
            </w: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65,841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$ 128,936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2, 2009</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76,339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$ 251,740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4,174</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Change in unrealized holding (losses) gains (net of taxes of $350 and $201, respectively) on securities classified as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w w:val="95"/>
              </w:rPr>
              <w:t>Change in unrealized holding gains (net of taxes of $230 and $976, respectively) on securities classified as other</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Change in unrealized gains (losses) (net of taxes of $2,501 and $397, respectively) on derivative instruments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17,127</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Transition (obligation) asset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(loss) gain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18,012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94,351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245,140</w:t>
            </w: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94,715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$ 497,205</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ind w:left="56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at May 2, 2009 and November 1, 2008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auto"/>
              </w:rPr>
              <w:t>May 2, 2009</w:t>
            </w:r>
          </w:p>
        </w:tc>
        <w:tc>
          <w:tcPr>
            <w:tcW w:w="1480" w:type="dxa"/>
            <w:vAlign w:val="bottom"/>
            <w:gridSpan w:val="4"/>
          </w:tcPr>
          <w:p>
            <w:pPr>
              <w:ind w:left="300"/>
              <w:spacing w:after="0"/>
              <w:rPr>
                <w:sz w:val="20"/>
                <w:szCs w:val="20"/>
                <w:color w:val="auto"/>
              </w:rPr>
            </w:pPr>
            <w:r>
              <w:rPr>
                <w:rFonts w:ascii="Arial" w:cs="Arial" w:eastAsia="Arial" w:hAnsi="Arial"/>
                <w:sz w:val="14"/>
                <w:szCs w:val="14"/>
                <w:color w:val="auto"/>
              </w:rPr>
              <w:t>November 1,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5"/>
              </w:rPr>
              <w:t>(18,142)</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derivative instruments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(3,136)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Pension plans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service cost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Transition obligation</w:t>
            </w:r>
          </w:p>
        </w:tc>
        <w:tc>
          <w:tcPr>
            <w:tcW w:w="12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actuarial loss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(8,926)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Total accumulated other comprehensive loss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(30,166</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Statement of Financial Accounting Standards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the assumed proceeds under the treasury stock method include the average unrecognized compensation expense of stock options that are in-the-money. This results in the “assumed” buyback of additional shares, thereby reducing the dilutive impact of stock options. Potential future issuances of common stock related to certain of the Company’s outstanding stock options were excluded because they were anti-dilutive. Those potential future issuances of common stock, determined based on the weighted-average exercise prices during the respective periods, could be dilutive in the future.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ind w:lef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2, 2009</w:t>
            </w:r>
          </w:p>
        </w:tc>
        <w:tc>
          <w:tcPr>
            <w:tcW w:w="10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color w:val="auto"/>
                <w:w w:val="93"/>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51,754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129,892</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51,754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133,086</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291,227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290,389</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46</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291,227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290,389</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292,446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295,360</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60,965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4820" w:hanging="5612"/>
        <w:spacing w:after="0" w:line="523" w:lineRule="auto"/>
        <w:tabs>
          <w:tab w:leader="none" w:pos="45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sum of the individual per share amounts may not equal the total due to rounding.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ind w:lef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2, 2009</w:t>
            </w:r>
          </w:p>
        </w:tc>
        <w:tc>
          <w:tcPr>
            <w:tcW w:w="10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color w:val="auto"/>
                <w:w w:val="93"/>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76,339</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251,740</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364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252,065</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76,703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503,805</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291,207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294,765</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71</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291,207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294,765</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640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291,847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299,810</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68</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65,811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4820" w:hanging="5612"/>
        <w:spacing w:after="0" w:line="523" w:lineRule="auto"/>
        <w:tabs>
          <w:tab w:leader="none" w:pos="45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sum of the individual per share amounts may not equal the total due to rounding.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6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Reorganization</w:t>
            </w:r>
          </w:p>
        </w:tc>
        <w:tc>
          <w:tcPr>
            <w:tcW w:w="1340" w:type="dxa"/>
            <w:vAlign w:val="bottom"/>
            <w:gridSpan w:val="4"/>
          </w:tcPr>
          <w:p>
            <w:pPr>
              <w:ind w:left="160"/>
              <w:spacing w:after="0"/>
              <w:rPr>
                <w:sz w:val="20"/>
                <w:szCs w:val="20"/>
                <w:color w:val="auto"/>
              </w:rPr>
            </w:pPr>
            <w:r>
              <w:rPr>
                <w:rFonts w:ascii="Arial" w:cs="Arial" w:eastAsia="Arial" w:hAnsi="Arial"/>
                <w:sz w:val="14"/>
                <w:szCs w:val="14"/>
                <w:b w:val="1"/>
                <w:bCs w:val="1"/>
                <w:color w:val="auto"/>
              </w:rPr>
              <w:t>Consolidation</w:t>
            </w:r>
          </w:p>
        </w:tc>
        <w:tc>
          <w:tcPr>
            <w:tcW w:w="12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1"/>
              </w:rPr>
              <w:t>Reduction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9"/>
              </w:rPr>
              <w:t>Closure of Wafer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of Product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of a Wafer</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Closure of Wafer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2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Overhead</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Reduction of</w:t>
            </w:r>
          </w:p>
        </w:tc>
        <w:tc>
          <w:tcPr>
            <w:tcW w:w="1560" w:type="dxa"/>
            <w:vAlign w:val="bottom"/>
            <w:gridSpan w:val="3"/>
            <w:vMerge w:val="continue"/>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Special</w:t>
            </w:r>
          </w:p>
        </w:tc>
        <w:tc>
          <w:tcPr>
            <w:tcW w:w="0" w:type="dxa"/>
            <w:vAlign w:val="bottom"/>
          </w:tcPr>
          <w:p>
            <w:pPr>
              <w:spacing w:after="0"/>
              <w:rPr>
                <w:sz w:val="1"/>
                <w:szCs w:val="1"/>
                <w:color w:val="auto"/>
              </w:rPr>
            </w:pPr>
          </w:p>
        </w:tc>
      </w:tr>
      <w:tr>
        <w:trPr>
          <w:trHeight w:val="149"/>
        </w:trPr>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66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Fabrication Facility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Fabrication Facility</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in Sunnyvale</w:t>
            </w:r>
          </w:p>
        </w:tc>
        <w:tc>
          <w:tcPr>
            <w:tcW w:w="1480" w:type="dxa"/>
            <w:vAlign w:val="bottom"/>
            <w:gridSpan w:val="4"/>
          </w:tcPr>
          <w:p>
            <w:pPr>
              <w:ind w:left="140"/>
              <w:spacing w:after="0"/>
              <w:rPr>
                <w:sz w:val="20"/>
                <w:szCs w:val="20"/>
                <w:color w:val="auto"/>
              </w:rPr>
            </w:pPr>
            <w:r>
              <w:rPr>
                <w:rFonts w:ascii="Arial" w:cs="Arial" w:eastAsia="Arial" w:hAnsi="Arial"/>
                <w:sz w:val="14"/>
                <w:szCs w:val="14"/>
                <w:b w:val="1"/>
                <w:bCs w:val="1"/>
                <w:color w:val="auto"/>
              </w:rPr>
              <w:t>Support Programs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Limerick</w:t>
            </w:r>
          </w:p>
        </w:tc>
        <w:tc>
          <w:tcPr>
            <w:tcW w:w="1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Costs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Operating Costs</w:t>
            </w:r>
          </w:p>
        </w:tc>
        <w:tc>
          <w:tcPr>
            <w:tcW w:w="14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in Cambridge</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Charges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Workforce reductions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20,315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11,165</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Fiscal 2005</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Charges</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11,165</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Abandonment of</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Change in estimate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Fiscal 2006</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b w:val="1"/>
                <w:bCs w:val="1"/>
                <w:color w:val="auto"/>
              </w:rPr>
              <w:t>Charges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(2,029)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3,819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Facility closure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10,288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13,748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Other items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5"/>
        </w:trPr>
        <w:tc>
          <w:tcPr>
            <w:tcW w:w="19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Fiscal 2007</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b w:val="1"/>
                <w:bCs w:val="1"/>
                <w:color w:val="auto"/>
              </w:rPr>
              <w:t>Charges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10,288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4,111</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13,748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12,348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 Charges: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Workforce reductions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1,627</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Fiscal 2008</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b w:val="1"/>
                <w:bCs w:val="1"/>
                <w:color w:val="auto"/>
              </w:rPr>
              <w:t>Charges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1,627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 Charges: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Workforce reductions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26,583</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9,203</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Non-cash impairment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charge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12,929</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5"/>
        </w:trPr>
        <w:tc>
          <w:tcPr>
            <w:tcW w:w="19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Fiscal 2009</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b w:val="1"/>
                <w:bCs w:val="1"/>
                <w:color w:val="auto"/>
              </w:rPr>
              <w:t>Charges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30,333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22,132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Reorganization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12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1"/>
              </w:rPr>
              <w:t>Reduction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8"/>
              </w:rPr>
              <w:t>Closure of Wafer</w:t>
            </w:r>
          </w:p>
        </w:tc>
        <w:tc>
          <w:tcPr>
            <w:tcW w:w="14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of Product</w:t>
            </w: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of a Wafer</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Closure of Wafer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Development and</w:t>
            </w: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2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Overhead</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Reduction of</w:t>
            </w:r>
          </w:p>
        </w:tc>
        <w:tc>
          <w:tcPr>
            <w:tcW w:w="1560" w:type="dxa"/>
            <w:vAlign w:val="bottom"/>
            <w:gridSpan w:val="3"/>
            <w:vMerge w:val="continue"/>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Special</w:t>
            </w: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240" w:type="dxa"/>
            <w:vAlign w:val="bottom"/>
          </w:tcPr>
          <w:p>
            <w:pPr>
              <w:spacing w:after="0"/>
              <w:rPr>
                <w:sz w:val="12"/>
                <w:szCs w:val="12"/>
                <w:color w:val="auto"/>
              </w:rPr>
            </w:pPr>
          </w:p>
        </w:tc>
        <w:tc>
          <w:tcPr>
            <w:tcW w:w="15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Fabrication Facility</w:t>
            </w:r>
          </w:p>
        </w:tc>
        <w:tc>
          <w:tcPr>
            <w:tcW w:w="14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Support</w:t>
            </w:r>
          </w:p>
        </w:tc>
        <w:tc>
          <w:tcPr>
            <w:tcW w:w="1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Fabrication Facility</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in Sunnyvale</w:t>
            </w:r>
          </w:p>
        </w:tc>
        <w:tc>
          <w:tcPr>
            <w:tcW w:w="14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Limerick</w:t>
            </w:r>
          </w:p>
        </w:tc>
        <w:tc>
          <w:tcPr>
            <w:tcW w:w="1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Costs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Operating Costs</w:t>
            </w:r>
          </w:p>
        </w:tc>
        <w:tc>
          <w:tcPr>
            <w:tcW w:w="14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in Cambridge</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Charges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Balance at November 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2008</w:t>
            </w:r>
          </w:p>
        </w:tc>
        <w:tc>
          <w:tcPr>
            <w:tcW w:w="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1,747</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18,181</w:t>
            </w: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w w:val="88"/>
              </w:rPr>
              <w:t>Fiscal 2009 special charges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22,132</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Facility closure costs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impairment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(12,929)</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6"/>
              </w:rPr>
              <w:t>Effect of foreign currency</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on accrual</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Balance at January 31,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2009</w:t>
            </w:r>
          </w:p>
        </w:tc>
        <w:tc>
          <w:tcPr>
            <w:tcW w:w="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27,823</w:t>
            </w: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w w:val="88"/>
              </w:rPr>
              <w:t>Fiscal 2009 special charges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11,278</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(6,144)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Facility closure costs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impairment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Other items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Effect of foreign currency</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accrual</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Balance at May 2, 2009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9,203</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ceased production at its California wafer fabrication facility in November 2006. The Company is paying the lease obligation costs on a monthly basis over the remaining lease term, which expires in 2010. The Company completed the clean-up activity during fiscal 2007, and does not expect to incur any additional charges related to this action.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recorded special charges in fiscal years 2005, 2006 and 2007 as a result of its decision to reorganize its product development and support programs with the goal of providing greater focus on its analog and digital signal processing product programs. The Company terminated the employment of all employees associated with these programs and is paying amounts owed to employees for severance as income continuance. The Company does not expect to incur any further charges related to this reorganization action.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During the fourth quarter of fiscal 2007, the Company recorded a special charge of $13.7 million as a result of its decision to only use eight-inch technology at its wafer fabrication facility in Limerick. Certain manufacturing processes and products produced on the Limerick facility’s six-inch production line have transitioned to the Company’s existing eight-inch production line in Limerick while others have transitioned to external foundries. The charge was for severance and fringe benefit costs recorded pursuant to SFAS 88, </w:t>
      </w:r>
      <w:r>
        <w:rPr>
          <w:rFonts w:ascii="Arial" w:cs="Arial" w:eastAsia="Arial" w:hAnsi="Arial"/>
          <w:sz w:val="17"/>
          <w:szCs w:val="17"/>
          <w:i w:val="1"/>
          <w:iCs w:val="1"/>
          <w:color w:val="auto"/>
        </w:rPr>
        <w:t>Employers’ Accounting for Settlements and Curtailments of Defined Benefit Pension Plans</w:t>
      </w:r>
      <w:r>
        <w:rPr>
          <w:rFonts w:ascii="Arial" w:cs="Arial" w:eastAsia="Arial" w:hAnsi="Arial"/>
          <w:sz w:val="17"/>
          <w:szCs w:val="17"/>
          <w:color w:val="auto"/>
        </w:rPr>
        <w:t xml:space="preserve"> </w:t>
      </w:r>
      <w:r>
        <w:rPr>
          <w:rFonts w:ascii="Arial" w:cs="Arial" w:eastAsia="Arial" w:hAnsi="Arial"/>
          <w:sz w:val="17"/>
          <w:szCs w:val="17"/>
          <w:i w:val="1"/>
          <w:iCs w:val="1"/>
          <w:color w:val="auto"/>
        </w:rPr>
        <w:t>and for Termination Benefits</w:t>
      </w:r>
      <w:r>
        <w:rPr>
          <w:rFonts w:ascii="Arial" w:cs="Arial" w:eastAsia="Arial" w:hAnsi="Arial"/>
          <w:sz w:val="17"/>
          <w:szCs w:val="17"/>
          <w:color w:val="auto"/>
        </w:rPr>
        <w:t>, or SFAS 88, under the Company’s ongoing benefit plan for 150 manufacturing employees associated with this action. As of</w:t>
      </w:r>
      <w:r>
        <w:rPr>
          <w:rFonts w:ascii="Arial" w:cs="Arial" w:eastAsia="Arial" w:hAnsi="Arial"/>
          <w:sz w:val="17"/>
          <w:szCs w:val="17"/>
          <w:i w:val="1"/>
          <w:iCs w:val="1"/>
          <w:color w:val="auto"/>
        </w:rPr>
        <w:t xml:space="preserve"> </w:t>
      </w:r>
      <w:r>
        <w:rPr>
          <w:rFonts w:ascii="Arial" w:cs="Arial" w:eastAsia="Arial" w:hAnsi="Arial"/>
          <w:sz w:val="17"/>
          <w:szCs w:val="17"/>
          <w:color w:val="auto"/>
        </w:rPr>
        <w:t>May 2, 2009, the Company still employed 9 of the 150 employees included in this action. Most of the production in the six-inch wafer fabrication facility has ceased and the remaining production is expected to cease during the second half of fiscal 2009, at which time the employment of the remaining affected employees will be terminated. These employees must continue to be employed by the Company until their employment is involuntarily terminated in order to receive the severance benefit. During the fourth quarter of 2008, the Company recorded an additional charge of $1.5 million related to this action, of which $1.2 million was an adjustment to the original estimate of the severance costs and $0.3 million was for clean-up and closure costs that were expensed as incurred. During the first quarter of fiscal 2009, the Company recorded an additional charge of $0.6 million for clean-up and closure costs that were expensed as incurred. During the second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quarter of fiscal 2009, the Company recorded an additional charge of $0.6 million for clean-up and closure costs that were expensed as incurred. The Company does not expect to incur any further charges related to this action.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fourth quarter of fiscal 2007, the Company recorded a special charge as a result of its decision to either deemphasize or exit certain businesses or products and focus investments in products and end markets where it has better opportunities for profitable growth. In September 2007, the Company entered into a definitive agreement to sell its Baseband Chipset Business. As a result, the Company decided to reduce the support infrastructure in manufacturing, engineering and SMG&amp;A to more appropriately reflect its required overhead structure. The Company terminated the employment of all employees associated with these programs and is paying amounts owed to employees for severance as income continuance. The Company does not expect to incur any further charges related to this action.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recorded pursuant to SFAS 88 under its ongoing benefit plan or statutory requirements at foreign locations for 19 engineering and SMG&amp;A employees. The Company terminated the employment of all employees associated with this charge and is paying amounts owed to employees for severance as income continuance.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2009, the Company recorded an additional charge of $19.1 million related to this cost reduction action. Approximately</w:t>
      </w:r>
    </w:p>
    <w:p>
      <w:pPr>
        <w:spacing w:after="0" w:line="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$2.1 million of this charge was for lease obligation costs for facilities that the Company ceased using during the first quarter of fiscal 2009; approximately $0.8 million was for the write-off of property, plant and equipment; and approximately $0.6 million was for contract termination costs and for clean-up and closure costs that were expensed as incurred. The remaining $15.6 million related to the severance and fringe benefit costs recorded pursuant to SFAS 88 under the Company’s ongoing benefit plan or statutory requirements at foreign locations for 221 manufacturing employees and 149 engineering and selling, marketing, general and administrative employees. As of May 2, 2009, the Company still employed 6 of the 370 employees included in this cost reduction action. These employees must continue to be employed by the Company until their employment is involuntarily terminated in order to receive the severance benefit.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2009, the Company recorded an additional charge of $11.3 million related to this cost reduction action. Approximately</w:t>
      </w:r>
    </w:p>
    <w:p>
      <w:pPr>
        <w:spacing w:after="0" w:line="46"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$0.1 million was for the write-off of property, plant and equipment; and approximately $0.3 million was for clean-up and closure costs that were expensed as incurred. The remaining $10.9 million related to the severance and fringe benefit costs recorded pursuant to SFAS 88 under the Company’s ongoing benefit plan or statutory requirements at foreign locations for 24 manufacturing employees and 153 engineering and selling, marketing, general and administrative employees. As of May 2, 2009, the Company still employed 62 of the 177 employees included in this cost reduction action. These employees must continue to be employed by the Company until their employment is involuntarily terminated in order to receive the severance benefit.</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facilities’ manufacturing assets and concluded that there was an impairment of approximately $12.9 million based on the revised period of intended use. The remaining $9.2 million was for severance and fringe benefit costs recorded pursuant to SFAS 88 under the Company’s ongoing benefit plan for 175 manufacturing employees and 9 selling, marketing, general and administrative employees associated with this action. As of May 2, 2009, the Company still employed all of the employees included in this action. The Company expects production to cease in the Cambridge fabrication facility during the fourth quarter of fiscal 2009, at which time the employment of the affected employees will be terminated. These employees must continue to be employed by the Company until their employment is involuntarily terminated in order to receive the severance benefit.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May 2, 2009</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7"/>
              </w:rPr>
              <w:t>May 3,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9"/>
              </w:rPr>
              <w:t>Revenue</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 of Revenue *</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Y/Y%</w:t>
            </w: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Revenue</w:t>
            </w: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$ 245,329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$ 355,908</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Communications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137,270</w:t>
            </w:r>
          </w:p>
        </w:tc>
        <w:tc>
          <w:tcPr>
            <w:tcW w:w="2040" w:type="dxa"/>
            <w:vAlign w:val="bottom"/>
            <w:gridSpan w:val="3"/>
          </w:tcPr>
          <w:p>
            <w:pPr>
              <w:jc w:val="right"/>
              <w:ind w:right="540"/>
              <w:spacing w:after="0"/>
              <w:rPr>
                <w:sz w:val="20"/>
                <w:szCs w:val="20"/>
                <w:color w:val="auto"/>
              </w:rPr>
            </w:pPr>
            <w:r>
              <w:rPr>
                <w:rFonts w:ascii="Arial" w:cs="Arial" w:eastAsia="Arial" w:hAnsi="Arial"/>
                <w:sz w:val="18"/>
                <w:szCs w:val="18"/>
                <w:color w:val="auto"/>
              </w:rPr>
              <w:t>29%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146,953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78,928</w:t>
            </w:r>
          </w:p>
        </w:tc>
        <w:tc>
          <w:tcPr>
            <w:tcW w:w="2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122,956</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Computer</w:t>
            </w:r>
          </w:p>
        </w:tc>
        <w:tc>
          <w:tcPr>
            <w:tcW w:w="700" w:type="dxa"/>
            <w:vAlign w:val="bottom"/>
          </w:tcPr>
          <w:p>
            <w:pPr>
              <w:jc w:val="right"/>
              <w:spacing w:after="0"/>
              <w:rPr>
                <w:sz w:val="20"/>
                <w:szCs w:val="20"/>
                <w:color w:val="auto"/>
              </w:rPr>
            </w:pPr>
            <w:r>
              <w:rPr>
                <w:rFonts w:ascii="Arial" w:cs="Arial" w:eastAsia="Arial" w:hAnsi="Arial"/>
                <w:sz w:val="18"/>
                <w:szCs w:val="18"/>
                <w:color w:val="auto"/>
              </w:rPr>
              <w:t>13,221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23,523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$ 474,748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$ 649,340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May 2, 2009</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Revenue</w:t>
            </w:r>
          </w:p>
        </w:tc>
        <w:tc>
          <w:tcPr>
            <w:tcW w:w="2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 of Revenue*</w:t>
            </w:r>
          </w:p>
        </w:tc>
        <w:tc>
          <w:tcPr>
            <w:tcW w:w="114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Y/Y%</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Revenue</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of Revenue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$ 502,999</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688,632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Communications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264,790</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277,317</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154,454</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249,765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Computer</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29,074</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47,535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4"/>
              </w:rPr>
              <w:t>$ 951,317</w:t>
            </w:r>
          </w:p>
        </w:tc>
        <w:tc>
          <w:tcPr>
            <w:tcW w:w="1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9"/>
              </w:rPr>
              <w:t>1,263,249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7"/>
              </w:rPr>
              <w:t>May 2, 2009</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7"/>
              </w:rPr>
              <w:t>May 3,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9"/>
              </w:rPr>
              <w:t>Revenue</w:t>
            </w:r>
          </w:p>
        </w:tc>
        <w:tc>
          <w:tcPr>
            <w:tcW w:w="220" w:type="dxa"/>
            <w:vAlign w:val="bottom"/>
            <w:tcBorders>
              <w:top w:val="single" w:sz="8" w:color="auto"/>
            </w:tcBorders>
            <w:gridSpan w:val="2"/>
          </w:tcPr>
          <w:p>
            <w:pPr>
              <w:spacing w:after="0"/>
              <w:rPr>
                <w:sz w:val="12"/>
                <w:szCs w:val="12"/>
                <w:color w:val="auto"/>
              </w:rPr>
            </w:pPr>
          </w:p>
        </w:tc>
        <w:tc>
          <w:tcPr>
            <w:tcW w:w="204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 of Revenue*</w:t>
            </w:r>
          </w:p>
        </w:tc>
        <w:tc>
          <w:tcPr>
            <w:tcW w:w="14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Y/Y%</w:t>
            </w:r>
          </w:p>
        </w:tc>
        <w:tc>
          <w:tcPr>
            <w:tcW w:w="7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Revenue</w:t>
            </w:r>
          </w:p>
        </w:tc>
        <w:tc>
          <w:tcPr>
            <w:tcW w:w="1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229,665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297,646</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Amplifiers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123,666</w:t>
            </w:r>
          </w:p>
        </w:tc>
        <w:tc>
          <w:tcPr>
            <w:tcW w:w="200" w:type="dxa"/>
            <w:vAlign w:val="bottom"/>
          </w:tcPr>
          <w:p>
            <w:pPr>
              <w:spacing w:after="0"/>
              <w:rPr>
                <w:sz w:val="18"/>
                <w:szCs w:val="18"/>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170,561</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54,279</w:t>
            </w:r>
          </w:p>
        </w:tc>
        <w:tc>
          <w:tcPr>
            <w:tcW w:w="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81,818</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407,610</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86%</w:t>
            </w:r>
          </w:p>
        </w:tc>
        <w:tc>
          <w:tcPr>
            <w:tcW w:w="1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550,025</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34,701</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435,799</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92%</w:t>
            </w:r>
          </w:p>
        </w:tc>
        <w:tc>
          <w:tcPr>
            <w:tcW w:w="1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584,726</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38,210</w:t>
            </w:r>
          </w:p>
        </w:tc>
        <w:tc>
          <w:tcPr>
            <w:tcW w:w="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58,281</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DSP</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6,333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38,949</w:t>
            </w:r>
          </w:p>
        </w:tc>
        <w:tc>
          <w:tcPr>
            <w:tcW w:w="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64,614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474,748</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649,340</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May 2, 2009</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5"/>
              </w:rPr>
              <w:t>Revenue</w:t>
            </w:r>
          </w:p>
        </w:tc>
        <w:tc>
          <w:tcPr>
            <w:tcW w:w="260" w:type="dxa"/>
            <w:vAlign w:val="bottom"/>
            <w:tcBorders>
              <w:top w:val="single" w:sz="8" w:color="auto"/>
            </w:tcBorders>
            <w:gridSpan w:val="2"/>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 of Revenue*</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Y/Y%</w:t>
            </w: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5"/>
              </w:rPr>
              <w:t>Revenue</w:t>
            </w: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455,685</w:t>
            </w:r>
          </w:p>
        </w:tc>
        <w:tc>
          <w:tcPr>
            <w:tcW w:w="2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578,541</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253,641</w:t>
            </w:r>
          </w:p>
        </w:tc>
        <w:tc>
          <w:tcPr>
            <w:tcW w:w="240" w:type="dxa"/>
            <w:vAlign w:val="bottom"/>
          </w:tcPr>
          <w:p>
            <w:pPr>
              <w:spacing w:after="0"/>
              <w:rPr>
                <w:sz w:val="18"/>
                <w:szCs w:val="18"/>
                <w:color w:val="auto"/>
              </w:rPr>
            </w:pP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27%</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326,466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105,284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162,661</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814,610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86%</w:t>
            </w:r>
          </w:p>
        </w:tc>
        <w:tc>
          <w:tcPr>
            <w:tcW w:w="1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1,067,668</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54,323</w:t>
            </w:r>
          </w:p>
        </w:tc>
        <w:tc>
          <w:tcPr>
            <w:tcW w:w="2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68,116</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868,933</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91%</w:t>
            </w:r>
          </w:p>
        </w:tc>
        <w:tc>
          <w:tcPr>
            <w:tcW w:w="1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1,135,784</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78,321</w:t>
            </w:r>
          </w:p>
        </w:tc>
        <w:tc>
          <w:tcPr>
            <w:tcW w:w="2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113,400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14,065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82,384</w:t>
            </w:r>
          </w:p>
        </w:tc>
        <w:tc>
          <w:tcPr>
            <w:tcW w:w="1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9%</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127,465</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951,317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1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1,263,249</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region, based upon customer location, for the three- and six-month periods ended May 2, 2009 and May 3, 2008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120" w:type="dxa"/>
            <w:vAlign w:val="bottom"/>
          </w:tcPr>
          <w:p>
            <w:pPr>
              <w:spacing w:after="0"/>
              <w:rPr>
                <w:sz w:val="14"/>
                <w:szCs w:val="14"/>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May 3, 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97,055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$ 131,008</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$ 204,387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20,456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24,127</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39,753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120,855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174,759</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248,600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71,535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128,247</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144,269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99,345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99,431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189,057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Rest of Asia</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65,502</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91,768</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125,251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2"/>
              </w:rPr>
              <w:t>474,748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$ 649,340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$ 951,317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1,263,249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three- and six-month periods ended May 2, 2009 the predominant countries comprising “Rest of North and South America” are Canada and Mexico; the predominant countries comprising “Europe” are Germany, Sweden, France and Italy; and the predominant countries comprising “Rest of Asia” are Taiwan and Korea.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three- and six-month periods ended May 3, 2008 the predominant countries comprising “Rest of North and South America” are Canada and Mexico; the predominant countries comprising “Europe” are Germany, France, the United Kingdom and Italy; and the predominant countries comprising “Rest of Asia” are Taiwan and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 xml:space="preserve">The Company adopted Statement of Financial Accounting Standard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at the beginning of fiscal year 2009. SFAS 157 defines fair value, establishes a framework for measuring fair value in accordance with generally accepted accounting principles, and expands disclosures about fair value measurements. SFAS 157 is effective for non-financial assets and liabilities in financial statements issued for fiscal years beginning after November 15, 2008, which is the Company’s fiscal year 2010. The adoption of SFAS 157 did not impact the Company’s consolidated financial position or results of operations. SFAS 157 defines fair value as the price that would be received to sell an asset or paid to transfer a liability in an orderly transaction between market participants at the measurement date. SFAS 157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under SFAS 157 are described below:</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the asset or liability has a specified (contractual) term, a Level 2 input must be observable for substantially the full term of the asset or liability.</w:t>
      </w:r>
    </w:p>
    <w:p>
      <w:pPr>
        <w:spacing w:after="0" w:line="1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May 2, 2009, the Company held no Level 3 assets or liabilities.</w:t>
      </w:r>
    </w:p>
    <w:p>
      <w:pPr>
        <w:spacing w:after="0" w:line="6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table below sets forth by level the Company’s financial assets and liabilities that were accounted for at fair value as of May 2, 2009. The table does not include cash on hand and also does not include assets and liabilities that are measured at historical cost or any basis other than fair value.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tcPr>
          <w:p>
            <w:pPr>
              <w:jc w:val="center"/>
              <w:ind w:left="416"/>
              <w:spacing w:after="0"/>
              <w:rPr>
                <w:sz w:val="20"/>
                <w:szCs w:val="20"/>
                <w:color w:val="auto"/>
              </w:rPr>
            </w:pPr>
            <w:r>
              <w:rPr>
                <w:rFonts w:ascii="Arial" w:cs="Arial" w:eastAsia="Arial" w:hAnsi="Arial"/>
                <w:sz w:val="14"/>
                <w:szCs w:val="14"/>
                <w:b w:val="1"/>
                <w:bCs w:val="1"/>
                <w:color w:val="auto"/>
                <w:w w:val="93"/>
              </w:rPr>
              <w:t>Fair Value measurement at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Portion of Carrying</w:t>
            </w: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left="436"/>
              <w:spacing w:after="0"/>
              <w:rPr>
                <w:sz w:val="20"/>
                <w:szCs w:val="20"/>
                <w:color w:val="auto"/>
              </w:rPr>
            </w:pPr>
            <w:r>
              <w:rPr>
                <w:rFonts w:ascii="Arial" w:cs="Arial" w:eastAsia="Arial" w:hAnsi="Arial"/>
                <w:sz w:val="14"/>
                <w:szCs w:val="14"/>
                <w:b w:val="1"/>
                <w:bCs w:val="1"/>
                <w:color w:val="auto"/>
                <w:w w:val="92"/>
              </w:rPr>
              <w:t>Reporting Date using:</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14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00" w:type="dxa"/>
            <w:vAlign w:val="bottom"/>
          </w:tcPr>
          <w:p>
            <w:pPr>
              <w:spacing w:after="0"/>
              <w:rPr>
                <w:sz w:val="10"/>
                <w:szCs w:val="10"/>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Value Measured at</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5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9"/>
              </w:rPr>
              <w:t>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May 2, 2009</w:t>
            </w:r>
          </w:p>
        </w:tc>
        <w:tc>
          <w:tcPr>
            <w:tcW w:w="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b w:val="1"/>
                <w:bCs w:val="1"/>
                <w:color w:val="auto"/>
              </w:rPr>
              <w:t>Cash Equivalents: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Institutional money market funds</w:t>
            </w:r>
          </w:p>
        </w:tc>
        <w:tc>
          <w:tcPr>
            <w:tcW w:w="214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275,437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275,437</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Corporate obligations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380,746</w:t>
            </w:r>
          </w:p>
        </w:tc>
        <w:tc>
          <w:tcPr>
            <w:tcW w:w="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Euro time deposits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b w:val="1"/>
                <w:bCs w:val="1"/>
                <w:color w:val="auto"/>
              </w:rPr>
              <w:t>Short—term investments: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obligations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608,599</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b w:val="1"/>
                <w:bCs w:val="1"/>
                <w:color w:val="auto"/>
              </w:rPr>
              <w:t>Other Assets: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compensation investments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8,669</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1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214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1,275,134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285,255</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989,879</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Forward foreign currency exchange contracts</w:t>
            </w:r>
          </w:p>
        </w:tc>
        <w:tc>
          <w:tcPr>
            <w:tcW w:w="214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3,671</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80" w:type="dxa"/>
            <w:vAlign w:val="bottom"/>
            <w:vMerge w:val="restart"/>
          </w:tcPr>
          <w:p>
            <w:pPr>
              <w:jc w:val="right"/>
              <w:ind w:right="75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model based on current market rates.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Deferred compensation plan investments and other investments </w:t>
      </w:r>
      <w:r>
        <w:rPr>
          <w:rFonts w:ascii="Arial" w:cs="Arial" w:eastAsia="Arial" w:hAnsi="Arial"/>
          <w:sz w:val="18"/>
          <w:szCs w:val="18"/>
          <w:color w:val="auto"/>
        </w:rPr>
        <w:t>— The fair value of these investments is based on quoted market prices.</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accounted for as cash flow hedges and those that are not designated as cash flow hedges, is based on the estimated amount the Company would receive to sell these agreements at the reporting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enters into forward foreign currency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Euro; other exposures include the Philippine Peso and British Pounds Sterling. These foreign currency exchange contracts are entered into to support purchases and financing transactions made in the normal course of business, and accordingly, are not speculative in nature. In accordance with Statement of Financial Accounting Standards No. 133 (SFAS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hedges related to anticipated transactions are designated and documented at the inception of the respective hedges as cash flow hedges and are evaluated for effectiveness monthly.</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records all derivative financial instruments in the consolidated financial statements in other current assets or accrued liabilities, depending on their net position, at fair value regardless of the purpose or intent for holding the derivative contract. Changes in the fair value of the derivative financial instruments are either recognized periodically in earnings or in shareholders’ equity as a component of accumulated other comprehensive (loss) income (OCI) depending on whether the derivative financial instrument qualifies for hedge accounting as defined by SFAS 133. Changes in fair values of derivatives not qualifying for hedge accounting are reported in earnings as they occur.</w:t>
      </w:r>
    </w:p>
    <w:p>
      <w:pPr>
        <w:spacing w:after="0" w:line="8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has international sales and purchase transactions in foreign currencies and has a policy of</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forecasted and actual foreign currency risk with forward foreign currency exchange contracts. The Company’s forward foreign currency exchange contracts are denominated primarily in Euro and other currencies including Philippine Peso and British Pounds Sterling. The contracts are for periods consistent with the terms of the underlying transactions, generally one year or less. Derivative instruments are employed to eliminate or minimize certain foreign currency exposures that can be confidently identified and quantified. In accordance with SFAS 133, hedges related to anticipated transactions are designated and documented at the inception of the respective hedges as cash flow hedges and are evaluated for effectiveness monthly.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OCI in shareholders’ equity and reclassified into earnings in the same period during which the hedged transaction affects earnings. Any residual change in fair value of the instruments, or ineffectiveness, is recognized immediately in other income/expense.</w:t>
      </w:r>
    </w:p>
    <w:p>
      <w:pPr>
        <w:spacing w:after="0" w:line="6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income/expense immediately as an offset to the changes in the fair value of the asset or liability being hedged. As of May 2, 2009, the total notional amount of these undesignated hedges was $42.8 million. The fair value of these hedging instruments in our condensed consolidated balance sheet as of May 2, 2009 was immaterial.</w:t>
      </w:r>
    </w:p>
    <w:p>
      <w:pPr>
        <w:spacing w:after="0" w:line="8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foreign exchange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73"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The total notional amount of derivative instruments designated as hedging instruments under SFAS 133 as of May 2, 2009 was $139 million, which is comprised of cash flow hedges denominated in Euros, British Pounds Sterling and Philippine Pesos. The fair value of these hedging instruments in our condensed consolidated balance sheet as of May 2, 2009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60" w:type="dxa"/>
            <w:vAlign w:val="bottom"/>
          </w:tcPr>
          <w:p>
            <w:pPr>
              <w:spacing w:after="0"/>
              <w:rPr>
                <w:sz w:val="14"/>
                <w:szCs w:val="14"/>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Balance Sheet Location</w:t>
            </w:r>
          </w:p>
        </w:tc>
        <w:tc>
          <w:tcPr>
            <w:tcW w:w="1080" w:type="dxa"/>
            <w:vAlign w:val="bottom"/>
          </w:tcPr>
          <w:p>
            <w:pPr>
              <w:ind w:left="240"/>
              <w:spacing w:after="0"/>
              <w:rPr>
                <w:sz w:val="20"/>
                <w:szCs w:val="20"/>
                <w:color w:val="auto"/>
              </w:rPr>
            </w:pPr>
            <w:r>
              <w:rPr>
                <w:rFonts w:ascii="Arial" w:cs="Arial" w:eastAsia="Arial" w:hAnsi="Arial"/>
                <w:sz w:val="14"/>
                <w:szCs w:val="14"/>
                <w:color w:val="auto"/>
              </w:rPr>
              <w:t>Fair Value</w:t>
            </w:r>
          </w:p>
        </w:tc>
      </w:tr>
      <w:tr>
        <w:trPr>
          <w:trHeight w:val="411"/>
        </w:trPr>
        <w:tc>
          <w:tcPr>
            <w:tcW w:w="8460" w:type="dxa"/>
            <w:vAlign w:val="bottom"/>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Accrued</w:t>
            </w:r>
          </w:p>
        </w:tc>
        <w:tc>
          <w:tcPr>
            <w:tcW w:w="5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188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Liabilities</w:t>
            </w:r>
          </w:p>
        </w:tc>
        <w:tc>
          <w:tcPr>
            <w:tcW w:w="1080" w:type="dxa"/>
            <w:vAlign w:val="bottom"/>
          </w:tcPr>
          <w:p>
            <w:pPr>
              <w:ind w:left="240"/>
              <w:spacing w:after="0"/>
              <w:rPr>
                <w:sz w:val="20"/>
                <w:szCs w:val="20"/>
                <w:color w:val="auto"/>
              </w:rPr>
            </w:pPr>
            <w:r>
              <w:rPr>
                <w:rFonts w:ascii="Arial" w:cs="Arial" w:eastAsia="Arial" w:hAnsi="Arial"/>
                <w:sz w:val="18"/>
                <w:szCs w:val="18"/>
                <w:color w:val="auto"/>
              </w:rPr>
              <w:t>$3,671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designated as cash flow hedges on our condensed consolidated statement of income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2, 2009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8140" w:type="dxa"/>
            <w:vAlign w:val="bottom"/>
            <w:vMerge w:val="restart"/>
          </w:tcPr>
          <w:p>
            <w:pPr>
              <w:spacing w:after="0"/>
              <w:rPr>
                <w:sz w:val="20"/>
                <w:szCs w:val="20"/>
                <w:color w:val="auto"/>
              </w:rPr>
            </w:pPr>
            <w:r>
              <w:rPr>
                <w:rFonts w:ascii="Arial" w:cs="Arial" w:eastAsia="Arial" w:hAnsi="Arial"/>
                <w:sz w:val="18"/>
                <w:szCs w:val="18"/>
                <w:color w:val="auto"/>
              </w:rPr>
              <w:t>Gain recognized in OCI on derivative, net of tax of $2,400 and $4,349, respectively</w:t>
            </w:r>
          </w:p>
        </w:tc>
        <w:tc>
          <w:tcPr>
            <w:tcW w:w="16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May 2, 2009</w:t>
            </w: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95"/>
        </w:trPr>
        <w:tc>
          <w:tcPr>
            <w:tcW w:w="8140" w:type="dxa"/>
            <w:vAlign w:val="bottom"/>
            <w:vMerge w:val="continue"/>
          </w:tcPr>
          <w:p>
            <w:pPr>
              <w:spacing w:after="0"/>
              <w:rPr>
                <w:sz w:val="16"/>
                <w:szCs w:val="16"/>
                <w:color w:val="auto"/>
              </w:rPr>
            </w:pP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450"/>
              <w:spacing w:after="0" w:line="195" w:lineRule="exact"/>
              <w:rPr>
                <w:sz w:val="20"/>
                <w:szCs w:val="20"/>
                <w:color w:val="auto"/>
              </w:rPr>
            </w:pPr>
            <w:r>
              <w:rPr>
                <w:rFonts w:ascii="Arial" w:cs="Arial" w:eastAsia="Arial" w:hAnsi="Arial"/>
                <w:sz w:val="18"/>
                <w:szCs w:val="18"/>
                <w:color w:val="auto"/>
                <w:w w:val="87"/>
              </w:rPr>
              <w:t>14,648</w:t>
            </w:r>
          </w:p>
        </w:tc>
        <w:tc>
          <w:tcPr>
            <w:tcW w:w="500" w:type="dxa"/>
            <w:vAlign w:val="bottom"/>
          </w:tcPr>
          <w:p>
            <w:pPr>
              <w:spacing w:after="0"/>
              <w:rPr>
                <w:sz w:val="16"/>
                <w:szCs w:val="16"/>
                <w:color w:val="auto"/>
              </w:rPr>
            </w:pPr>
          </w:p>
        </w:tc>
        <w:tc>
          <w:tcPr>
            <w:tcW w:w="1180" w:type="dxa"/>
            <w:vAlign w:val="bottom"/>
          </w:tcPr>
          <w:p>
            <w:pPr>
              <w:jc w:val="right"/>
              <w:ind w:right="262"/>
              <w:spacing w:after="0" w:line="195" w:lineRule="exact"/>
              <w:rPr>
                <w:sz w:val="20"/>
                <w:szCs w:val="20"/>
                <w:color w:val="auto"/>
              </w:rPr>
            </w:pPr>
            <w:r>
              <w:rPr>
                <w:rFonts w:ascii="Arial" w:cs="Arial" w:eastAsia="Arial" w:hAnsi="Arial"/>
                <w:sz w:val="18"/>
                <w:szCs w:val="18"/>
                <w:color w:val="auto"/>
              </w:rPr>
              <w:t>$30,029</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Loss reclassified from OCI into income, net of tax of $941 and $1,848, respectively</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5,742</w:t>
            </w:r>
          </w:p>
        </w:tc>
        <w:tc>
          <w:tcPr>
            <w:tcW w:w="1680" w:type="dxa"/>
            <w:vAlign w:val="bottom"/>
            <w:gridSpan w:val="2"/>
          </w:tcPr>
          <w:p>
            <w:pPr>
              <w:jc w:val="right"/>
              <w:ind w:right="262"/>
              <w:spacing w:after="0"/>
              <w:rPr>
                <w:sz w:val="20"/>
                <w:szCs w:val="20"/>
                <w:color w:val="auto"/>
              </w:rPr>
            </w:pPr>
            <w:r>
              <w:rPr>
                <w:rFonts w:ascii="Arial" w:cs="Arial" w:eastAsia="Arial" w:hAnsi="Arial"/>
                <w:sz w:val="18"/>
                <w:szCs w:val="18"/>
                <w:color w:val="auto"/>
              </w:rPr>
              <w:t>$12,902</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amounts reclassified into earnings before tax are recognized in cost of sales and operating expenses as follows: for the three month period ended May 2, 2009, $3.0 million in cost of sales, $2.0 million in research and development and $1.7 million in selling, marketing, general and administrative; and for the six month period ended May 2, 2009, $6.6 million in cost of sales, $4.4 million in research and development and $3.7 million in selling, marketing, general and administrative. All derivative gains included in OCI will be reclassified into earnings within the next 12 months. Ineffectiveness was immaterial for the three and six months ended May 2,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 annually evaluates goodwill for impairment as well as whenever events or changes in circumstances suggest that the carrying value of goodwill may not be recoverable. Because the Company has one reporting segment under Statement of Financial Accounting Standards No. 142,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w:t>
      </w:r>
      <w:r>
        <w:rPr>
          <w:rFonts w:ascii="Arial" w:cs="Arial" w:eastAsia="Arial" w:hAnsi="Arial"/>
          <w:sz w:val="17"/>
          <w:szCs w:val="17"/>
          <w:color w:val="auto"/>
        </w:rPr>
        <w:t>, the Company utilizes the entity-wide approach for assessing goodwill for impairment and compares its market value to its net book value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if an impairment exists. No impairment of goodwill resulted from the Company’s most recent evaluation of goodwill for impairment, which occurred in the fourth quarter of fiscal 2008. No impairment of goodwill resulted in any of the fiscal years presented. The Company’s next annual impairment assessment will be made in the fourth quarter of fiscal 2009 unless indicators arise that would require the Company to reevaluate at an earlier date. The following table presents the changes in goodwill during the first six months of fiscal 2009: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8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0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May 2, 2009</w:t>
            </w:r>
          </w:p>
        </w:tc>
        <w:tc>
          <w:tcPr>
            <w:tcW w:w="100" w:type="dxa"/>
            <w:vAlign w:val="bottom"/>
            <w:gridSpan w:val="2"/>
          </w:tcPr>
          <w:p>
            <w:pPr>
              <w:spacing w:after="0"/>
              <w:rPr>
                <w:sz w:val="14"/>
                <w:szCs w:val="14"/>
                <w:color w:val="auto"/>
              </w:rPr>
            </w:pPr>
          </w:p>
        </w:tc>
      </w:tr>
      <w:tr>
        <w:trPr>
          <w:trHeight w:val="210"/>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235,175</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Acquisition of AudioAsics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3,071</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3,462</w:t>
            </w:r>
          </w:p>
        </w:tc>
        <w:tc>
          <w:tcPr>
            <w:tcW w:w="80" w:type="dxa"/>
            <w:vAlign w:val="bottom"/>
            <w:shd w:val="clear" w:color="auto" w:fill="CCEEFF"/>
          </w:tcPr>
          <w:p>
            <w:pPr>
              <w:spacing w:after="0"/>
              <w:rPr>
                <w:sz w:val="18"/>
                <w:szCs w:val="18"/>
                <w:color w:val="auto"/>
              </w:rPr>
            </w:pPr>
          </w:p>
        </w:tc>
      </w:tr>
      <w:tr>
        <w:trPr>
          <w:trHeight w:val="223"/>
        </w:trPr>
        <w:tc>
          <w:tcPr>
            <w:tcW w:w="101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 final milestone related to this 2006 acquisition was achieved in the second quarter of fiscal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assets exceeds their fair value determined by either a quoted market price, if any, or a value determined by utilizing a discounted cash flow technique.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May 2, 2009</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w w:val="92"/>
              </w:rPr>
              <w:t>November 1, 2008</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
              <w:spacing w:after="0" w:line="123" w:lineRule="exact"/>
              <w:rPr>
                <w:sz w:val="20"/>
                <w:szCs w:val="20"/>
                <w:color w:val="auto"/>
              </w:rPr>
            </w:pPr>
            <w:r>
              <w:rPr>
                <w:rFonts w:ascii="Arial" w:cs="Arial" w:eastAsia="Arial" w:hAnsi="Arial"/>
                <w:sz w:val="14"/>
                <w:szCs w:val="14"/>
                <w:color w:val="auto"/>
                <w:w w:val="85"/>
              </w:rPr>
              <w:t>Gross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Carrying</w:t>
            </w:r>
          </w:p>
        </w:tc>
        <w:tc>
          <w:tcPr>
            <w:tcW w:w="6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38,354</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36,516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1,438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6,534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49,017</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36,717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1.1 years.</w:t>
      </w:r>
    </w:p>
    <w:p>
      <w:pPr>
        <w:spacing w:after="0" w:line="1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Amortization expense was $1.5 million and $2.6 million for the three-month periods ended May 2, 2009 and May 3, 2008, respectively, and $3.5 million and $5.0 million for the six-month periods ended May 2, 2009 and May 3, 2008,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2"/>
          </w:tcPr>
          <w:p>
            <w:pPr>
              <w:spacing w:after="0"/>
              <w:rPr>
                <w:sz w:val="20"/>
                <w:szCs w:val="20"/>
                <w:color w:val="auto"/>
              </w:rPr>
            </w:pPr>
            <w:r>
              <w:rPr>
                <w:rFonts w:ascii="Arial" w:cs="Arial" w:eastAsia="Arial" w:hAnsi="Arial"/>
                <w:sz w:val="14"/>
                <w:szCs w:val="14"/>
                <w:color w:val="auto"/>
              </w:rPr>
              <w:t>Fiscal</w:t>
            </w:r>
          </w:p>
        </w:tc>
        <w:tc>
          <w:tcPr>
            <w:tcW w:w="560" w:type="dxa"/>
            <w:vAlign w:val="bottom"/>
          </w:tcPr>
          <w:p>
            <w:pPr>
              <w:spacing w:after="0"/>
              <w:rPr>
                <w:sz w:val="14"/>
                <w:szCs w:val="14"/>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4"/>
                <w:szCs w:val="14"/>
                <w:color w:val="auto"/>
              </w:rPr>
              <w:t>Amortization</w:t>
            </w:r>
          </w:p>
        </w:tc>
      </w:tr>
      <w:tr>
        <w:trPr>
          <w:trHeight w:val="167"/>
        </w:trPr>
        <w:tc>
          <w:tcPr>
            <w:tcW w:w="9780" w:type="dxa"/>
            <w:vAlign w:val="bottom"/>
            <w:gridSpan w:val="2"/>
          </w:tcPr>
          <w:p>
            <w:pPr>
              <w:spacing w:after="0"/>
              <w:rPr>
                <w:sz w:val="20"/>
                <w:szCs w:val="20"/>
                <w:color w:val="auto"/>
              </w:rPr>
            </w:pPr>
            <w:r>
              <w:rPr>
                <w:rFonts w:ascii="Arial" w:cs="Arial" w:eastAsia="Arial" w:hAnsi="Arial"/>
                <w:sz w:val="14"/>
                <w:szCs w:val="14"/>
                <w:color w:val="auto"/>
              </w:rPr>
              <w:t>Year</w:t>
            </w:r>
          </w:p>
        </w:tc>
        <w:tc>
          <w:tcPr>
            <w:tcW w:w="560" w:type="dxa"/>
            <w:vAlign w:val="bottom"/>
          </w:tcPr>
          <w:p>
            <w:pPr>
              <w:spacing w:after="0"/>
              <w:rPr>
                <w:sz w:val="14"/>
                <w:szCs w:val="14"/>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9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4"/>
              </w:rPr>
              <w:t>3,280</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4,747</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1,932</w:t>
            </w:r>
          </w:p>
        </w:tc>
      </w:tr>
      <w:tr>
        <w:trPr>
          <w:trHeight w:val="230"/>
        </w:trPr>
        <w:tc>
          <w:tcPr>
            <w:tcW w:w="2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136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the first quarter of fiscal 2009, the Company adopted the measurement date provision of SFAS 158, </w:t>
      </w:r>
      <w:r>
        <w:rPr>
          <w:rFonts w:ascii="Arial" w:cs="Arial" w:eastAsia="Arial" w:hAnsi="Arial"/>
          <w:sz w:val="18"/>
          <w:szCs w:val="18"/>
          <w:i w:val="1"/>
          <w:iCs w:val="1"/>
          <w:color w:val="auto"/>
        </w:rPr>
        <w:t>Employers’ Accounting for Defined Benefit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Postretirement Plans — an amendment of FASB Statement No. 87, 88, 106 and 132(R) </w:t>
      </w:r>
      <w:r>
        <w:rPr>
          <w:rFonts w:ascii="Arial" w:cs="Arial" w:eastAsia="Arial" w:hAnsi="Arial"/>
          <w:sz w:val="18"/>
          <w:szCs w:val="18"/>
          <w:color w:val="auto"/>
        </w:rPr>
        <w:t>(SFAS 158). This provision requires the measurement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plan’s funded status to be the same as the Company’s fiscal year end. In accordance with the adoption provisions of SFAS 158, the Company changed its measurement date from September 30, 2008 to November 1, 2008, the Company’s fiscal year-end, and recorded a $0.2 million adjustment to retained earnings in the first quarter of fiscal 2009.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2, 2009</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w w:val="93"/>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1,530</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pension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1,119</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212"/>
              <w:spacing w:after="0"/>
              <w:rPr>
                <w:sz w:val="20"/>
                <w:szCs w:val="20"/>
                <w:color w:val="auto"/>
              </w:rPr>
            </w:pPr>
            <w:r>
              <w:rPr>
                <w:rFonts w:ascii="Arial" w:cs="Arial" w:eastAsia="Arial" w:hAnsi="Arial"/>
                <w:sz w:val="14"/>
                <w:szCs w:val="14"/>
                <w:color w:val="auto"/>
                <w:w w:val="95"/>
              </w:rPr>
              <w:t>Six Months Ended</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color w:val="auto"/>
              </w:rPr>
              <w:t>May 2, 2009</w:t>
            </w:r>
          </w:p>
        </w:tc>
        <w:tc>
          <w:tcPr>
            <w:tcW w:w="1040" w:type="dxa"/>
            <w:vAlign w:val="bottom"/>
            <w:gridSpan w:val="3"/>
          </w:tcPr>
          <w:p>
            <w:pPr>
              <w:ind w:left="300"/>
              <w:spacing w:after="0" w:line="142" w:lineRule="exact"/>
              <w:rPr>
                <w:sz w:val="20"/>
                <w:szCs w:val="20"/>
                <w:color w:val="auto"/>
              </w:rPr>
            </w:pPr>
            <w:r>
              <w:rPr>
                <w:rFonts w:ascii="Arial" w:cs="Arial" w:eastAsia="Arial" w:hAnsi="Arial"/>
                <w:sz w:val="14"/>
                <w:szCs w:val="14"/>
                <w:color w:val="auto"/>
                <w:w w:val="93"/>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3,082</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4,578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pension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2,255</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Pension contributions of $2.0 million and $3.8 million were made by the Company during the three and six months ended May 2, 2009. The Company presently anticipates contributing an additional $3.3 million to fund its defined benefit pension plans in fiscal year 2009 for a total of $7.1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of May 2, 2009, the Company had $1,285.5 million of cash and cash equivalents and short term investments, of which $60.6 million was held in the United States. The balance of the Company’s cash and cash equivalents and short 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in order to satisfy potential shortfalls of cash required in the United States.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The Company is currently compliant with these covenants. The terms of the facility also impose restrictions on the Company’s ability to undertake certain transactions, to create certain liens on assets and to incur certain subsidiary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 Repurchase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May 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2009, the Company had repurchased a total of approximately 114.7 million shares of its common stock for approximately $3,908.2 million under this program and an additional $91.8 million remains under the current authorized program. The repurchased shares are held as authorized but unissued shares of common stock. The Company also from time to time repurchases shares in settlement of employee tax withholding obligations due upon the vesting of restricted stock or restricted stock units, or the exercise of stock options. Any future common stock repurchases will be dependent upon the amount of cash available to the Company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Discontinued Operations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November 2007, the Company entered into a purchase and sale agreement with certain subsidiaries of ON Semiconductor Corporation to sell the Company’s CPU voltage regulation and PC thermal monitoring business which consists of core voltage regulator products for the central processing unit in computing and gaming applications and temperature sensors and fan-speed controllers for managing the temperature of the central processing unit. During the first quarter of fiscal 2008, the Company completed the sale of this business for net cash proceeds of $138 million, which was net of other cash payments of approximately $1.4 million. The Company made final additional cash payments of approximately $2.2 million in the second quarter of fiscal 2008. In connection with the purchase and sale agreement, $7.5 million was placed into escrow and was excluded from the gain calculations. The Company recorded a pre-tax gain in the first quarter of fiscal 2008 of $78 million, or $43 million net of tax, which was recorded as a gain on sale of discontinued operations.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1) the sale of a business and 2) the obligation to manufacture product for a one-year period. As a result, $85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As a result, the Company classified inventory for this arrangement as a current asset of discontinued operations. The Company may receive additional proceeds of up to $1 million, currently held in escrow, upon the resolution of certain contingent items, which would be recorded as additional gain from the sale of discontinued operations.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2007, the Company entered into a definitive agreement to sell its Baseband Chipset Business to MediaTek Inc. The decision to sell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Baseband Chipset Business was due to the Company’s decision to focus its resources in areas where its signal processing expertise can provide unique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capabilities and earn superior returns. On January 11, 2008, the Company completed the sale of its Baseband Chipset Business for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 million. The cash proceeds received were net of a refundable withholding tax of $62 million and other cash payments of approximately $9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made additional cash payments of $7.8 million during fiscal 2008, primarily related to transaction fees and retention payments to employees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transferred to MediaTek Inc. The Company made additional cash payments of $1.3 million during the second quarter of fiscal 2009 related to retention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for employees that transferred to MediaTek Inc. The Company expects to make additional cash payments of approximately $1.2 million in the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fiscal 2009 for reimbursement of intellectual property license fees incurred by MediaTek Inc. The Company recorded a pre-tax gain in fiscal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$278 million, or $202 million net of tax, which is recorded as a gain on sale of discontinued operations. The Company may receive additional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 to $10 million, currently held in escrow, upon the resolution of certain contingent items, which would be recorded as additional gain from the sale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pacing w:after="0" w:line="10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Company received additional amounts under various transition service agreements entered into in connection with these dispositions. The transition service agreements included manufacturing, engineering support and certain human resource services and information technology systems support. At the time of the disposition the Company evaluated the nature of the transition services and concluded the services would be primarily completed within the one-year assessment period, and the Company did not have the ability to exert significant influence over the disposed businesses’ operating and financial policies. Accordingly, the Company concluded that it did not have a significant continuing involvement with the disposed businesses and has presented the disposition of these businesses as discontinued operations pursuant to SFAS No. 144, </w:t>
      </w:r>
      <w:r>
        <w:rPr>
          <w:rFonts w:ascii="Arial" w:cs="Arial" w:eastAsia="Arial" w:hAnsi="Arial"/>
          <w:sz w:val="16"/>
          <w:szCs w:val="16"/>
          <w:i w:val="1"/>
          <w:iCs w:val="1"/>
          <w:color w:val="auto"/>
        </w:rPr>
        <w:t>Accounting for the Impairment or Disposal of Long-Lived Assets.</w:t>
      </w:r>
    </w:p>
    <w:p>
      <w:pPr>
        <w:spacing w:after="0" w:line="5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following amounts related to the CPU voltage regulation and PC thermal monitoring and Baseband Chipset businesses have been segregated from continuing operations and reported as discontinued operations. These amounts also include the revenue and costs of sales provided under the manufacturing supply agreement between the Company and a subsidiary of ON Semiconductor Corporation, which terminated during the first quarter of fiscal year 2009.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May 2, 2009</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10,332</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10,847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(356,016)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(530)</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357,465</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(894)</w:t>
            </w:r>
          </w:p>
        </w:tc>
        <w:tc>
          <w:tcPr>
            <w:tcW w:w="36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252,065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400" w:type="dxa"/>
            <w:vAlign w:val="bottom"/>
            <w:gridSpan w:val="9"/>
          </w:tcPr>
          <w:p>
            <w:pPr>
              <w:spacing w:after="0"/>
              <w:rPr>
                <w:sz w:val="20"/>
                <w:szCs w:val="20"/>
                <w:color w:val="auto"/>
              </w:rPr>
            </w:pPr>
            <w:r>
              <w:rPr>
                <w:rFonts w:ascii="Arial" w:cs="Arial" w:eastAsia="Arial" w:hAnsi="Arial"/>
                <w:sz w:val="14"/>
                <w:szCs w:val="14"/>
                <w:b w:val="1"/>
                <w:bCs w:val="1"/>
                <w:color w:val="auto"/>
              </w:rPr>
              <w:t>May 2, 2009</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9"/>
              </w:rPr>
              <w:t>November 1,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Total assets reclassified to current assets of discontinued operations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Refundable foreign withholding tax</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62,037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62,037</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Total assets reclassified to non-current assets of discontinued operations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62,037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4,105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Total liabilities reclassified to current liabilities of discontinued operations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5,305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2004 and 2005 IRS Examination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recorded taxes and penalties related to certain of these proposed adjustments. There are four items with an additional potential total tax liability of $46 million. The Company has concluded, based on discussions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 with the appellate division of the IRS is scheduled for the end of May 2009.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(R&amp;D) tax credits and the profits earned from manufacturing activities carried on outside the United States. These latter two matters could impact taxes payable for fiscal 2004 and 2005 as well as for subsequent years.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2006 and 2007 IRS Examination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Subsequent to the end of the second quarter of fiscal 2009, the IRS completed its field examination of the Company’s fiscal years 2006 and 2007.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pricing of intercompany sales (transfer pricing), and the deductibility of certain stock option compensation expenses. Subsequent to the end of the second quarter of fiscal 2009, the IRS issued its report for fiscal 2006 and fiscal 2007, which included proposed adjustments related to these two fiscal years. The Company has recorded taxes and penalties related to certain of these proposed adjustments. There are four items with an additional potential total tax liability of $195 million. The Company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With the exception of the proposed adjustment related to the deductibility of certain stock option expenses, the other three matters could impact taxes payable for fiscal 2006 and 2007 as well as for subsequent years.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2008 IRS Examination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IRS has not started their examination of fiscal year 2008.</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New Accounting Standards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December 2007, the FASB issued SFAS No. 141 (revised 2007),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which is the Company’s fiscal year 2010. The Company is currently evaluating the impact, if any, that SFAS 141R may have on the Company’s financial condition and results of operations. The adoption of SFAS 141R will change the Company’s accounting treatment for business combinations on a prospective basis beginning in the first quarter of fiscal year 2010.</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the Company’s fiscal year 2010. The Company is currently evaluating the impact, if any, that SFAS 160 may have on the Company’s financial condition and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18, 2009, the Company’s Board of Directors declared a cash dividend of $0.20 per outstanding share of common stock. The dividend will be paid on June 17, 2009 to all shareholders of record at the close of business on May 29, 2009.</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1, 2008.</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ongoing global credit and financial market crisis; our anticipated growth and trends in our businesses, our capital needs and capital expenditures; our market position and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expected tax rate; our third-party suppliers; intellectual property and litigation matters; potential acquisitions or divestitures;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for any reason.</w:t>
      </w:r>
    </w:p>
    <w:p>
      <w:pPr>
        <w:spacing w:after="0" w:line="6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The assets and liabilities related to these businesses are reflected as assets and liabilities of discontinued operations in the consolidated balance sheets as of May 2, 2009 and November 1, 2008. Unless otherwise noted, this Management’s Discussion and Analysis relates only to financial results from continuing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1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1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18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May 2, 2009</w:t>
            </w:r>
          </w:p>
        </w:tc>
        <w:tc>
          <w:tcPr>
            <w:tcW w:w="4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6"/>
              </w:rPr>
              <w:t>474,748</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649,340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9"/>
              </w:rPr>
              <w:t>951,317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1,263,249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55.1%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61.0%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55.8%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51,754</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129,892</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76,339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30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0.18</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0.44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Diluted EPS</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0.18</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0.45</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0.26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second quarter of fiscal 2009, our revenue decreased 27% from the second quarter of fiscal 2008 and our diluted earnings per share from continuing operations decreased by 59%. In the first six months of fiscal 2009, our revenue decreased 25% from the first six months of fiscal 2008 and our diluted earnings per share from continuing operations decreased by 69%. Cash flow from operations in the first six months of fiscal 2009 was $135.9 million, or 14% of revenue, and we had $1,285.5 million of cash and short-term investments and no debt as of May 2, 2009.</w:t>
      </w:r>
    </w:p>
    <w:p>
      <w:pPr>
        <w:spacing w:after="0" w:line="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global credit crisis and deteriorating economic conditions continue to result in more cautious customer spending behavior and generally lower demand for our products. We cannot predict the severity, duration or precise impact of the economic downturn on our future financial results. Consequently, our reported results for the second quarter of fiscal 2009 may not be indicative of our future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May 2, 2009</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7"/>
              </w:rPr>
              <w:t>May 3,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9"/>
              </w:rPr>
              <w:t>Revenue</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 of Revenue *</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Y/Y%</w:t>
            </w: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Revenue</w:t>
            </w: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$ 245,329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$ 355,908</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Communications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137,270</w:t>
            </w:r>
          </w:p>
        </w:tc>
        <w:tc>
          <w:tcPr>
            <w:tcW w:w="2040" w:type="dxa"/>
            <w:vAlign w:val="bottom"/>
            <w:gridSpan w:val="3"/>
          </w:tcPr>
          <w:p>
            <w:pPr>
              <w:jc w:val="right"/>
              <w:ind w:right="540"/>
              <w:spacing w:after="0"/>
              <w:rPr>
                <w:sz w:val="20"/>
                <w:szCs w:val="20"/>
                <w:color w:val="auto"/>
              </w:rPr>
            </w:pPr>
            <w:r>
              <w:rPr>
                <w:rFonts w:ascii="Arial" w:cs="Arial" w:eastAsia="Arial" w:hAnsi="Arial"/>
                <w:sz w:val="18"/>
                <w:szCs w:val="18"/>
                <w:color w:val="auto"/>
              </w:rPr>
              <w:t>29%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146,953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78,928</w:t>
            </w:r>
          </w:p>
        </w:tc>
        <w:tc>
          <w:tcPr>
            <w:tcW w:w="2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122,956</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Computer</w:t>
            </w:r>
          </w:p>
        </w:tc>
        <w:tc>
          <w:tcPr>
            <w:tcW w:w="700" w:type="dxa"/>
            <w:vAlign w:val="bottom"/>
          </w:tcPr>
          <w:p>
            <w:pPr>
              <w:jc w:val="right"/>
              <w:spacing w:after="0"/>
              <w:rPr>
                <w:sz w:val="20"/>
                <w:szCs w:val="20"/>
                <w:color w:val="auto"/>
              </w:rPr>
            </w:pPr>
            <w:r>
              <w:rPr>
                <w:rFonts w:ascii="Arial" w:cs="Arial" w:eastAsia="Arial" w:hAnsi="Arial"/>
                <w:sz w:val="18"/>
                <w:szCs w:val="18"/>
                <w:color w:val="auto"/>
              </w:rPr>
              <w:t>13,221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23,523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$ 474,748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$ 649,340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May 2, 2009</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Revenue</w:t>
            </w:r>
          </w:p>
        </w:tc>
        <w:tc>
          <w:tcPr>
            <w:tcW w:w="2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 of Revenue*</w:t>
            </w:r>
          </w:p>
        </w:tc>
        <w:tc>
          <w:tcPr>
            <w:tcW w:w="114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Y/Y%</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Revenue</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of Revenue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$ 502,999</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688,632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Communications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264,790</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277,317</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154,454</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249,765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Computer</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29,074</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47,535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4"/>
              </w:rPr>
              <w:t>$ 951,317</w:t>
            </w:r>
          </w:p>
        </w:tc>
        <w:tc>
          <w:tcPr>
            <w:tcW w:w="1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9"/>
              </w:rPr>
              <w:t>1,263,249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decrease in both the three- and six-month periods in industrial end market revenue was primarily the result of a broad-based</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demand in this end market, which was most significant for products sold into the instrumentation, automotive, process controls and automatic test equipment sectors of this end market.</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decrease in the three-month period in communications end market revenue was primarily the result of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analog products used in wireless handsets, networking and optical applications. The year-to-year decrease in the six-month period in communications end market revenue was primarily the result of a decrease in sales of analog products used in wireless handsets, networking and optical applications, which was partially offset by an increase in sales of products used in basestations.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Consumer — </w:t>
      </w:r>
      <w:r>
        <w:rPr>
          <w:rFonts w:ascii="Arial" w:cs="Arial" w:eastAsia="Arial" w:hAnsi="Arial"/>
          <w:sz w:val="16"/>
          <w:szCs w:val="16"/>
          <w:color w:val="auto"/>
        </w:rPr>
        <w:t>The year-to-year decrease in both the three- and six-month periods in consumer end market revenue was primarily the result of a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products used in home entertainment, video game applications, and digital cameras, consistent with the global slowdown in consumer spending.</w:t>
      </w:r>
    </w:p>
    <w:p>
      <w:pPr>
        <w:spacing w:after="0" w:line="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The year-to-year decrease in both the three- and six-month periods in computer end market revenue was primarily the result of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slowdown in the PC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7"/>
              </w:rPr>
              <w:t>May 2, 2009</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7"/>
              </w:rPr>
              <w:t>May 3,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9"/>
              </w:rPr>
              <w:t>Revenue</w:t>
            </w:r>
          </w:p>
        </w:tc>
        <w:tc>
          <w:tcPr>
            <w:tcW w:w="220" w:type="dxa"/>
            <w:vAlign w:val="bottom"/>
            <w:tcBorders>
              <w:top w:val="single" w:sz="8" w:color="auto"/>
            </w:tcBorders>
            <w:gridSpan w:val="2"/>
          </w:tcPr>
          <w:p>
            <w:pPr>
              <w:spacing w:after="0"/>
              <w:rPr>
                <w:sz w:val="12"/>
                <w:szCs w:val="12"/>
                <w:color w:val="auto"/>
              </w:rPr>
            </w:pPr>
          </w:p>
        </w:tc>
        <w:tc>
          <w:tcPr>
            <w:tcW w:w="204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 of Revenue*</w:t>
            </w:r>
          </w:p>
        </w:tc>
        <w:tc>
          <w:tcPr>
            <w:tcW w:w="14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Y/Y%</w:t>
            </w:r>
          </w:p>
        </w:tc>
        <w:tc>
          <w:tcPr>
            <w:tcW w:w="7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Revenue</w:t>
            </w:r>
          </w:p>
        </w:tc>
        <w:tc>
          <w:tcPr>
            <w:tcW w:w="1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229,665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297,646</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Amplifiers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123,666</w:t>
            </w:r>
          </w:p>
        </w:tc>
        <w:tc>
          <w:tcPr>
            <w:tcW w:w="200" w:type="dxa"/>
            <w:vAlign w:val="bottom"/>
          </w:tcPr>
          <w:p>
            <w:pPr>
              <w:spacing w:after="0"/>
              <w:rPr>
                <w:sz w:val="18"/>
                <w:szCs w:val="18"/>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170,561</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54,279</w:t>
            </w:r>
          </w:p>
        </w:tc>
        <w:tc>
          <w:tcPr>
            <w:tcW w:w="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81,818</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407,610</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86%</w:t>
            </w:r>
          </w:p>
        </w:tc>
        <w:tc>
          <w:tcPr>
            <w:tcW w:w="1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550,025</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34,701</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435,799</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92%</w:t>
            </w:r>
          </w:p>
        </w:tc>
        <w:tc>
          <w:tcPr>
            <w:tcW w:w="1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584,726</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38,210</w:t>
            </w:r>
          </w:p>
        </w:tc>
        <w:tc>
          <w:tcPr>
            <w:tcW w:w="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58,281</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DSP</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6,333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38,949</w:t>
            </w:r>
          </w:p>
        </w:tc>
        <w:tc>
          <w:tcPr>
            <w:tcW w:w="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w:t>
            </w: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64,614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474,748</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649,340</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May 2, 2009</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5"/>
              </w:rPr>
              <w:t>Revenue</w:t>
            </w:r>
          </w:p>
        </w:tc>
        <w:tc>
          <w:tcPr>
            <w:tcW w:w="260" w:type="dxa"/>
            <w:vAlign w:val="bottom"/>
            <w:tcBorders>
              <w:top w:val="single" w:sz="8" w:color="auto"/>
            </w:tcBorders>
            <w:gridSpan w:val="2"/>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 of Revenue*</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Y/Y%</w:t>
            </w: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5"/>
              </w:rPr>
              <w:t>Revenue</w:t>
            </w: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455,685</w:t>
            </w:r>
          </w:p>
        </w:tc>
        <w:tc>
          <w:tcPr>
            <w:tcW w:w="2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578,541</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253,641</w:t>
            </w:r>
          </w:p>
        </w:tc>
        <w:tc>
          <w:tcPr>
            <w:tcW w:w="240" w:type="dxa"/>
            <w:vAlign w:val="bottom"/>
          </w:tcPr>
          <w:p>
            <w:pPr>
              <w:spacing w:after="0"/>
              <w:rPr>
                <w:sz w:val="18"/>
                <w:szCs w:val="18"/>
                <w:color w:val="auto"/>
              </w:rPr>
            </w:pP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27%</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326,466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105,284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162,661</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814,610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86%</w:t>
            </w:r>
          </w:p>
        </w:tc>
        <w:tc>
          <w:tcPr>
            <w:tcW w:w="1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1,067,668</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54,323</w:t>
            </w:r>
          </w:p>
        </w:tc>
        <w:tc>
          <w:tcPr>
            <w:tcW w:w="2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68,116</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868,933</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91%</w:t>
            </w:r>
          </w:p>
        </w:tc>
        <w:tc>
          <w:tcPr>
            <w:tcW w:w="1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1,135,784</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78,321</w:t>
            </w:r>
          </w:p>
        </w:tc>
        <w:tc>
          <w:tcPr>
            <w:tcW w:w="2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113,400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14,065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82,384</w:t>
            </w:r>
          </w:p>
        </w:tc>
        <w:tc>
          <w:tcPr>
            <w:tcW w:w="1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9%</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127,465</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951,317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1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1,263,249</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5280" w:hanging="5612"/>
        <w:spacing w:after="0" w:line="571" w:lineRule="auto"/>
        <w:tabs>
          <w:tab w:leader="none" w:pos="45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year-to-year decrease in revenue in the three- and six-month periods ended May 2, 2009, was due to declining demand in several markets that we serve, particularly the industrial and consumer end markets, as a result of an overall decline in the worldwide economy.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region, based upon customer location, for the three- and six-month periods ended May 2, 2009 and May 3, 2008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120" w:type="dxa"/>
            <w:vAlign w:val="bottom"/>
          </w:tcPr>
          <w:p>
            <w:pPr>
              <w:spacing w:after="0"/>
              <w:rPr>
                <w:sz w:val="14"/>
                <w:szCs w:val="14"/>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May 3, 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97,055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$ 131,008</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$ 204,387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20,456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24,127</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39,753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120,855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174,759</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248,600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71,535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128,247</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144,269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99,345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99,431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189,057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Rest of Asia</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65,502</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91,768</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125,251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2"/>
              </w:rPr>
              <w:t>474,748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$ 649,340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951,317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1,263,249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three- and six-month periods ended May 2, 2009 the predominant countries comprising “Rest of North and South America” are Canada and Mexico; the predominant countries comprising “Europe” are Germany, Sweden, France and Italy; and the predominant countries comprising “Rest of Asia” are Taiwan and Korea.</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three- and six-month periods ended May 3, 2008 the predominant countries comprising “Rest of North and South America” are Canada and Mexico; the predominant countries comprising “Europe” are Germany, France, the United Kingdom and Italy; and the predominant countries comprising “Rest of Asia” are Taiwan and Korea.</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Sales declined in all geographic regions in the second quarter of fiscal 2009, as compared to the second quarter of fiscal 2008, with sales in Japan experiencing the largest decline. This decline in sales in Japan was principally attributable to an overall decline in the consumer end market as a result of the general drop in consumer spending attributable to the global financial market crisis. The decline in China was smaller than the decline in the other regions primarily due to the strong demand for our products used in the recent infrastructure build-out relating to the next generation of communication technology in that region.</w:t>
      </w:r>
    </w:p>
    <w:p>
      <w:pPr>
        <w:spacing w:after="0" w:line="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declined in all geographic regions, except China, in the first six months of fiscal 2009, as compared to the first six months of fiscal 2008. The increase in sales in China was primarily due to strong demand for our products used in the recent infrastructure build-out relating to the next generation of communication technology in that region.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2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95"/>
        </w:trPr>
        <w:tc>
          <w:tcPr>
            <w:tcW w:w="5240" w:type="dxa"/>
            <w:vAlign w:val="bottom"/>
            <w:vMerge w:val="continue"/>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$261,552</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$396,021</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$530,554</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$771,824</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Gross margin %</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55.1%</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61.0%</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55.8%</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margin percentage was lower by 590 basis points in the second quarter of fiscal 2009 as compared to the second quarter of fiscal 2008 primarily as a result of a decrease in sales of $174.6 million and reduced operating levels in our manufacturing facilities that created adverse utilization variances. This decrease was partially offset by a better mix of products as revenues from higher-margin industrial and communications end markets declined less than our revenues from the consumer and computer end markets.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margin percentage was lower by 530 basis points in the six months ended May 2, 2009 as compared to the six months ended May 3, 2008, primarily as a result of a decrease in sales of $311.9 million and reduced operating levels in our manufacturing facilities that created adverse utilization variances. This decrease was partially offset by a better mix of products as revenues from higher-margin industrial and communications end markets declined less than our revenues from the consumer and computer end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As of May 2, 2009, the total compensation cost related to unvested awards not yet recognized in our statement of income was approximately $130.2 million (before tax consideration), which we will recognize over a weighted average period of 1.8 years. See Note 3 in the Notes to our Condensed Consolidated Financial Statements contained in Item 1 of this Quarterly Report on Form 10-Q for further information regarding our adoption of Statement of Financial Accounting Standards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4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95"/>
        </w:trPr>
        <w:tc>
          <w:tcPr>
            <w:tcW w:w="5240" w:type="dxa"/>
            <w:vAlign w:val="bottom"/>
            <w:vMerge w:val="continue"/>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$109,448</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$134,653</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$229,276</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$264,192</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23.1%</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20.7%</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24.1%</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Research and development, or R&amp;D, expenses decreased $25.2 million, or 19%, in the second quarter of fiscal 2009 as compared to the second quarter of fiscal 2008, and decreased $34.9 million, or 13%, in the six months ended May 2, 2009 as compared to the six months ended May 3, 2008. These decreases were primarily the result of the actions we took to constrain or permanently reduce operating expenses as well as a result of a decrease in bonus expense, which is a variable expense linked to our overall profitability.</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30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2, 2009</w:t>
            </w:r>
          </w:p>
        </w:tc>
        <w:tc>
          <w:tcPr>
            <w:tcW w:w="48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110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$82,276</w:t>
            </w:r>
          </w:p>
        </w:tc>
        <w:tc>
          <w:tcPr>
            <w:tcW w:w="460" w:type="dxa"/>
            <w:vAlign w:val="bottom"/>
          </w:tcPr>
          <w:p>
            <w:pPr>
              <w:spacing w:after="0"/>
              <w:rPr>
                <w:sz w:val="16"/>
                <w:szCs w:val="16"/>
                <w:color w:val="auto"/>
              </w:rPr>
            </w:pPr>
          </w:p>
        </w:tc>
        <w:tc>
          <w:tcPr>
            <w:tcW w:w="12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$104,183</w:t>
            </w:r>
          </w:p>
        </w:tc>
        <w:tc>
          <w:tcPr>
            <w:tcW w:w="460" w:type="dxa"/>
            <w:vAlign w:val="bottom"/>
          </w:tcPr>
          <w:p>
            <w:pPr>
              <w:spacing w:after="0"/>
              <w:rPr>
                <w:sz w:val="16"/>
                <w:szCs w:val="16"/>
                <w:color w:val="auto"/>
              </w:rPr>
            </w:pPr>
          </w:p>
        </w:tc>
        <w:tc>
          <w:tcPr>
            <w:tcW w:w="120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$170,122</w:t>
            </w:r>
          </w:p>
        </w:tc>
        <w:tc>
          <w:tcPr>
            <w:tcW w:w="48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$204,534</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17.3%</w:t>
            </w:r>
          </w:p>
        </w:tc>
        <w:tc>
          <w:tcPr>
            <w:tcW w:w="1680" w:type="dxa"/>
            <w:vAlign w:val="bottom"/>
            <w:gridSpan w:val="2"/>
          </w:tcPr>
          <w:p>
            <w:pPr>
              <w:jc w:val="right"/>
              <w:ind w:right="79"/>
              <w:spacing w:after="0"/>
              <w:rPr>
                <w:sz w:val="20"/>
                <w:szCs w:val="20"/>
                <w:color w:val="auto"/>
              </w:rPr>
            </w:pPr>
            <w:r>
              <w:rPr>
                <w:rFonts w:ascii="Arial" w:cs="Arial" w:eastAsia="Arial" w:hAnsi="Arial"/>
                <w:sz w:val="18"/>
                <w:szCs w:val="18"/>
                <w:color w:val="auto"/>
              </w:rPr>
              <w:t>16.0%</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17.9%</w:t>
            </w:r>
          </w:p>
        </w:tc>
        <w:tc>
          <w:tcPr>
            <w:tcW w:w="1680" w:type="dxa"/>
            <w:vAlign w:val="bottom"/>
            <w:gridSpan w:val="2"/>
          </w:tcPr>
          <w:p>
            <w:pPr>
              <w:jc w:val="right"/>
              <w:ind w:right="79"/>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Selling, marketing, general and administrative, or SMG&amp;A, expenses decreased $21.9 million, or 21%, in the second quarter of fiscal 2009 as compared to the second quarter of fiscal 2008, and decreased $34.4 million, or 17%, in the six months ended May 2, 2009 as compared to the same period of fiscal 2008. These decreases were primarily the result of lower bonus expense, which is a variable expense linked to our overall profitability, lower commission expenses, which are variable expenses linked to our sales, and as a result of our actions taken to constrain or permanently reduce operating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are paying the lease obligation costs on a monthly basis over the remaining lease term, which expires in 2010. We completed the clean-up activity during the second quarter of fiscal 2007, and we do not expect to incur any additional charges related to this action.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special charges in fiscal years 2005, 2006 and 2007 as a result of our decision to reorganize our product development and support programs with the goal of providing greater focus on our analog and digital signal processing product programs. We terminated the employment of all employees associated with these programs and are paying amounts owed to employees for severance as income continuance. We do not expect to incur any further charges related to this reorganization action.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During the fourth quarter of fiscal 2007, we recorded a special charge of $13.7 million as a result of our decision to only use eight-inch technology at our wafer fabrication facility in Limerick. Certain manufacturing processes and products produced on the Limerick facility’s six-inch production line have transitioned to our existing eight-inch production line in Limerick while others have transitioned to external foundries. The charge was for severance and fringe benefit costs recorded pursuant to SFAS 88, </w:t>
      </w:r>
      <w:r>
        <w:rPr>
          <w:rFonts w:ascii="Arial" w:cs="Arial" w:eastAsia="Arial" w:hAnsi="Arial"/>
          <w:sz w:val="17"/>
          <w:szCs w:val="17"/>
          <w:i w:val="1"/>
          <w:iCs w:val="1"/>
          <w:color w:val="auto"/>
        </w:rPr>
        <w:t>Employers’ Accounting for Settlements and Curtailments of Defined Benefit Pension Plans and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Termination Benefits, </w:t>
      </w:r>
      <w:r>
        <w:rPr>
          <w:rFonts w:ascii="Arial" w:cs="Arial" w:eastAsia="Arial" w:hAnsi="Arial"/>
          <w:sz w:val="17"/>
          <w:szCs w:val="17"/>
          <w:color w:val="auto"/>
        </w:rPr>
        <w:t>or SFAS 88, under our ongoing benefit plan for 150 manufacturing employees associated with this action. As of May 2, 2009, we still</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9 of the 150 employees included in this action. Most of the production in the six-inch wafer fabrication facility has ceased and the remaining production is expected to cease during the second half of fiscal 2009, at which time the employment of the remaining affected employees will be terminated. These employees must continue to be employed by us until their employment is involuntarily terminated in order to receive the severance benefit. During the fourth quarter of 2008, we recorded an additional charge of $1.5 million related to this action, of which $1.2 million was an adjustment to our original estimate of the severance costs and $0.3 million was for clean-up and closure costs that we expensed as incurred. During the first quarter of fiscal 2009, we recorded an additional charge of $0.6 million for clean-up and closure costs that we expensed as incurred. During the second quarter of fiscal 2009, we recorded an additional charge of $0.6 million for clean-up and closure costs that we expensed as incurred. We do not expect to incur any further charges related to this action. We estimate that the closure of this facility will result in annual cost savings of approximately $25 million per year, which we expect to realize starting in the first quarter of fiscal 2010. We expect these annual savings will be in cost of sales, of which approximately $1 million relates to non-cash depreciation savings.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the fourth quarter of fiscal 2007, we recorded a special charge as a result of our decision to either deemphasize or exit certain businesses or products and focus investments in products and end markets where we have better opportunities for profitable growth. In September 2007, we entered into a definitive agreement to sell our Baseband Chipset Business. As a result, we decided to reduce the support infrastructure in manufacturing, engineering and SMG&amp;A to more appropriately reflect our required overhead structure. We terminated the employment of all employees associated with these programs and we are paying amounts owed to employees for severance as income continuance. We do not expect to incur any further charges related to this action. These cost reduction actions, which were substantially completed in the second quarter of fiscal 2008, resulted in savings of approximately $15 million per year. We realized these savings as follows: approximately $7 million in R&amp;D expenses, approximately $6 million in SMG&amp;A expenses and approximately $2 million in cost of sales.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recorded pursuant to SFAS 88 under our ongoing benefit plan or statutory requirements at foreign locations for 19 engineering and SMG&amp;A employees. We have terminated the employment of all of the employees included in this charge and we are paying amounts owed to employees for severance as income continuance.</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first quarter of fiscal 2009, we recorded an additional charge of $19.1 million related to this cost reduction action. Approximately $2.1 million of this charge was for lease obligation costs for facilities that we ceased using during the first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quarter of fiscal 2009; approximately $0.8 million was for the write-off of property, plant and equipment; and approximately $0.6 million was for contract termination, clean-up and closure costs that we expensed as incurred. The remaining $15.6 million of this charge related to the severance and fringe benefit costs recorded pursuant to SFAS 88 under our ongoing benefit plan or statutory requirements at foreign locations for 221 manufacturing employees and 149 engineering and selling, marketing, general and administrative employees. As of May 2, 2009, we still employed 6 of the 370 employees included in this cost reduction action. These employees must continue to be employed by us until their employment is involuntarily terminated in order to receive the severance benefit.</w:t>
      </w:r>
    </w:p>
    <w:p>
      <w:pPr>
        <w:spacing w:after="0" w:line="8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the second quarter of fiscal 2009, we recorded an additional charge of $11.3 million related to this cost reduction action. Approximately $0.1 million was for the write-off of property, plant and equipment; and approximately $0.3 million was for clean-up and closure costs that we expensed as incurred. The remaining $10.9 million of this charge related to the severance and fringe benefit costs recorded pursuant to SFAS 88 under our ongoing benefit plan or statutory requirements at foreign locations for 24 manufacturing employees and 153 engineering and selling, marketing, general and administrative employees. As of May 2, 2009, we still employed 62 of the 177 employees included in this cost reduction action. These employees must continue to be employed by us until their employment is involuntarily terminated in order to receive the severance benefit.</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believe this cost reduction action, which was substantially completed during the second quarter of fiscal 2009, will result in annual savings of approximately $36.4 million once fully implemented. We expect these annual savings will be realized as follows: approximately $31.6 million in SMG&amp;A expenses and approximately $4.8 million in cost of sales. A portion of these savings is reflected in our results for the first six months of fiscal 2009 and the remainder of the savings will be fully reflected in our results during the second half of fiscal 2009.</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facilities’ manufacturing assets and concluded that there was an impairment of approximately $12.9 million based on the revised period of intended use. The remaining $9.2 million was for severance and fringe benefit costs recorded pursuant to SFAS 88 under our ongoing benefit plan for 175 manufacturing employees and 9 selling, marketing, general and administrative employees associated with this action. As of May 2, 2009, we still employed all of the employees included in this action. We expect production to cease in the Cambridge fabrication facility during the fourth quarter of fiscal 2009, at which time the employment of the affected employees will be terminated. These employees must continue to be employed by us until their employment is involuntarily terminated in order to receive the severance benefit. We estimate that the closure of this facility will result in annual cost savings of approximately $41 million per year, expected to be fully realized starting in the third quarter of fiscal 2010. We expect these annual savings to be realized as follows: approximately $40.2 million in cost of sales, of which approximately $4.0 million relates to non-cash depreciation savings, and approximately $0.8 million in SMG&amp;A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38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1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May 2, 2009</w:t>
            </w:r>
          </w:p>
        </w:tc>
        <w:tc>
          <w:tcPr>
            <w:tcW w:w="48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1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$57,909</w:t>
            </w:r>
          </w:p>
        </w:tc>
        <w:tc>
          <w:tcPr>
            <w:tcW w:w="460" w:type="dxa"/>
            <w:vAlign w:val="bottom"/>
          </w:tcPr>
          <w:p>
            <w:pPr>
              <w:spacing w:after="0"/>
              <w:rPr>
                <w:sz w:val="16"/>
                <w:szCs w:val="16"/>
                <w:color w:val="auto"/>
              </w:rPr>
            </w:pPr>
          </w:p>
        </w:tc>
        <w:tc>
          <w:tcPr>
            <w:tcW w:w="120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$157,185</w:t>
            </w:r>
          </w:p>
        </w:tc>
        <w:tc>
          <w:tcPr>
            <w:tcW w:w="480" w:type="dxa"/>
            <w:vAlign w:val="bottom"/>
          </w:tcPr>
          <w:p>
            <w:pPr>
              <w:spacing w:after="0"/>
              <w:rPr>
                <w:sz w:val="16"/>
                <w:szCs w:val="16"/>
                <w:color w:val="auto"/>
              </w:rPr>
            </w:pPr>
          </w:p>
        </w:tc>
        <w:tc>
          <w:tcPr>
            <w:tcW w:w="110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$77,500</w:t>
            </w:r>
          </w:p>
        </w:tc>
        <w:tc>
          <w:tcPr>
            <w:tcW w:w="48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$303,098</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Operating income from continuing operations as a % of revenue</w:t>
            </w:r>
          </w:p>
        </w:tc>
        <w:tc>
          <w:tcPr>
            <w:tcW w:w="1120" w:type="dxa"/>
            <w:vAlign w:val="bottom"/>
          </w:tcPr>
          <w:p>
            <w:pPr>
              <w:jc w:val="right"/>
              <w:ind w:right="99"/>
              <w:spacing w:after="0"/>
              <w:rPr>
                <w:sz w:val="20"/>
                <w:szCs w:val="20"/>
                <w:color w:val="auto"/>
              </w:rPr>
            </w:pPr>
            <w:r>
              <w:rPr>
                <w:rFonts w:ascii="Arial" w:cs="Arial" w:eastAsia="Arial" w:hAnsi="Arial"/>
                <w:sz w:val="18"/>
                <w:szCs w:val="18"/>
                <w:color w:val="auto"/>
              </w:rPr>
              <w:t>12.2%</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24.2%</w:t>
            </w:r>
          </w:p>
        </w:tc>
        <w:tc>
          <w:tcPr>
            <w:tcW w:w="1580" w:type="dxa"/>
            <w:vAlign w:val="bottom"/>
            <w:gridSpan w:val="2"/>
          </w:tcPr>
          <w:p>
            <w:pPr>
              <w:jc w:val="right"/>
              <w:ind w:right="82"/>
              <w:spacing w:after="0"/>
              <w:rPr>
                <w:sz w:val="20"/>
                <w:szCs w:val="20"/>
                <w:color w:val="auto"/>
              </w:rPr>
            </w:pPr>
            <w:r>
              <w:rPr>
                <w:rFonts w:ascii="Arial" w:cs="Arial" w:eastAsia="Arial" w:hAnsi="Arial"/>
                <w:sz w:val="18"/>
                <w:szCs w:val="18"/>
                <w:color w:val="auto"/>
              </w:rPr>
              <w:t>8.1%</w:t>
            </w:r>
          </w:p>
        </w:tc>
        <w:tc>
          <w:tcPr>
            <w:tcW w:w="1680" w:type="dxa"/>
            <w:vAlign w:val="bottom"/>
            <w:gridSpan w:val="2"/>
          </w:tcPr>
          <w:p>
            <w:pPr>
              <w:jc w:val="right"/>
              <w:ind w:right="79"/>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$99.3 million decrease in operating income from continuing operations in the second quarter of fiscal 2009 as compared to the second quarter of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was primarily the result of a decrease in revenue of $174.6 million, a 590 basis point decrease in gross margin percentage, and a special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$11.9 million in the second quarter of fiscal 2009. This decrease in operating income from continuing operations was partially offset by a decrease in R&amp;D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SMG&amp;A expenses as more fully described above under the headings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Marketing, General and Administrative</w:t>
      </w:r>
      <w:r>
        <w:rPr>
          <w:rFonts w:ascii="Arial" w:cs="Arial" w:eastAsia="Arial" w:hAnsi="Arial"/>
          <w:sz w:val="16"/>
          <w:szCs w:val="16"/>
          <w:color w:val="auto"/>
        </w:rPr>
        <w:t>.</w:t>
      </w:r>
    </w:p>
    <w:p>
      <w:pPr>
        <w:spacing w:after="0" w:line="12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$225.6 million decrease in operating income from continuing operations in the six months ended May 2, 2009 as compared to the same period of fiscal 2008 was primarily the result of a decrease in revenue of $311.9 million, a 530 basis point decrease in gross margin percentage, and a special charge of $53.7 million in the first six months of fiscal 2009. This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decrease in operating income from continuing operations was partially offset by a decrease in R&amp;D and SMG&amp;A expenses as more fully described above under the headings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 General and Administrative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1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2"/>
              </w:rPr>
              <w:t>May 3, 2008</w:t>
            </w:r>
          </w:p>
        </w:tc>
        <w:tc>
          <w:tcPr>
            <w:tcW w:w="66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(10,669)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(11,323)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(10,555)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(12,691)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Nonoperating income was lower by $6.2 million in the second quarter of fiscal 2009 as compared to the second quarter of fiscal 2008 primarily due to lower interest income earned on investments as a result of lower interest rates in the second quarter of fiscal 2009 as compared to the second quarter of fiscal 2008.</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Nonoperating income was lower by $10.2 million in the six months ended May 2, 2009 as compared to the same period of fiscal 2008 primarily due to lower interest income earned on investments as a result of lower interest rates in the first six months of fiscal 2009 as compared to the first six months of fiscal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5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96"/>
              </w:rPr>
              <w:t>Three Months Ended</w:t>
            </w:r>
          </w:p>
        </w:tc>
        <w:tc>
          <w:tcPr>
            <w:tcW w:w="1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0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gridSpan w:val="2"/>
          </w:tcPr>
          <w:p>
            <w:pPr>
              <w:ind w:left="640"/>
              <w:spacing w:after="0" w:line="142" w:lineRule="exact"/>
              <w:rPr>
                <w:sz w:val="20"/>
                <w:szCs w:val="20"/>
                <w:color w:val="auto"/>
              </w:rPr>
            </w:pPr>
            <w:r>
              <w:rPr>
                <w:rFonts w:ascii="Arial" w:cs="Arial" w:eastAsia="Arial" w:hAnsi="Arial"/>
                <w:sz w:val="14"/>
                <w:szCs w:val="14"/>
                <w:b w:val="1"/>
                <w:bCs w:val="1"/>
                <w:color w:val="auto"/>
              </w:rPr>
              <w:t>May 2, 2009</w:t>
            </w:r>
          </w:p>
        </w:tc>
        <w:tc>
          <w:tcPr>
            <w:tcW w:w="11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10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May 2, 2009</w:t>
            </w:r>
          </w:p>
        </w:tc>
        <w:tc>
          <w:tcPr>
            <w:tcW w:w="3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May 3, 2008</w:t>
            </w:r>
          </w:p>
        </w:tc>
        <w:tc>
          <w:tcPr>
            <w:tcW w:w="0" w:type="dxa"/>
            <w:vAlign w:val="bottom"/>
          </w:tcPr>
          <w:p>
            <w:pPr>
              <w:spacing w:after="0"/>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2040" w:type="dxa"/>
            <w:vAlign w:val="bottom"/>
            <w:tcBorders>
              <w:top w:val="single" w:sz="8" w:color="auto"/>
            </w:tcBorders>
          </w:tcPr>
          <w:p>
            <w:pPr>
              <w:jc w:val="right"/>
              <w:ind w:right="1079"/>
              <w:spacing w:after="0" w:line="195" w:lineRule="exact"/>
              <w:rPr>
                <w:sz w:val="20"/>
                <w:szCs w:val="20"/>
                <w:color w:val="auto"/>
              </w:rPr>
            </w:pPr>
            <w:r>
              <w:rPr>
                <w:rFonts w:ascii="Arial" w:cs="Arial" w:eastAsia="Arial" w:hAnsi="Arial"/>
                <w:sz w:val="18"/>
                <w:szCs w:val="18"/>
                <w:color w:val="auto"/>
              </w:rPr>
              <w:t>$10,479</w:t>
            </w:r>
          </w:p>
        </w:tc>
        <w:tc>
          <w:tcPr>
            <w:tcW w:w="460" w:type="dxa"/>
            <w:vAlign w:val="bottom"/>
          </w:tcPr>
          <w:p>
            <w:pPr>
              <w:spacing w:after="0"/>
              <w:rPr>
                <w:sz w:val="16"/>
                <w:szCs w:val="16"/>
                <w:color w:val="auto"/>
              </w:rPr>
            </w:pPr>
          </w:p>
        </w:tc>
        <w:tc>
          <w:tcPr>
            <w:tcW w:w="110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$37,848</w:t>
            </w:r>
          </w:p>
        </w:tc>
        <w:tc>
          <w:tcPr>
            <w:tcW w:w="460" w:type="dxa"/>
            <w:vAlign w:val="bottom"/>
          </w:tcPr>
          <w:p>
            <w:pPr>
              <w:spacing w:after="0"/>
              <w:rPr>
                <w:sz w:val="16"/>
                <w:szCs w:val="16"/>
                <w:color w:val="auto"/>
              </w:rPr>
            </w:pPr>
          </w:p>
        </w:tc>
        <w:tc>
          <w:tcPr>
            <w:tcW w:w="11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$13,852</w:t>
            </w:r>
          </w:p>
        </w:tc>
        <w:tc>
          <w:tcPr>
            <w:tcW w:w="300" w:type="dxa"/>
            <w:vAlign w:val="bottom"/>
          </w:tcPr>
          <w:p>
            <w:pPr>
              <w:spacing w:after="0"/>
              <w:rPr>
                <w:sz w:val="16"/>
                <w:szCs w:val="16"/>
                <w:color w:val="auto"/>
              </w:rPr>
            </w:pPr>
          </w:p>
        </w:tc>
        <w:tc>
          <w:tcPr>
            <w:tcW w:w="76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w w:val="89"/>
              </w:rPr>
              <w:t>$74,266</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040" w:type="dxa"/>
            <w:vAlign w:val="bottom"/>
          </w:tcPr>
          <w:p>
            <w:pPr>
              <w:jc w:val="right"/>
              <w:ind w:right="919"/>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20"/>
                <w:szCs w:val="20"/>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22.6%</w:t>
            </w:r>
          </w:p>
        </w:tc>
        <w:tc>
          <w:tcPr>
            <w:tcW w:w="1560" w:type="dxa"/>
            <w:vAlign w:val="bottom"/>
            <w:gridSpan w:val="2"/>
          </w:tcPr>
          <w:p>
            <w:pPr>
              <w:jc w:val="right"/>
              <w:ind w:right="82"/>
              <w:spacing w:after="0"/>
              <w:rPr>
                <w:sz w:val="20"/>
                <w:szCs w:val="20"/>
                <w:color w:val="auto"/>
              </w:rPr>
            </w:pPr>
            <w:r>
              <w:rPr>
                <w:rFonts w:ascii="Arial" w:cs="Arial" w:eastAsia="Arial" w:hAnsi="Arial"/>
                <w:sz w:val="18"/>
                <w:szCs w:val="18"/>
                <w:color w:val="auto"/>
              </w:rPr>
              <w:t>15.4%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Our effective tax rate reflects the applicable tax rate in effect in the various tax jurisdictions around the world where our income is earned. Our effective tax rate for the second quarter of fiscal 2009 was lower compared to our effective tax rate for the second quarter of fiscal 2008 primarily as a result of our recording a special charge of $11.9 million in the second quarter of fiscal 2009, a portion of which provided a tax benefit at the higher U.S. tax rate.</w:t>
      </w:r>
    </w:p>
    <w:p>
      <w:pPr>
        <w:spacing w:after="0" w:line="3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effective tax rate for the first six months of fiscal 2009 was lower compared to our effective tax rate for the first six months of fiscal 2008 primarily as a result of our recording special charges of $53.7 million in the first six months of fiscal 2009, a portion of which provided a tax benefit at the higher U.S. tax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38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May 3, 2008</w:t>
            </w:r>
          </w:p>
        </w:tc>
        <w:tc>
          <w:tcPr>
            <w:tcW w:w="48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May 2, 2009</w:t>
            </w:r>
          </w:p>
        </w:tc>
        <w:tc>
          <w:tcPr>
            <w:tcW w:w="480" w:type="dxa"/>
            <w:vAlign w:val="bottom"/>
          </w:tcPr>
          <w:p>
            <w:pPr>
              <w:spacing w:after="0"/>
              <w:rPr>
                <w:sz w:val="12"/>
                <w:szCs w:val="12"/>
                <w:color w:val="auto"/>
              </w:rPr>
            </w:pPr>
          </w:p>
        </w:tc>
        <w:tc>
          <w:tcPr>
            <w:tcW w:w="120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3, 2008</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7"/>
              </w:rPr>
              <w:t>51,754</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129,892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7"/>
              </w:rPr>
              <w:t>76,339</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251,740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300" w:type="dxa"/>
            <w:vAlign w:val="bottom"/>
          </w:tcPr>
          <w:p>
            <w:pPr>
              <w:spacing w:after="0"/>
              <w:rPr>
                <w:sz w:val="18"/>
                <w:szCs w:val="18"/>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0.18</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0.44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0.26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0.84</w:t>
            </w:r>
          </w:p>
        </w:tc>
      </w:tr>
    </w:tbl>
    <w:p>
      <w:pPr>
        <w:spacing w:after="0" w:line="9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Income from continuing operations, net of tax, in the second quarter of fiscal 2009 was lower than in the second quarter of fiscal 2008 by approximately $78.1 million primarily as a result of the $99.3 million decrease in operating income that was partially offset by a lower provision for income taxes in the second quarter of fiscal 2009.</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Income from continuing operations, net of tax, in the first six months of fiscal 2009 was lower than in the first six months of fiscal 2008 by approximately $175.4 million primarily as a result of the $225.6 million decrease in operating income that was partially offset by a lower provision for income taxes in the first six months of fiscal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5"/>
          </w:tcPr>
          <w:p>
            <w:pPr>
              <w:ind w:left="16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106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2"/>
              </w:rPr>
              <w:t>May 3, 2008</w:t>
            </w:r>
          </w:p>
        </w:tc>
        <w:tc>
          <w:tcPr>
            <w:tcW w:w="66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3,194</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246,983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3,194</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252,065</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 in accordance with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3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Orders to ADI and our distributors recovered in the second quarter of fiscal 2009 as compared to the first quarter of fiscal 2009, as customer inventory reductions subsided. Our book-to-bill ratio for the second quarter of fiscal 2009, as measured by end customer bookings, was slightly above one for the first time since the third quarter of fiscal 2008, and our third quarter of fiscal 2009 opening backlog increased from the second quarter of fiscal 2009. In addition, order levels were stable throughout the second quarter of fiscal 2009 and have remained at these levels through the first two weeks of May 2009. Nevertheless, lead times remain short and we are still receiving a significant portion of our new orders for delivery in the current quarter, thereby limiting visibility.</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planning for revenues in the third quarter of fiscal 2009 to be approximately flat on a sequential basis. We plan to continue to reduce inventories in the third quarter of fiscal 2009, and to keep tight control over operating expenses. As a result, we expect gross margins to be approximately 54% to 55%, depending on end market revenue mix and factory utilization, and are planning for operating expenses to remain approximately flat sequentially. In addition, we expect our tax rate to be approximately 21% for the remainder of the fiscal year. As a result, we are planning for diluted EPS from continuing operations for the third quarter of fiscal 2009 to be approximately $0.17 to $0.19.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30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40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2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May 2, 2009</w:t>
            </w:r>
          </w:p>
        </w:tc>
        <w:tc>
          <w:tcPr>
            <w:tcW w:w="520" w:type="dxa"/>
            <w:vAlign w:val="bottom"/>
          </w:tcPr>
          <w:p>
            <w:pPr>
              <w:spacing w:after="0"/>
              <w:rPr>
                <w:sz w:val="12"/>
                <w:szCs w:val="12"/>
                <w:color w:val="auto"/>
              </w:rPr>
            </w:pPr>
          </w:p>
        </w:tc>
        <w:tc>
          <w:tcPr>
            <w:tcW w:w="12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3, 2008</w:t>
            </w:r>
          </w:p>
        </w:tc>
        <w:tc>
          <w:tcPr>
            <w:tcW w:w="0" w:type="dxa"/>
            <w:vAlign w:val="bottom"/>
          </w:tcPr>
          <w:p>
            <w:pPr>
              <w:spacing w:after="0"/>
              <w:rPr>
                <w:sz w:val="1"/>
                <w:szCs w:val="1"/>
                <w:color w:val="auto"/>
              </w:rPr>
            </w:pPr>
          </w:p>
        </w:tc>
      </w:tr>
      <w:tr>
        <w:trPr>
          <w:trHeight w:val="195"/>
        </w:trPr>
        <w:tc>
          <w:tcPr>
            <w:tcW w:w="8400" w:type="dxa"/>
            <w:vAlign w:val="bottom"/>
            <w:vMerge w:val="continue"/>
          </w:tcPr>
          <w:p>
            <w:pPr>
              <w:spacing w:after="0"/>
              <w:rPr>
                <w:sz w:val="16"/>
                <w:szCs w:val="16"/>
                <w:color w:val="auto"/>
              </w:rPr>
            </w:pPr>
          </w:p>
        </w:tc>
        <w:tc>
          <w:tcPr>
            <w:tcW w:w="126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$135,906</w:t>
            </w:r>
          </w:p>
        </w:tc>
        <w:tc>
          <w:tcPr>
            <w:tcW w:w="520" w:type="dxa"/>
            <w:vAlign w:val="bottom"/>
          </w:tcPr>
          <w:p>
            <w:pPr>
              <w:spacing w:after="0"/>
              <w:rPr>
                <w:sz w:val="16"/>
                <w:szCs w:val="16"/>
                <w:color w:val="auto"/>
              </w:rPr>
            </w:pPr>
          </w:p>
        </w:tc>
        <w:tc>
          <w:tcPr>
            <w:tcW w:w="124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$330,963</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14.3%</w:t>
            </w:r>
          </w:p>
        </w:tc>
        <w:tc>
          <w:tcPr>
            <w:tcW w:w="1760" w:type="dxa"/>
            <w:vAlign w:val="bottom"/>
            <w:gridSpan w:val="2"/>
          </w:tcPr>
          <w:p>
            <w:pPr>
              <w:jc w:val="right"/>
              <w:ind w:right="99"/>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At May 2, 2009, cash, cash equivalents and short-term investments totaled $1,285.5 million, a decrease of $24.2 million from the fourth quarter of fiscal 2008. The primary source of funds for the first six months of fiscal 2009 was net cash generated from operating activities of $135.9 million. The principal uses of funds for the first six months of fiscal 2009 were dividend payments of $116.4 million and capital expenditures of $34.3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2, 2009</w:t>
            </w:r>
          </w:p>
        </w:tc>
        <w:tc>
          <w:tcPr>
            <w:tcW w:w="500" w:type="dxa"/>
            <w:vAlign w:val="bottom"/>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November 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$228,520</w:t>
            </w:r>
          </w:p>
        </w:tc>
        <w:tc>
          <w:tcPr>
            <w:tcW w:w="2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$315,290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260" w:type="dxa"/>
            <w:vAlign w:val="bottom"/>
          </w:tcPr>
          <w:p>
            <w:pPr>
              <w:jc w:val="right"/>
              <w:ind w:right="254"/>
              <w:spacing w:after="0"/>
              <w:rPr>
                <w:sz w:val="20"/>
                <w:szCs w:val="20"/>
                <w:color w:val="auto"/>
              </w:rPr>
            </w:pPr>
            <w:r>
              <w:rPr>
                <w:rFonts w:ascii="Arial" w:cs="Arial" w:eastAsia="Arial" w:hAnsi="Arial"/>
                <w:sz w:val="18"/>
                <w:szCs w:val="18"/>
                <w:color w:val="auto"/>
              </w:rPr>
              <w:t>44</w:t>
            </w:r>
          </w:p>
        </w:tc>
        <w:tc>
          <w:tcPr>
            <w:tcW w:w="2040" w:type="dxa"/>
            <w:vAlign w:val="bottom"/>
            <w:gridSpan w:val="2"/>
          </w:tcPr>
          <w:p>
            <w:pPr>
              <w:jc w:val="right"/>
              <w:ind w:right="40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$304,834</w:t>
            </w:r>
          </w:p>
        </w:tc>
        <w:tc>
          <w:tcPr>
            <w:tcW w:w="2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$314,629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260" w:type="dxa"/>
            <w:vAlign w:val="bottom"/>
          </w:tcPr>
          <w:p>
            <w:pPr>
              <w:jc w:val="right"/>
              <w:ind w:right="254"/>
              <w:spacing w:after="0"/>
              <w:rPr>
                <w:sz w:val="20"/>
                <w:szCs w:val="20"/>
                <w:color w:val="auto"/>
              </w:rPr>
            </w:pPr>
            <w:r>
              <w:rPr>
                <w:rFonts w:ascii="Arial" w:cs="Arial" w:eastAsia="Arial" w:hAnsi="Arial"/>
                <w:sz w:val="18"/>
                <w:szCs w:val="18"/>
                <w:color w:val="auto"/>
              </w:rPr>
              <w:t>130</w:t>
            </w:r>
          </w:p>
        </w:tc>
        <w:tc>
          <w:tcPr>
            <w:tcW w:w="2040" w:type="dxa"/>
            <w:vAlign w:val="bottom"/>
            <w:gridSpan w:val="2"/>
          </w:tcPr>
          <w:p>
            <w:pPr>
              <w:jc w:val="right"/>
              <w:ind w:right="408"/>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Accounts receivable at May 2, 2009 decreased $86.8 million, or 28%, from the end of the fourth quarter of fiscal 2008. The decrease in receivables was primarily the result of lower revenue in the second quarter of fiscal 2009 as compared to the fourth quarter of fiscal 2008.</w:t>
      </w:r>
    </w:p>
    <w:p>
      <w:pPr>
        <w:spacing w:after="0" w:line="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Inventory at May 2, 2009 decreased by $9.8 million, or 3%, from the end of the fourth quarter of fiscal 2008. The decrease in inventory, despite a decline in sales, is primarily a result of significant reductions in external manufacturing spending and additional factory shutdowns during the first six months of fiscal 2009.</w:t>
      </w:r>
    </w:p>
    <w:p>
      <w:pPr>
        <w:spacing w:after="0" w:line="7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Net additions to property, plant and equipment were $34.3 million in the first six months of fiscal 2009 and were funded with a combination of cash on hand and cash generated from operations. We expect capital expenditures to be approximately $58 million in fiscal 2009.</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May 18, 2009, our Board of Directors declared a cash dividend of $0.20 per outstanding share of our common stock. The dividend is payable on June 17, 2009 to shareholders of record on May 29, 2009 and is expected to be approximately $58 million in the aggregate. We expect quarterly dividends to continue at $0.20 per share, although they remain subject to declaration or change by our Board of Directors. The payment of future dividends, if any, will be based on several factors including our financial performance, outlook and liquidity.</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May 2, 2009, our principal source of liquidity was $1,285.5 million of cash and cash equivalents and short-term investments. As of May 2, 2009, approximately $60.6 million of our cash and cash equivalents and short-term investments were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 As a result, we entered into a five-year $165 million unsecured revolving credit facility in May 2008 in order to satisfy potential shortfalls of cash required in the United Sates. 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volatility in the credit markets has generally diminished liquidity and capital availability in worldwide markets. We are unable to predict the likely duration and severity of the current disruptions in the credit and financial markets and adverse global economic conditions. However, 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in the immediate future and for at least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first six months of fiscal 2009, we distributed approximately $26 million from our Deferred Compensation Plan as a result of elections made by plan participants under the provisions of our Deferred Compensation Plan. These amounts represented compensation and/or stock option gains previously deferred by those participants pursuant to the terms of our Deferred Compensation Plan. The amounts distributed during fiscal 2009 were previously reflected in the “More than 5 Years” column of the contractual obligations table contained in the section entitled “Management’s Discussion and Analysis of Financial Condition and Results of Operations” of our Annual Report on Form 10-K for the fiscal year ended November 1, 2008 because at that time we could not reasonably estimate the timing of such withdrawals. There have not been any other material changes in the second quarter of fiscal 2009 to the amounts presented in the table summarizing our contractual obligations included in our Annual Report on Form 10-K for the year ended November 1, 2008.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which is our fiscal year 2010. We are currently evaluating the impact, if any, that SFAS 141R may have on our financial condition and results of operations. The adoption of SFAS 141R will change our accounting treatment for business combinations on a prospective basis beginning in the first quarter of fiscal year 2010.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our fiscal year 2010. We are currently evaluating the impact, if any, that SFAS 160 may have on our financial condition and results of operations.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 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 with the opportunity to mitigate volatility in reported earnings caused by measuring related assets and liabilities differently without having to apply complex hedge accounting provisions. The adoption of SFAS 159 in the first quarter of fiscal 2009 did not impact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were no material changes in the second quarter of fiscal 2009 to the information provided under the heading “Critical Accounting Policies and Estimates” included in our Annual Report on Form 10-K for the year ended November 1, 2008.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There have been no material changes in the second quarter of fiscal 2009 in the information provided under Item 7A. “Quantitative and Qualitative Disclosures about Market Risk” set forth in our Annual Report on Form 10-K for the year ended November 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May 2, 2009.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2, 2009,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May 2, 2009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November 1, 2008 and “Part II, Item 1A. Risk Factors” of our Quarterly Report on Form 10-Q for the quarter ended January 31, 2009.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current crisis in global credit and financial markets could further materially and adversely affect our business and results of operations.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widely reported, global credit and financial markets have been experiencing extreme disruptions in recent months, including severely diminished liquidity and credit availability, declines in consumer confidence, declines in economic growth, increases in unemployment rates, and uncertainty about economic stability. Our business has been significantly affected by these conditions, and there is no certainty that credit and financial markets and confidence in economic conditions will not deteriorate further. These economic uncertainties affect businesses such as ours in a number of ways, making it difficult to accurately forecast and plan our future business activities. Accelerating layoffs, falling housing markets and the tightening of credit by financial institutions may lead consumers and businesses to continue to postpone spending, which may cause our customers to cancel, decrease or delay their existing and future orders with us. In addition, the inability of customers to obtain credit could impair their ability to make timely payments to us. Customer insolvencies in key industries, such as the automotive industry, could also negatively impact our revenues and our ability to collect receivables. In addition, financial difficulties experienced by our suppliers or distributors could result in product delays, increased accounts receivable defaults and inventory challenges. We are unable to predict the likely duration and severity of the current disruptions in the credit and financial markets and adverse global economic conditions, and if the current uncertain economic conditions continue or further deteriorate, we may record additional charges relating to restructuring costs or the impairment of assets and our business and results of operations could be materially and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140" w:lineRule="exact"/>
        <w:rPr>
          <w:sz w:val="20"/>
          <w:szCs w:val="20"/>
          <w:color w:val="auto"/>
        </w:rPr>
      </w:pPr>
    </w:p>
    <w:p>
      <w:pPr>
        <w:ind w:left="660" w:right="20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 including the current crisis in global credit and financial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security risks, terrorist activities, international conflicts and other events beyond our control.</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number of factors may increase our future effective tax rate, including: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changes in available tax credits; and changes in tax laws or the interpretation of such tax laws. Any significant increase in our future effective tax rates could adversely impact our net income for future periods.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face intense technological and pricing competition in the semiconductor industry, and we expect this competition to increase in the future. Many other companies offer products that compete with our products. Some have greater financial, manufacturing, technical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 and test services, and generally cannot control their availability or conditions of supply.</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a limited number of third-party wafer fabricators, primarily Taiwan Semiconductor Manufacturing Company, or TSMC. These suppliers manufacture components in accordance with our proprietary designs and specifications. In addition, these suppliers often provide manufacturing services to our competitors and therefore periods of increased industry demand may result in capacity constraints. If these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 Approximately 43% of our revenue for the first six months of fiscal 2009 and approximately 44% of our fiscal year 2008 revenue was from products fabricated at third-party wafer-fabrication facilities, primarily TSMC.</w:t>
      </w:r>
    </w:p>
    <w:p>
      <w:pPr>
        <w:spacing w:after="0" w:line="5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 a down market,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Semiconductor products are highly complex and may contain defects when they are first introduced or as new versions are developed. We generally warrant our products to our customers for one year from the date title passes from us. We invest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There can be no assurance that we are adequately insured to protect against all claims and potential liabilities.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7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There can be no assurance that we would be able to obtain licenses, if required, upon commercially reasonable terms, or at all.</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including claims arising under our contractual obligations to indemnify our customers.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 Our current credit facility imposes restrictions on our ability to undertake certain transactions, to create certain liens on our assets and to incur certain subsidiary indebtedness, and requires us to maintain compliance with specified financial ratios. If we breach any of the covenants under our credit facility and do not obtain a waiver from the lenders, then, subject to applicable cure periods, our outstanding indebtedness thereunder could be declared immediately due and payable.</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foundries, as a result of fire, natural disaster, unavailability of utilities or otherwise, would have a material adverse effect on our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and the Philippines. During the first six months of fiscal 2009, approximately 79%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our business strategies and operating results could be adversely affected.</w:t>
      </w:r>
    </w:p>
    <w:p>
      <w:pPr>
        <w:spacing w:after="0" w:line="5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current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intellectual property and environmental compliance, trade and travel restrictions, pandemics, import and export license requirements and restrictions, difficulties in staffing and managing worldwide operations, and accounts receivable collections.</w:t>
      </w:r>
    </w:p>
    <w:p>
      <w:pPr>
        <w:spacing w:after="0" w:line="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and property rights. Enforcement of existing laws or agreements may be inconsistent, as there exists a high degree of fragmentation among regulatory authorities resulting in uncertainties as to which authorities have jurisdiction over particular parties or transactions.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industry is subject to increasingly strict environmental regulations that control and restrict the use, transportation, emission, discharge, storage and disposal of certain chemicals, gases and other substances used or produced in the semiconductor manufacturing process. Public attention on environmental controls has continued to increase, and our customers routinely include stringent environmental standards in their contracts with us. Changes in environmental regulations may require us to invest in potentially costly remediation equipment or alter the way our products are made. In addition, we use hazardous and other regulated materials that subject us to risks of strict liability for damages caused by accidental releases, regardless of fault. Any failure to control such materials adequately or to comply with regulatory restrictions or contractual obligations could increase our expenses and adversely affect our operating results.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New climate change regulations could require us to change our manufacturing processes or obtain substitute materials that may cost more or be less available for our manufacturing operations. In addition, new restrictions on carbon dioxide or other greenhouse gas emissions could result in significant costs for us. Greenhouse gas legislation has been introduced in Massachusetts and the United States legislatures and we expect increased worldwide regulatory activity in the future. The cost of complying, or of failing to comply, with these and other climate change and emissions regulations could have an adverse effect on our business plans and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current crisis in global credit and financial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w w:val="95"/>
              </w:rPr>
              <w:t>Total Number of</w:t>
            </w:r>
          </w:p>
        </w:tc>
        <w:tc>
          <w:tcPr>
            <w:tcW w:w="3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Approximate Dollar</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Shares Purchased as</w:t>
            </w:r>
          </w:p>
        </w:tc>
        <w:tc>
          <w:tcPr>
            <w:tcW w:w="3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0"/>
              </w:rPr>
              <w:t>Value of Shares</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Part of Publicly</w:t>
            </w:r>
          </w:p>
        </w:tc>
        <w:tc>
          <w:tcPr>
            <w:tcW w:w="3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that May Yet Be</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380" w:type="dxa"/>
            <w:vAlign w:val="bottom"/>
          </w:tcPr>
          <w:p>
            <w:pPr>
              <w:spacing w:after="0"/>
              <w:rPr>
                <w:sz w:val="12"/>
                <w:szCs w:val="12"/>
                <w:color w:val="auto"/>
              </w:rPr>
            </w:pPr>
          </w:p>
        </w:tc>
        <w:tc>
          <w:tcPr>
            <w:tcW w:w="13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Average Price Paid</w:t>
            </w:r>
          </w:p>
        </w:tc>
        <w:tc>
          <w:tcPr>
            <w:tcW w:w="38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Announced Plans or</w:t>
            </w:r>
          </w:p>
        </w:tc>
        <w:tc>
          <w:tcPr>
            <w:tcW w:w="3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0"/>
              </w:rPr>
              <w:t>Purchased Under the</w:t>
            </w:r>
          </w:p>
        </w:tc>
      </w:tr>
      <w:tr>
        <w:trPr>
          <w:trHeight w:val="167"/>
        </w:trPr>
        <w:tc>
          <w:tcPr>
            <w:tcW w:w="20" w:type="dxa"/>
            <w:vAlign w:val="bottom"/>
          </w:tcPr>
          <w:p>
            <w:pPr>
              <w:spacing w:after="0"/>
              <w:rPr>
                <w:sz w:val="14"/>
                <w:szCs w:val="14"/>
                <w:color w:val="auto"/>
              </w:rPr>
            </w:pPr>
          </w:p>
        </w:tc>
        <w:tc>
          <w:tcPr>
            <w:tcW w:w="410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rPr>
              <w:t>Period</w:t>
            </w: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color w:val="auto"/>
                <w:w w:val="93"/>
              </w:rPr>
              <w:t>(a)</w:t>
            </w:r>
          </w:p>
        </w:tc>
        <w:tc>
          <w:tcPr>
            <w:tcW w:w="380" w:type="dxa"/>
            <w:vAlign w:val="bottom"/>
          </w:tcPr>
          <w:p>
            <w:pPr>
              <w:spacing w:after="0"/>
              <w:rPr>
                <w:sz w:val="14"/>
                <w:szCs w:val="14"/>
                <w:color w:val="auto"/>
              </w:rPr>
            </w:pP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Per Share (b)</w:t>
            </w:r>
          </w:p>
        </w:tc>
        <w:tc>
          <w:tcPr>
            <w:tcW w:w="38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Programs (c)</w:t>
            </w:r>
          </w:p>
        </w:tc>
        <w:tc>
          <w:tcPr>
            <w:tcW w:w="38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Plans or Programs</w:t>
            </w: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February 1, 2009 through February 28, 2009</w:t>
            </w: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82,532</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$20.93</w:t>
            </w:r>
          </w:p>
        </w:tc>
        <w:tc>
          <w:tcPr>
            <w:tcW w:w="16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82,532</w:t>
            </w:r>
          </w:p>
        </w:tc>
        <w:tc>
          <w:tcPr>
            <w:tcW w:w="2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$93,160,091</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March 1, 2009 through March 28, 2009</w:t>
            </w:r>
          </w:p>
        </w:tc>
        <w:tc>
          <w:tcPr>
            <w:tcW w:w="1440" w:type="dxa"/>
            <w:vAlign w:val="bottom"/>
            <w:gridSpan w:val="4"/>
          </w:tcPr>
          <w:p>
            <w:pPr>
              <w:jc w:val="right"/>
              <w:ind w:right="20"/>
              <w:spacing w:after="0"/>
              <w:rPr>
                <w:sz w:val="20"/>
                <w:szCs w:val="20"/>
                <w:color w:val="auto"/>
              </w:rPr>
            </w:pPr>
            <w:r>
              <w:rPr>
                <w:rFonts w:ascii="Arial" w:cs="Arial" w:eastAsia="Arial" w:hAnsi="Arial"/>
                <w:sz w:val="18"/>
                <w:szCs w:val="18"/>
                <w:color w:val="auto"/>
              </w:rPr>
              <w:t>33,692</w:t>
            </w:r>
          </w:p>
        </w:tc>
        <w:tc>
          <w:tcPr>
            <w:tcW w:w="400" w:type="dxa"/>
            <w:vAlign w:val="bottom"/>
          </w:tcPr>
          <w:p>
            <w:pPr>
              <w:spacing w:after="0"/>
              <w:rPr>
                <w:sz w:val="18"/>
                <w:szCs w:val="18"/>
                <w:color w:val="auto"/>
              </w:rPr>
            </w:pPr>
          </w:p>
        </w:tc>
        <w:tc>
          <w:tcPr>
            <w:tcW w:w="1740" w:type="dxa"/>
            <w:vAlign w:val="bottom"/>
            <w:gridSpan w:val="2"/>
          </w:tcPr>
          <w:p>
            <w:pPr>
              <w:jc w:val="right"/>
              <w:ind w:right="408"/>
              <w:spacing w:after="0"/>
              <w:rPr>
                <w:sz w:val="20"/>
                <w:szCs w:val="20"/>
                <w:color w:val="auto"/>
              </w:rPr>
            </w:pPr>
            <w:r>
              <w:rPr>
                <w:rFonts w:ascii="Arial" w:cs="Arial" w:eastAsia="Arial" w:hAnsi="Arial"/>
                <w:sz w:val="18"/>
                <w:szCs w:val="18"/>
                <w:color w:val="auto"/>
              </w:rPr>
              <w:t>$19.94</w:t>
            </w:r>
          </w:p>
        </w:tc>
        <w:tc>
          <w:tcPr>
            <w:tcW w:w="1640" w:type="dxa"/>
            <w:vAlign w:val="bottom"/>
            <w:gridSpan w:val="4"/>
          </w:tcPr>
          <w:p>
            <w:pPr>
              <w:jc w:val="right"/>
              <w:ind w:right="340"/>
              <w:spacing w:after="0"/>
              <w:rPr>
                <w:sz w:val="20"/>
                <w:szCs w:val="20"/>
                <w:color w:val="auto"/>
              </w:rPr>
            </w:pPr>
            <w:r>
              <w:rPr>
                <w:rFonts w:ascii="Arial" w:cs="Arial" w:eastAsia="Arial" w:hAnsi="Arial"/>
                <w:sz w:val="18"/>
                <w:szCs w:val="18"/>
                <w:color w:val="auto"/>
              </w:rPr>
              <w:t>29,613</w:t>
            </w:r>
          </w:p>
        </w:tc>
        <w:tc>
          <w:tcPr>
            <w:tcW w:w="2080" w:type="dxa"/>
            <w:vAlign w:val="bottom"/>
            <w:gridSpan w:val="2"/>
          </w:tcPr>
          <w:p>
            <w:pPr>
              <w:jc w:val="right"/>
              <w:ind w:right="368"/>
              <w:spacing w:after="0"/>
              <w:rPr>
                <w:sz w:val="20"/>
                <w:szCs w:val="20"/>
                <w:color w:val="auto"/>
              </w:rPr>
            </w:pPr>
            <w:r>
              <w:rPr>
                <w:rFonts w:ascii="Arial" w:cs="Arial" w:eastAsia="Arial" w:hAnsi="Arial"/>
                <w:sz w:val="18"/>
                <w:szCs w:val="18"/>
                <w:color w:val="auto"/>
              </w:rPr>
              <w:t>$92,568,341</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March 29, 2009 through May 2, 2009</w:t>
            </w: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26,532</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$29.09</w:t>
            </w:r>
          </w:p>
        </w:tc>
        <w:tc>
          <w:tcPr>
            <w:tcW w:w="16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26,532</w:t>
            </w:r>
          </w:p>
        </w:tc>
        <w:tc>
          <w:tcPr>
            <w:tcW w:w="2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$91,796,597</w:t>
            </w:r>
          </w:p>
        </w:tc>
      </w:tr>
      <w:tr>
        <w:trPr>
          <w:trHeight w:val="223"/>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142,756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gridSpan w:val="2"/>
          </w:tcPr>
          <w:p>
            <w:pPr>
              <w:jc w:val="right"/>
              <w:ind w:right="408"/>
              <w:spacing w:after="0"/>
              <w:rPr>
                <w:sz w:val="20"/>
                <w:szCs w:val="20"/>
                <w:color w:val="auto"/>
              </w:rPr>
            </w:pPr>
            <w:r>
              <w:rPr>
                <w:rFonts w:ascii="Arial" w:cs="Arial" w:eastAsia="Arial" w:hAnsi="Arial"/>
                <w:sz w:val="18"/>
                <w:szCs w:val="18"/>
                <w:color w:val="auto"/>
              </w:rPr>
              <w:t>$22.21</w:t>
            </w:r>
          </w:p>
        </w:tc>
        <w:tc>
          <w:tcPr>
            <w:tcW w:w="70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138,677</w:t>
            </w:r>
          </w:p>
        </w:tc>
        <w:tc>
          <w:tcPr>
            <w:tcW w:w="340" w:type="dxa"/>
            <w:vAlign w:val="bottom"/>
          </w:tcPr>
          <w:p>
            <w:pPr>
              <w:spacing w:after="0"/>
              <w:rPr>
                <w:sz w:val="19"/>
                <w:szCs w:val="19"/>
                <w:color w:val="auto"/>
              </w:rPr>
            </w:pPr>
          </w:p>
        </w:tc>
        <w:tc>
          <w:tcPr>
            <w:tcW w:w="2080" w:type="dxa"/>
            <w:vAlign w:val="bottom"/>
            <w:gridSpan w:val="2"/>
          </w:tcPr>
          <w:p>
            <w:pPr>
              <w:jc w:val="right"/>
              <w:ind w:right="368"/>
              <w:spacing w:after="0"/>
              <w:rPr>
                <w:sz w:val="20"/>
                <w:szCs w:val="20"/>
                <w:color w:val="auto"/>
              </w:rPr>
            </w:pPr>
            <w:r>
              <w:rPr>
                <w:rFonts w:ascii="Arial" w:cs="Arial" w:eastAsia="Arial" w:hAnsi="Arial"/>
                <w:sz w:val="18"/>
                <w:szCs w:val="18"/>
                <w:color w:val="auto"/>
              </w:rPr>
              <w:t>$91,796,597</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4,079 shares surrendered to us by employees to satisfy their tax obligations upon vesting of restricted stock granted to our employees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our stock repurchase program includes the commissions paid to the brokers.</w:t>
      </w:r>
    </w:p>
    <w:p>
      <w:pPr>
        <w:spacing w:after="0" w:line="88" w:lineRule="exact"/>
        <w:rPr>
          <w:rFonts w:ascii="Arial" w:cs="Arial" w:eastAsia="Arial" w:hAnsi="Arial"/>
          <w:sz w:val="17"/>
          <w:szCs w:val="17"/>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Repurchased pursuant to the stock repurchase program publicly announced on August 12, 2004. On June 6, 2007, our Board of Directors authorized the repurchase by us of an additional $1 billion of our common stock, increasing the total amount of our common stock we are authorized to repurchase under the program to $4 billion. Under the repurchase program, we may repurchase outstanding shares of our common stock from time to time in the open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our Annual Meeting of Shareholders held on March 10, 2009, the following matters were acted upon by our shareholders:</w:t>
      </w:r>
    </w:p>
    <w:p>
      <w:pPr>
        <w:spacing w:after="0" w:line="117" w:lineRule="exact"/>
        <w:rPr>
          <w:sz w:val="20"/>
          <w:szCs w:val="20"/>
          <w:color w:val="auto"/>
        </w:rPr>
      </w:pPr>
    </w:p>
    <w:p>
      <w:pPr>
        <w:ind w:left="500" w:hanging="43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election of three Class I Directors for the ensuing three years;</w:t>
      </w:r>
    </w:p>
    <w:p>
      <w:pPr>
        <w:spacing w:after="0" w:line="130" w:lineRule="exact"/>
        <w:rPr>
          <w:rFonts w:ascii="Arial" w:cs="Arial" w:eastAsia="Arial" w:hAnsi="Arial"/>
          <w:sz w:val="18"/>
          <w:szCs w:val="18"/>
          <w:color w:val="auto"/>
        </w:rPr>
      </w:pPr>
    </w:p>
    <w:p>
      <w:pPr>
        <w:ind w:left="500" w:right="380" w:hanging="438"/>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October 31, 2009; and</w:t>
      </w:r>
    </w:p>
    <w:p>
      <w:pPr>
        <w:spacing w:after="0" w:line="75" w:lineRule="exact"/>
        <w:rPr>
          <w:rFonts w:ascii="Arial" w:cs="Arial" w:eastAsia="Arial" w:hAnsi="Arial"/>
          <w:sz w:val="18"/>
          <w:szCs w:val="18"/>
          <w:color w:val="auto"/>
        </w:rPr>
      </w:pPr>
    </w:p>
    <w:p>
      <w:pPr>
        <w:ind w:left="500" w:hanging="43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act upon a shareholder proposal to de-classify 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voting on each of the matters presented to shareholders at the Annual Meeting are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rPr>
              <w:t>VOTES</w:t>
            </w:r>
          </w:p>
        </w:tc>
        <w:tc>
          <w:tcPr>
            <w:tcW w:w="580" w:type="dxa"/>
            <w:vAlign w:val="bottom"/>
          </w:tcPr>
          <w:p>
            <w:pPr>
              <w:spacing w:after="0"/>
              <w:rPr>
                <w:sz w:val="14"/>
                <w:szCs w:val="14"/>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VOTES</w:t>
            </w: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ABSTENTIONS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FOR</w:t>
            </w:r>
          </w:p>
        </w:tc>
        <w:tc>
          <w:tcPr>
            <w:tcW w:w="58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AGAINST</w:t>
            </w:r>
          </w:p>
        </w:tc>
        <w:tc>
          <w:tcPr>
            <w:tcW w:w="1620" w:type="dxa"/>
            <w:vAlign w:val="bottom"/>
            <w:gridSpan w:val="2"/>
            <w:vMerge w:val="continue"/>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1.</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Election of three Class I Directors:</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rPr>
              <w:t>James A. Champy</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235,356,506</w:t>
            </w:r>
          </w:p>
        </w:tc>
        <w:tc>
          <w:tcPr>
            <w:tcW w:w="2120" w:type="dxa"/>
            <w:vAlign w:val="bottom"/>
            <w:gridSpan w:val="3"/>
          </w:tcPr>
          <w:p>
            <w:pPr>
              <w:jc w:val="right"/>
              <w:ind w:right="620"/>
              <w:spacing w:after="0"/>
              <w:rPr>
                <w:sz w:val="20"/>
                <w:szCs w:val="20"/>
                <w:color w:val="auto"/>
              </w:rPr>
            </w:pPr>
            <w:r>
              <w:rPr>
                <w:rFonts w:ascii="Arial" w:cs="Arial" w:eastAsia="Arial" w:hAnsi="Arial"/>
                <w:sz w:val="18"/>
                <w:szCs w:val="18"/>
                <w:color w:val="auto"/>
              </w:rPr>
              <w:t>7,745,008</w:t>
            </w:r>
          </w:p>
        </w:tc>
        <w:tc>
          <w:tcPr>
            <w:tcW w:w="1000" w:type="dxa"/>
            <w:vAlign w:val="bottom"/>
          </w:tcPr>
          <w:p>
            <w:pPr>
              <w:jc w:val="right"/>
              <w:spacing w:after="0"/>
              <w:rPr>
                <w:sz w:val="20"/>
                <w:szCs w:val="20"/>
                <w:color w:val="auto"/>
              </w:rPr>
            </w:pPr>
            <w:r>
              <w:rPr>
                <w:rFonts w:ascii="Arial" w:cs="Arial" w:eastAsia="Arial" w:hAnsi="Arial"/>
                <w:sz w:val="18"/>
                <w:szCs w:val="18"/>
                <w:color w:val="auto"/>
              </w:rPr>
              <w:t>1,371,366</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Yves-Andre Istel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238,402,967</w:t>
            </w:r>
          </w:p>
        </w:tc>
        <w:tc>
          <w:tcPr>
            <w:tcW w:w="2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4,706,451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1,363,462</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rPr>
              <w:t>Neil Novich</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238,746,415</w:t>
            </w:r>
          </w:p>
        </w:tc>
        <w:tc>
          <w:tcPr>
            <w:tcW w:w="2120" w:type="dxa"/>
            <w:vAlign w:val="bottom"/>
            <w:gridSpan w:val="3"/>
          </w:tcPr>
          <w:p>
            <w:pPr>
              <w:jc w:val="right"/>
              <w:ind w:right="620"/>
              <w:spacing w:after="0"/>
              <w:rPr>
                <w:sz w:val="20"/>
                <w:szCs w:val="20"/>
                <w:color w:val="auto"/>
              </w:rPr>
            </w:pPr>
            <w:r>
              <w:rPr>
                <w:rFonts w:ascii="Arial" w:cs="Arial" w:eastAsia="Arial" w:hAnsi="Arial"/>
                <w:sz w:val="18"/>
                <w:szCs w:val="18"/>
                <w:color w:val="auto"/>
              </w:rPr>
              <w:t>4,388,998</w:t>
            </w:r>
          </w:p>
        </w:tc>
        <w:tc>
          <w:tcPr>
            <w:tcW w:w="1000" w:type="dxa"/>
            <w:vAlign w:val="bottom"/>
          </w:tcPr>
          <w:p>
            <w:pPr>
              <w:jc w:val="right"/>
              <w:spacing w:after="0"/>
              <w:rPr>
                <w:sz w:val="20"/>
                <w:szCs w:val="20"/>
                <w:color w:val="auto"/>
              </w:rPr>
            </w:pPr>
            <w:r>
              <w:rPr>
                <w:rFonts w:ascii="Arial" w:cs="Arial" w:eastAsia="Arial" w:hAnsi="Arial"/>
                <w:sz w:val="18"/>
                <w:szCs w:val="18"/>
                <w:color w:val="auto"/>
              </w:rPr>
              <w:t>1,337,467</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Kenton J. Sicchitano</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239,255,640</w:t>
            </w:r>
          </w:p>
        </w:tc>
        <w:tc>
          <w:tcPr>
            <w:tcW w:w="2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3,972,553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1,244,686</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2"/>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2.</w:t>
            </w:r>
          </w:p>
        </w:tc>
        <w:tc>
          <w:tcPr>
            <w:tcW w:w="5480" w:type="dxa"/>
            <w:vAlign w:val="bottom"/>
          </w:tcPr>
          <w:p>
            <w:pPr>
              <w:ind w:left="20"/>
              <w:spacing w:after="0"/>
              <w:rPr>
                <w:sz w:val="20"/>
                <w:szCs w:val="20"/>
                <w:color w:val="auto"/>
              </w:rPr>
            </w:pPr>
            <w:r>
              <w:rPr>
                <w:rFonts w:ascii="Arial" w:cs="Arial" w:eastAsia="Arial" w:hAnsi="Arial"/>
                <w:sz w:val="18"/>
                <w:szCs w:val="18"/>
                <w:color w:val="auto"/>
              </w:rPr>
              <w:t>Ratification of Ernst &amp; Young LLP</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238,982,598</w:t>
            </w:r>
          </w:p>
        </w:tc>
        <w:tc>
          <w:tcPr>
            <w:tcW w:w="2120" w:type="dxa"/>
            <w:vAlign w:val="bottom"/>
            <w:gridSpan w:val="3"/>
          </w:tcPr>
          <w:p>
            <w:pPr>
              <w:jc w:val="right"/>
              <w:ind w:right="620"/>
              <w:spacing w:after="0"/>
              <w:rPr>
                <w:sz w:val="20"/>
                <w:szCs w:val="20"/>
                <w:color w:val="auto"/>
              </w:rPr>
            </w:pPr>
            <w:r>
              <w:rPr>
                <w:rFonts w:ascii="Arial" w:cs="Arial" w:eastAsia="Arial" w:hAnsi="Arial"/>
                <w:sz w:val="18"/>
                <w:szCs w:val="18"/>
                <w:color w:val="auto"/>
              </w:rPr>
              <w:t>5,067,336</w:t>
            </w:r>
          </w:p>
        </w:tc>
        <w:tc>
          <w:tcPr>
            <w:tcW w:w="1000" w:type="dxa"/>
            <w:vAlign w:val="bottom"/>
          </w:tcPr>
          <w:p>
            <w:pPr>
              <w:jc w:val="right"/>
              <w:spacing w:after="0"/>
              <w:rPr>
                <w:sz w:val="20"/>
                <w:szCs w:val="20"/>
                <w:color w:val="auto"/>
              </w:rPr>
            </w:pPr>
            <w:r>
              <w:rPr>
                <w:rFonts w:ascii="Arial" w:cs="Arial" w:eastAsia="Arial" w:hAnsi="Arial"/>
                <w:sz w:val="18"/>
                <w:szCs w:val="18"/>
                <w:color w:val="auto"/>
              </w:rPr>
              <w:t>433,914</w:t>
            </w:r>
          </w:p>
        </w:tc>
        <w:tc>
          <w:tcPr>
            <w:tcW w:w="6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3.</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 proposal to de-classify our Board of Directors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184,354,885</w:t>
            </w:r>
          </w:p>
        </w:tc>
        <w:tc>
          <w:tcPr>
            <w:tcW w:w="2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35,451,045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887,397</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23,790,521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other directors of the Company, whose terms of office as directors continued after the Annual Meeting, are John L. Doyle, Paul J. Severino, Ray Stata, Jerald G. Fishman, John C. Hodgson and F. Grant Saviers.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80" w:type="dxa"/>
            <w:vAlign w:val="bottom"/>
            <w:gridSpan w:val="2"/>
          </w:tcPr>
          <w:p>
            <w:pPr>
              <w:ind w:left="1940"/>
              <w:spacing w:after="0"/>
              <w:rPr>
                <w:sz w:val="20"/>
                <w:szCs w:val="20"/>
                <w:color w:val="auto"/>
              </w:rPr>
            </w:pPr>
            <w:r>
              <w:rPr>
                <w:rFonts w:ascii="Arial" w:cs="Arial" w:eastAsia="Arial" w:hAnsi="Arial"/>
                <w:sz w:val="18"/>
                <w:szCs w:val="18"/>
                <w:color w:val="auto"/>
              </w:rPr>
              <w:t>ANALOG DEVICES, INC.</w:t>
            </w:r>
          </w:p>
        </w:tc>
        <w:tc>
          <w:tcPr>
            <w:tcW w:w="166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May 19, 2009</w:t>
            </w:r>
          </w:p>
        </w:tc>
        <w:tc>
          <w:tcPr>
            <w:tcW w:w="6380" w:type="dxa"/>
            <w:vAlign w:val="bottom"/>
            <w:gridSpan w:val="2"/>
          </w:tcPr>
          <w:p>
            <w:pPr>
              <w:ind w:left="1940"/>
              <w:spacing w:after="0"/>
              <w:rPr>
                <w:sz w:val="20"/>
                <w:szCs w:val="20"/>
                <w:color w:val="auto"/>
              </w:rPr>
            </w:pPr>
            <w:r>
              <w:rPr>
                <w:rFonts w:ascii="Arial" w:cs="Arial" w:eastAsia="Arial" w:hAnsi="Arial"/>
                <w:sz w:val="18"/>
                <w:szCs w:val="18"/>
                <w:color w:val="auto"/>
              </w:rPr>
              <w:t>By: /s/ Jerald G. Fishman</w:t>
            </w:r>
          </w:p>
        </w:tc>
        <w:tc>
          <w:tcPr>
            <w:tcW w:w="166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6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66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60" w:type="dxa"/>
            <w:vAlign w:val="bottom"/>
          </w:tcPr>
          <w:p>
            <w:pPr>
              <w:spacing w:after="0"/>
              <w:rPr>
                <w:sz w:val="20"/>
                <w:szCs w:val="20"/>
                <w:color w:val="auto"/>
              </w:rPr>
            </w:pPr>
          </w:p>
        </w:tc>
      </w:tr>
      <w:tr>
        <w:trPr>
          <w:trHeight w:val="648"/>
        </w:trPr>
        <w:tc>
          <w:tcPr>
            <w:tcW w:w="3380" w:type="dxa"/>
            <w:vAlign w:val="bottom"/>
          </w:tcPr>
          <w:p>
            <w:pPr>
              <w:spacing w:after="0"/>
              <w:rPr>
                <w:sz w:val="20"/>
                <w:szCs w:val="20"/>
                <w:color w:val="auto"/>
              </w:rPr>
            </w:pPr>
            <w:r>
              <w:rPr>
                <w:rFonts w:ascii="Arial" w:cs="Arial" w:eastAsia="Arial" w:hAnsi="Arial"/>
                <w:sz w:val="18"/>
                <w:szCs w:val="18"/>
                <w:color w:val="auto"/>
              </w:rPr>
              <w:t>Date: May 19, 2009</w:t>
            </w:r>
          </w:p>
        </w:tc>
        <w:tc>
          <w:tcPr>
            <w:tcW w:w="6380" w:type="dxa"/>
            <w:vAlign w:val="bottom"/>
            <w:gridSpan w:val="2"/>
          </w:tcPr>
          <w:p>
            <w:pPr>
              <w:ind w:left="1940"/>
              <w:spacing w:after="0"/>
              <w:rPr>
                <w:sz w:val="20"/>
                <w:szCs w:val="20"/>
                <w:color w:val="auto"/>
              </w:rPr>
            </w:pPr>
            <w:r>
              <w:rPr>
                <w:rFonts w:ascii="Arial" w:cs="Arial" w:eastAsia="Arial" w:hAnsi="Arial"/>
                <w:sz w:val="18"/>
                <w:szCs w:val="18"/>
                <w:color w:val="auto"/>
              </w:rPr>
              <w:t>By: /s/ David A. Zinsner</w:t>
            </w:r>
          </w:p>
        </w:tc>
        <w:tc>
          <w:tcPr>
            <w:tcW w:w="166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66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c>
          <w:tcPr>
            <w:tcW w:w="166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60" w:type="dxa"/>
            <w:vAlign w:val="bottom"/>
          </w:tcPr>
          <w:p>
            <w:pPr>
              <w:spacing w:after="0"/>
              <w:rPr>
                <w:sz w:val="20"/>
                <w:szCs w:val="20"/>
                <w:color w:val="auto"/>
              </w:rPr>
            </w:pPr>
          </w:p>
        </w:tc>
      </w:tr>
      <w:tr>
        <w:trPr>
          <w:trHeight w:val="405"/>
        </w:trPr>
        <w:tc>
          <w:tcPr>
            <w:tcW w:w="3380" w:type="dxa"/>
            <w:vAlign w:val="bottom"/>
          </w:tcPr>
          <w:p>
            <w:pPr>
              <w:spacing w:after="0"/>
              <w:rPr>
                <w:sz w:val="24"/>
                <w:szCs w:val="24"/>
                <w:color w:val="auto"/>
              </w:rPr>
            </w:pPr>
          </w:p>
        </w:tc>
        <w:tc>
          <w:tcPr>
            <w:tcW w:w="6380" w:type="dxa"/>
            <w:vAlign w:val="bottom"/>
            <w:gridSpan w:val="2"/>
          </w:tcPr>
          <w:p>
            <w:pPr>
              <w:jc w:val="right"/>
              <w:ind w:right="3870"/>
              <w:spacing w:after="0"/>
              <w:rPr>
                <w:sz w:val="20"/>
                <w:szCs w:val="20"/>
                <w:color w:val="auto"/>
              </w:rPr>
            </w:pPr>
            <w:r>
              <w:rPr>
                <w:rFonts w:ascii="Arial" w:cs="Arial" w:eastAsia="Arial" w:hAnsi="Arial"/>
                <w:sz w:val="18"/>
                <w:szCs w:val="18"/>
                <w:color w:val="auto"/>
              </w:rPr>
              <w:t>48</w:t>
            </w:r>
          </w:p>
        </w:tc>
        <w:tc>
          <w:tcPr>
            <w:tcW w:w="166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2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240" w:type="dxa"/>
            <w:vAlign w:val="bottom"/>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right="160" w:hanging="845"/>
        <w:spacing w:after="0" w:line="277" w:lineRule="auto"/>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 13a-14(a) and 15d-14(a) of the Securities Exchange Act, as Adopted Pursuant to Section 302 of the Sarbanes-Oxley Act of 2002 (Chief Executive Officer).</w:t>
      </w:r>
    </w:p>
    <w:p>
      <w:pPr>
        <w:spacing w:after="0" w:line="170" w:lineRule="exact"/>
        <w:rPr>
          <w:sz w:val="20"/>
          <w:szCs w:val="20"/>
          <w:color w:val="auto"/>
        </w:rPr>
      </w:pPr>
    </w:p>
    <w:p>
      <w:pPr>
        <w:ind w:left="1160" w:right="160" w:hanging="845"/>
        <w:spacing w:after="0" w:line="277" w:lineRule="auto"/>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 13a-14(a) and 15d-14(a) of the Securities Exchange Act, as Adopted Pursuant to Section 302 of the Sarbanes-Oxley Act of 2002 (Chief Financial Officer).</w:t>
      </w:r>
    </w:p>
    <w:p>
      <w:pPr>
        <w:spacing w:after="0" w:line="170"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(Chief Executive Officer).</w:t>
      </w:r>
    </w:p>
    <w:p>
      <w:pPr>
        <w:spacing w:after="0" w:line="225"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(Chief Financial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1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19,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Zinsner, certify that:</w:t>
      </w:r>
    </w:p>
    <w:p>
      <w:pPr>
        <w:spacing w:after="0" w:line="117"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19,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2, 2009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19,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2, 2009 as filed with the Securities and Exchange Commission on the date hereof (the “Report”), the undersigned, David Zinsner, Chief Financial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19,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2019-12-09T22:22:25Z</dcterms:created>
  <dcterms:modified xsi:type="dcterms:W3CDTF">2019-12-09T22:22:25Z</dcterms:modified>
</cp:coreProperties>
</file>