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98516ddefa14a.htm"/>
      <w:bookmarkStart w:id="1" w:name="ksd798516ddefa14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Analog Devices,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Analog Devices, Inc. (the Company) is filing a copy of a letter that was sent to Institutional Shareholder Services (ISS) on February 29, 2024 relating to the ISS Proxy Analysis &amp; Benchmark Policy Voting Recommendations on the Companys 2024 proxy statement.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6212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62125"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February 29, 2024 </w:t>
      </w:r>
    </w:p>
    <w:p>
      <w:pPr>
        <w:pStyle w:val="TextBody"/>
        <w:bidi w:val="0"/>
        <w:spacing w:before="240" w:after="0"/>
        <w:jc w:val="left"/>
        <w:rPr>
          <w:rFonts w:ascii="Times New Roman" w:hAnsi="Times New Roman"/>
          <w:sz w:val="20"/>
        </w:rPr>
      </w:pPr>
      <w:r>
        <w:rPr>
          <w:rFonts w:ascii="Times New Roman" w:hAnsi="Times New Roman"/>
          <w:sz w:val="20"/>
        </w:rPr>
        <w:t xml:space="preserve">Institutional Shareholder Services </w:t>
      </w:r>
    </w:p>
    <w:p>
      <w:pPr>
        <w:pStyle w:val="TextBody"/>
        <w:bidi w:val="0"/>
        <w:spacing w:before="0" w:after="0"/>
        <w:jc w:val="left"/>
        <w:rPr>
          <w:rFonts w:ascii="Times New Roman" w:hAnsi="Times New Roman"/>
          <w:sz w:val="20"/>
        </w:rPr>
      </w:pPr>
      <w:r>
        <w:rPr>
          <w:rFonts w:ascii="Times New Roman" w:hAnsi="Times New Roman"/>
          <w:sz w:val="20"/>
        </w:rPr>
        <w:t xml:space="preserve">702 King Farm Boulevard </w:t>
      </w:r>
    </w:p>
    <w:p>
      <w:pPr>
        <w:pStyle w:val="TextBody"/>
        <w:bidi w:val="0"/>
        <w:spacing w:before="0" w:after="0"/>
        <w:jc w:val="left"/>
        <w:rPr>
          <w:rFonts w:ascii="Times New Roman" w:hAnsi="Times New Roman"/>
          <w:sz w:val="20"/>
        </w:rPr>
      </w:pPr>
      <w:r>
        <w:rPr>
          <w:rFonts w:ascii="Times New Roman" w:hAnsi="Times New Roman"/>
          <w:sz w:val="20"/>
        </w:rPr>
        <w:t xml:space="preserve">Rockville, MD 20850 </w:t>
      </w:r>
    </w:p>
    <w:p>
      <w:pPr>
        <w:pStyle w:val="TextBody"/>
        <w:bidi w:val="0"/>
        <w:spacing w:before="240" w:after="0"/>
        <w:jc w:val="left"/>
        <w:rPr>
          <w:rFonts w:ascii="Times New Roman" w:hAnsi="Times New Roman"/>
          <w:sz w:val="20"/>
        </w:rPr>
      </w:pPr>
      <w:r>
        <w:rPr>
          <w:rFonts w:ascii="Times New Roman" w:hAnsi="Times New Roman"/>
          <w:sz w:val="20"/>
        </w:rPr>
        <w:t xml:space="preserve">Re: 2024 ISS Report on Analog Devices, Inc. </w:t>
      </w:r>
    </w:p>
    <w:p>
      <w:pPr>
        <w:pStyle w:val="TextBody"/>
        <w:bidi w:val="0"/>
        <w:spacing w:before="240" w:after="0"/>
        <w:jc w:val="left"/>
        <w:rPr>
          <w:rFonts w:ascii="Times New Roman" w:hAnsi="Times New Roman"/>
          <w:sz w:val="20"/>
        </w:rPr>
      </w:pPr>
      <w:r>
        <w:rPr>
          <w:rFonts w:ascii="Times New Roman" w:hAnsi="Times New Roman"/>
          <w:sz w:val="20"/>
        </w:rPr>
        <w:t xml:space="preserve">To ISS Help Desk: </w:t>
      </w:r>
    </w:p>
    <w:p>
      <w:pPr>
        <w:pStyle w:val="TextBody"/>
        <w:bidi w:val="0"/>
        <w:spacing w:before="120" w:after="0"/>
        <w:jc w:val="left"/>
        <w:rPr>
          <w:rFonts w:ascii="Times New Roman" w:hAnsi="Times New Roman"/>
          <w:sz w:val="20"/>
        </w:rPr>
      </w:pPr>
      <w:r>
        <w:rPr>
          <w:rFonts w:ascii="Times New Roman" w:hAnsi="Times New Roman"/>
          <w:sz w:val="20"/>
        </w:rPr>
        <w:t xml:space="preserve">I am writing to you on behalf of the Board of Directors at Analog Devices (ADI) in response to the ISS proxy research report on ADI, published February 23, 2024. </w:t>
      </w:r>
    </w:p>
    <w:p>
      <w:pPr>
        <w:pStyle w:val="TextBody"/>
        <w:bidi w:val="0"/>
        <w:spacing w:before="240" w:after="0"/>
        <w:jc w:val="left"/>
        <w:rPr>
          <w:rFonts w:ascii="Times New Roman" w:hAnsi="Times New Roman"/>
          <w:sz w:val="20"/>
        </w:rPr>
      </w:pPr>
      <w:r>
        <w:rPr>
          <w:rFonts w:ascii="Times New Roman" w:hAnsi="Times New Roman"/>
          <w:sz w:val="20"/>
        </w:rPr>
        <w:t xml:space="preserve">Specifically, we would like to address and correct key context missing from ISS analysis on ADIs short-term incentive plan in the report, within the executive compensation analysis. We have also addressed these topics and clarified the details of our short-term incentive program in our supplemental proxy materials which are attached and will be filed with the SEC today. </w:t>
      </w:r>
    </w:p>
    <w:p>
      <w:pPr>
        <w:pStyle w:val="TextBody"/>
        <w:bidi w:val="0"/>
        <w:spacing w:before="240" w:after="0"/>
        <w:jc w:val="left"/>
        <w:rPr>
          <w:rFonts w:ascii="Times New Roman" w:hAnsi="Times New Roman"/>
          <w:sz w:val="20"/>
        </w:rPr>
      </w:pPr>
      <w:r>
        <w:rPr>
          <w:rFonts w:ascii="Times New Roman" w:hAnsi="Times New Roman"/>
          <w:sz w:val="20"/>
        </w:rPr>
        <w:t xml:space="preserve">In light of this information, we request that ISS publish an updated version of its research report to include this important context and accordingly revise the report to recommend </w:t>
      </w:r>
      <w:r>
        <w:rPr>
          <w:rFonts w:ascii="Times New Roman" w:hAnsi="Times New Roman"/>
          <w:sz w:val="20"/>
          <w:u w:val="single"/>
        </w:rPr>
        <w:t>FOR</w:t>
      </w:r>
      <w:r>
        <w:rPr>
          <w:rFonts w:ascii="Times New Roman" w:hAnsi="Times New Roman"/>
          <w:sz w:val="20"/>
        </w:rPr>
        <w:t xml:space="preserve"> our Advisory Vote to Ratify Named Executive Officers Compensation.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further questions, we are happy to discuss.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Target-Setting for Short-Term Incentive </w:t>
      </w:r>
    </w:p>
    <w:p>
      <w:pPr>
        <w:pStyle w:val="TextBody"/>
        <w:bidi w:val="0"/>
        <w:spacing w:before="120" w:after="0"/>
        <w:jc w:val="left"/>
        <w:rPr>
          <w:rFonts w:ascii="Times New Roman" w:hAnsi="Times New Roman"/>
          <w:sz w:val="20"/>
        </w:rPr>
      </w:pPr>
      <w:r>
        <w:rPr>
          <w:rFonts w:ascii="Times New Roman" w:hAnsi="Times New Roman"/>
          <w:sz w:val="20"/>
        </w:rPr>
        <w:t xml:space="preserve">On p. 17 of its proxy research report, ISS writes about ADIs short-term incentive program: </w:t>
      </w:r>
    </w:p>
    <w:p>
      <w:pPr>
        <w:pStyle w:val="TextBody"/>
        <w:bidi w:val="0"/>
        <w:spacing w:before="120" w:after="0"/>
        <w:jc w:val="left"/>
        <w:rPr>
          <w:rFonts w:ascii="Times New Roman" w:hAnsi="Times New Roman"/>
          <w:i/>
          <w:sz w:val="20"/>
        </w:rPr>
      </w:pPr>
      <w:r>
        <w:rPr>
          <w:rFonts w:ascii="Times New Roman" w:hAnsi="Times New Roman"/>
          <w:i/>
          <w:sz w:val="20"/>
        </w:rPr>
        <w:t xml:space="preserve">The OPBT margin target goal was set at 42 percent. Of note, actual OPBT margin performance exceeded 42 percent each quarter in FY22. Moreover, the maximum goal for OPBT margin for the final two quarters in FY23 was set below the prior achievement in the final two quarters of FY22.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investment community broadly understands that the semiconductor industry is cyclical in nature. The Compensation and Talent Committee (Committee) has designed our incentive compensation plans such that management is focused on driving our long-term strategy and results amid this cyclicality. Keeping targets consistent year-over-year, aligned with our long-term strategy and financial model, provides clarity to both shareholders and management. This results in higher payouts in the upcycle and lower payments in the downcycle to protect profits during weaker periods.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sz w:val="20"/>
        </w:rPr>
      </w:pPr>
      <w:r>
        <w:rPr>
          <w:rFonts w:ascii="Times New Roman" w:hAnsi="Times New Roman"/>
          <w:sz w:val="20"/>
        </w:rPr>
        <w:t xml:space="preserve">Analog Devices, Inc. | One Analog Way | Wilmington, MA 01887 | U.S.A | Tel: 781.935.5565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62125"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62125"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setting performance targets for our short-term incentive plan, the Compensation and Talent Committee considers multiple factors including our historical business results, estimates of multi-year performance from our long-term strategic planning, and the performance of market competitors. We strive to set challenging growth targets for the long-term that are not adjusted annually (typically in place for 3-4 years, reflecting business cycles) and are aligned with our long-term strategy.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do not set our targets based on prior peak or trough performance, but rather the long-term strategy. We have adjusted our targets twice over the past six years to align with strategic shifts following transformative acquisitions. Most recently, we adjusted these targets in May 2022 following our acquisition of Maxim for ~$21 billion and in May 2018 following our acquisition of Linear Technology for ~$15 billion. </w:t>
      </w:r>
    </w:p>
    <w:p>
      <w:pPr>
        <w:pStyle w:val="TextBody"/>
        <w:bidi w:val="0"/>
        <w:spacing w:before="480" w:after="0"/>
        <w:jc w:val="center"/>
        <w:rPr>
          <w:rFonts w:ascii="Times New Roman" w:hAnsi="Times New Roman"/>
          <w:b/>
          <w:sz w:val="20"/>
        </w:rPr>
      </w:pPr>
      <w:r>
        <w:rPr>
          <w:rFonts w:ascii="Times New Roman" w:hAnsi="Times New Roman"/>
          <w:b/>
          <w:sz w:val="20"/>
        </w:rPr>
        <w:t xml:space="preserve">Historical Short-Term Incentive Targets </w:t>
      </w:r>
    </w:p>
    <w:p>
      <w:pPr>
        <w:pStyle w:val="TextBody"/>
        <w:bidi w:val="0"/>
        <w:spacing w:before="0" w:after="0"/>
        <w:jc w:val="left"/>
        <w:rPr/>
      </w:pPr>
      <w:r>
        <w:rPr/>
        <w:t> </w:t>
      </w:r>
    </w:p>
    <w:tbl>
      <w:tblPr>
        <w:tblW w:w="11789" w:type="dxa"/>
        <w:jc w:val="center"/>
        <w:tblInd w:w="0" w:type="dxa"/>
        <w:tblLayout w:type="fixed"/>
        <w:tblCellMar>
          <w:top w:w="0" w:type="dxa"/>
          <w:left w:w="0" w:type="dxa"/>
          <w:bottom w:w="0" w:type="dxa"/>
          <w:right w:w="0" w:type="dxa"/>
        </w:tblCellMar>
      </w:tblPr>
      <w:tblGrid>
        <w:gridCol w:w="545"/>
        <w:gridCol w:w="120"/>
        <w:gridCol w:w="198"/>
        <w:gridCol w:w="1307"/>
        <w:gridCol w:w="275"/>
        <w:gridCol w:w="60"/>
        <w:gridCol w:w="190"/>
        <w:gridCol w:w="1255"/>
        <w:gridCol w:w="275"/>
        <w:gridCol w:w="60"/>
        <w:gridCol w:w="198"/>
        <w:gridCol w:w="1307"/>
        <w:gridCol w:w="275"/>
        <w:gridCol w:w="60"/>
        <w:gridCol w:w="190"/>
        <w:gridCol w:w="1255"/>
        <w:gridCol w:w="275"/>
        <w:gridCol w:w="60"/>
        <w:gridCol w:w="198"/>
        <w:gridCol w:w="1307"/>
        <w:gridCol w:w="541"/>
        <w:gridCol w:w="118"/>
        <w:gridCol w:w="190"/>
        <w:gridCol w:w="1255"/>
        <w:gridCol w:w="27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85" w:type="dxa"/>
            <w:gridSpan w:val="6"/>
            <w:tcBorders>
              <w:bottom w:val="single" w:sz="8" w:space="0" w:color="000000"/>
            </w:tcBorders>
            <w:tcMar>
              <w:bottom w:w="28" w:type="dxa"/>
            </w:tcMar>
            <w:vAlign w:val="bottom"/>
          </w:tcPr>
          <w:p>
            <w:pPr>
              <w:pStyle w:val="TableContents"/>
              <w:bidi w:val="0"/>
              <w:spacing w:before="0" w:after="283"/>
              <w:jc w:val="center"/>
              <w:rPr/>
            </w:pPr>
            <w:r>
              <w:rPr>
                <w:b/>
              </w:rPr>
              <w:t>Pre LTC Acquisition</w:t>
            </w:r>
            <w:r>
              <w:rPr/>
              <w:br/>
            </w:r>
            <w:r>
              <w:rPr>
                <w:i/>
              </w:rPr>
              <w:t>Pre-May 2018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5" w:type="dxa"/>
            <w:gridSpan w:val="6"/>
            <w:tcBorders>
              <w:bottom w:val="single" w:sz="8" w:space="0" w:color="000000"/>
            </w:tcBorders>
            <w:tcMar>
              <w:bottom w:w="28" w:type="dxa"/>
            </w:tcMar>
            <w:vAlign w:val="bottom"/>
          </w:tcPr>
          <w:p>
            <w:pPr>
              <w:pStyle w:val="TableContents"/>
              <w:bidi w:val="0"/>
              <w:spacing w:before="0" w:after="283"/>
              <w:jc w:val="center"/>
              <w:rPr/>
            </w:pPr>
            <w:r>
              <w:rPr>
                <w:b/>
              </w:rPr>
              <w:t>Post LTC Acquisition</w:t>
            </w:r>
            <w:r>
              <w:rPr/>
              <w:br/>
            </w:r>
            <w:r>
              <w:rPr>
                <w:i/>
              </w:rPr>
              <w:t>May 2018 - May 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09" w:type="dxa"/>
            <w:gridSpan w:val="6"/>
            <w:tcBorders>
              <w:bottom w:val="single" w:sz="8" w:space="0" w:color="000000"/>
            </w:tcBorders>
            <w:tcMar>
              <w:bottom w:w="28" w:type="dxa"/>
            </w:tcMar>
            <w:vAlign w:val="bottom"/>
          </w:tcPr>
          <w:p>
            <w:pPr>
              <w:pStyle w:val="TableContents"/>
              <w:bidi w:val="0"/>
              <w:spacing w:before="0" w:after="283"/>
              <w:jc w:val="center"/>
              <w:rPr/>
            </w:pPr>
            <w:r>
              <w:rPr>
                <w:b/>
              </w:rPr>
              <w:t>Post Maxim Acquisition</w:t>
            </w:r>
            <w:r>
              <w:rPr/>
              <w:br/>
            </w:r>
            <w:r>
              <w:rPr>
                <w:i/>
              </w:rPr>
              <w:t>May 2022 - Present</w:t>
            </w:r>
          </w:p>
        </w:tc>
        <w:tc>
          <w:tcPr>
            <w:tcW w:w="275" w:type="dxa"/>
            <w:tcBorders/>
            <w:vAlign w:val="bottom"/>
          </w:tcPr>
          <w:p>
            <w:pPr>
              <w:pStyle w:val="TableContents"/>
              <w:bidi w:val="0"/>
              <w:spacing w:before="0" w:after="283"/>
              <w:jc w:val="left"/>
              <w:rPr/>
            </w:pPr>
            <w:r>
              <w:rPr/>
              <w:t> </w:t>
            </w:r>
          </w:p>
        </w:tc>
      </w:tr>
      <w:tr>
        <w:trPr/>
        <w:tc>
          <w:tcPr>
            <w:tcW w:w="54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Payout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Factor</w:t>
            </w:r>
          </w:p>
        </w:tc>
        <w:tc>
          <w:tcPr>
            <w:tcW w:w="12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OPBT Margin</w:t>
              <w:br/>
              <w:t>by Quarter</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 YoY</w:t>
              <w:br/>
              <w:t>Growth by</w:t>
              <w:br/>
              <w:t>Quarter</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OPBT Margin</w:t>
              <w:br/>
              <w:t>by Quarter</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 YoY</w:t>
              <w:br/>
              <w:t>Growth by</w:t>
              <w:br/>
              <w:t>Quarter</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OPBT Margin</w:t>
              <w:br/>
              <w:t>by Quarter</w:t>
            </w:r>
          </w:p>
        </w:tc>
        <w:tc>
          <w:tcPr>
            <w:tcW w:w="541"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 YoY</w:t>
              <w:br/>
              <w:t>Growth by</w:t>
              <w:br/>
              <w:t>Quarter</w:t>
            </w:r>
          </w:p>
        </w:tc>
        <w:tc>
          <w:tcPr>
            <w:tcW w:w="275" w:type="dxa"/>
            <w:tcBorders/>
            <w:vAlign w:val="bottom"/>
          </w:tcPr>
          <w:p>
            <w:pPr>
              <w:pStyle w:val="TableContents"/>
              <w:bidi w:val="0"/>
              <w:spacing w:before="0" w:after="283"/>
              <w:jc w:val="left"/>
              <w:rPr/>
            </w:pPr>
            <w:r>
              <w:rPr/>
              <w:t> </w:t>
            </w:r>
          </w:p>
        </w:tc>
      </w:tr>
      <w:tr>
        <w:trPr/>
        <w:tc>
          <w:tcPr>
            <w:tcW w:w="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0x</w:t>
            </w:r>
          </w:p>
        </w:tc>
        <w:tc>
          <w:tcPr>
            <w:tcW w:w="12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w:t>
            </w:r>
            <w:r>
              <w:rPr/>
              <w:t>20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w:t>
            </w:r>
            <w:r>
              <w:rPr/>
              <w:t>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w:t>
            </w:r>
            <w:r>
              <w:rPr/>
              <w:t>40</w:t>
            </w:r>
          </w:p>
        </w:tc>
        <w:tc>
          <w:tcPr>
            <w:tcW w:w="54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1.0x</w:t>
            </w:r>
          </w:p>
        </w:tc>
        <w:tc>
          <w:tcPr>
            <w:tcW w:w="12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39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42</w:t>
            </w:r>
          </w:p>
        </w:tc>
        <w:tc>
          <w:tcPr>
            <w:tcW w:w="541"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r>
      <w:tr>
        <w:trPr/>
        <w:tc>
          <w:tcPr>
            <w:tcW w:w="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2.0x</w:t>
            </w:r>
          </w:p>
        </w:tc>
        <w:tc>
          <w:tcPr>
            <w:tcW w:w="12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35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45</w:t>
            </w:r>
          </w:p>
        </w:tc>
        <w:tc>
          <w:tcPr>
            <w:tcW w:w="54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3.0x</w:t>
            </w:r>
          </w:p>
        </w:tc>
        <w:tc>
          <w:tcPr>
            <w:tcW w:w="12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w:t>
            </w:r>
            <w:r>
              <w:rPr/>
              <w:t>40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w:t>
            </w:r>
            <w:r>
              <w:rPr/>
              <w:t>28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w:t>
            </w:r>
            <w:r>
              <w:rPr/>
              <w:t>45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w:t>
            </w:r>
            <w:r>
              <w:rPr/>
              <w:t>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w:t>
            </w:r>
            <w:r>
              <w:rPr/>
              <w:t>50</w:t>
            </w:r>
          </w:p>
        </w:tc>
        <w:tc>
          <w:tcPr>
            <w:tcW w:w="541"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w:t>
            </w:r>
            <w:r>
              <w:rPr/>
              <w:t>22</w:t>
            </w:r>
          </w:p>
        </w:tc>
        <w:tc>
          <w:tcPr>
            <w:tcW w:w="27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ADI had record performance in FY 2022 across several key financial metrics, including revenue and OPBT margin coming out of the pandemic and semiconductor supply chain disruption. FY 2022 and the first half of FY 2023 were not typical and represented a peak in the market. However, during the second half of FY 2023, ADI and the entire industry began experiencing significant challenges across our operating environment and the broader economic landscape. Despite these challenges, the Committee maintained the same OPBT margin and revenue growth goals in our short-term incentive plan as those in FY 2022. In fact, the Committee kept these same goals in place for FY 2024, even as the broader operating environment has become increasingly challenging and our performance was not as strong in FY 2023 and expectations for FY 2024 had further diminished.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financial results and corresponding short-term incentive payouts over the past few quarters clearly indicates that the Committee has set rigorous performance targets in our short-term incentive plan that are very difficult to achieve, even as ADI and the industry face a significant cyclical downturn.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sz w:val="20"/>
        </w:rPr>
      </w:pPr>
      <w:r>
        <w:rPr>
          <w:rFonts w:ascii="Times New Roman" w:hAnsi="Times New Roman"/>
          <w:sz w:val="20"/>
        </w:rPr>
        <w:t xml:space="preserve">Analog Devices, Inc. | One Analog Way | Wilmington, MA 01887 | U.S.A | Tel: 781.935.5565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62125" cy="733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62125"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YoY Revenue Growth and Adjusted Operating Margin </w:t>
      </w:r>
    </w:p>
    <w:p>
      <w:pPr>
        <w:pStyle w:val="TextBody"/>
        <w:bidi w:val="0"/>
        <w:spacing w:before="0" w:after="0"/>
        <w:jc w:val="left"/>
        <w:rPr/>
      </w:pPr>
      <w:r>
        <w:rPr/>
        <w:t> </w:t>
      </w:r>
    </w:p>
    <w:p>
      <w:pPr>
        <w:pStyle w:val="TextBody"/>
        <w:bidi w:val="0"/>
        <w:spacing w:before="0" w:after="0"/>
        <w:jc w:val="center"/>
        <w:rPr/>
      </w:pPr>
      <w:r>
        <w:rPr/>
        <w:drawing>
          <wp:inline distT="0" distB="0" distL="0" distR="0">
            <wp:extent cx="6315075" cy="3486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315075" cy="3486150"/>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b/>
          <w:sz w:val="20"/>
        </w:rPr>
      </w:pPr>
      <w:r>
        <w:rPr>
          <w:rFonts w:ascii="Times New Roman" w:hAnsi="Times New Roman"/>
          <w:b/>
          <w:sz w:val="20"/>
        </w:rPr>
        <w:t xml:space="preserve">Historical Payout Factor for Revenue Growth and OPBT Metrics </w:t>
      </w:r>
    </w:p>
    <w:p>
      <w:pPr>
        <w:pStyle w:val="TextBody"/>
        <w:bidi w:val="0"/>
        <w:spacing w:before="0" w:after="0"/>
        <w:jc w:val="left"/>
        <w:rPr/>
      </w:pPr>
      <w:r>
        <w:rPr/>
        <w:t> </w:t>
      </w:r>
    </w:p>
    <w:p>
      <w:pPr>
        <w:pStyle w:val="TextBody"/>
        <w:bidi w:val="0"/>
        <w:spacing w:before="0" w:after="0"/>
        <w:jc w:val="center"/>
        <w:rPr/>
      </w:pPr>
      <w:r>
        <w:rPr/>
        <w:drawing>
          <wp:inline distT="0" distB="0" distL="0" distR="0">
            <wp:extent cx="6096000" cy="2343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096000" cy="2343150"/>
                    </a:xfrm>
                    <a:prstGeom prst="rect">
                      <a:avLst/>
                    </a:prstGeom>
                  </pic:spPr>
                </pic:pic>
              </a:graphicData>
            </a:graphic>
          </wp:inline>
        </w:drawing>
      </w:r>
      <w:r>
        <w:rPr/>
        <w:t xml:space="preserv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previously issued guidance on February 21, 2024 for ADIs second quarter of FY24. ADI is not hereby affirming or updating previously issued guidance.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the appendix for reconciliations of non-GAAP financial measures to their most directly comparable GAAP financial measures.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sz w:val="20"/>
        </w:rPr>
      </w:pPr>
      <w:r>
        <w:rPr>
          <w:rFonts w:ascii="Times New Roman" w:hAnsi="Times New Roman"/>
          <w:sz w:val="20"/>
        </w:rPr>
        <w:t xml:space="preserve">Analog Devices, Inc. | One Analog Way | Wilmington, MA 01887 | U.S.A | Tel: 781.935.5565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62125" cy="733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62125"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Revenue Growth Metric in Short-Term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p. 17 of its proxy research report, ISS writes about our short-term incentive program: </w:t>
      </w:r>
    </w:p>
    <w:p>
      <w:pPr>
        <w:pStyle w:val="TextBody"/>
        <w:bidi w:val="0"/>
        <w:spacing w:before="120" w:after="0"/>
        <w:jc w:val="left"/>
        <w:rPr>
          <w:rFonts w:ascii="Times New Roman" w:hAnsi="Times New Roman"/>
          <w:i/>
          <w:sz w:val="20"/>
        </w:rPr>
      </w:pPr>
      <w:r>
        <w:rPr>
          <w:rFonts w:ascii="Times New Roman" w:hAnsi="Times New Roman"/>
          <w:i/>
          <w:sz w:val="20"/>
        </w:rPr>
        <w:t xml:space="preserve">Most notably, while annual incentives were based on objective financial metrics, the company continues to set certain target goals below prior actual achievement levels </w:t>
      </w:r>
    </w:p>
    <w:p>
      <w:pPr>
        <w:pStyle w:val="TextBody"/>
        <w:bidi w:val="0"/>
        <w:spacing w:before="240" w:after="0"/>
        <w:jc w:val="left"/>
        <w:rPr>
          <w:rFonts w:ascii="Times New Roman" w:hAnsi="Times New Roman"/>
          <w:sz w:val="20"/>
        </w:rPr>
      </w:pPr>
      <w:r>
        <w:rPr>
          <w:rFonts w:ascii="Times New Roman" w:hAnsi="Times New Roman"/>
          <w:sz w:val="20"/>
        </w:rPr>
        <w:t xml:space="preserve">We believe this analysis does not accurately characterize both the metrics within our short-term incentive plan and the Committees process for setting performance targets/goals for those metrics. The metrics in our short-term incentive program  OPBT margin and year-over-year revenue growth  directly reflect our strategic priorities and also are strongly correlated with shareholder value creation. </w:t>
      </w:r>
    </w:p>
    <w:p>
      <w:pPr>
        <w:pStyle w:val="TextBody"/>
        <w:bidi w:val="0"/>
        <w:spacing w:before="240" w:after="0"/>
        <w:jc w:val="left"/>
        <w:rPr>
          <w:rFonts w:ascii="Times New Roman" w:hAnsi="Times New Roman"/>
          <w:sz w:val="20"/>
        </w:rPr>
      </w:pPr>
      <w:r>
        <w:rPr>
          <w:rFonts w:ascii="Times New Roman" w:hAnsi="Times New Roman"/>
          <w:sz w:val="20"/>
        </w:rPr>
        <w:t xml:space="preserve">Importantly, because the revenue metric requires year-over-year growth for any payout, this means that if revenue declines in any quarter YoY within the performance period, that portion (50%) of the short-term incentive opportunity will have zero payout. </w:t>
      </w:r>
    </w:p>
    <w:p>
      <w:pPr>
        <w:pStyle w:val="TextBody"/>
        <w:bidi w:val="0"/>
        <w:spacing w:before="240" w:after="0"/>
        <w:jc w:val="left"/>
        <w:rPr>
          <w:rFonts w:ascii="Times New Roman" w:hAnsi="Times New Roman"/>
          <w:sz w:val="20"/>
        </w:rPr>
      </w:pPr>
      <w:r>
        <w:rPr>
          <w:rFonts w:ascii="Times New Roman" w:hAnsi="Times New Roman"/>
          <w:sz w:val="20"/>
        </w:rPr>
        <w:t xml:space="preserve">ISS analysis of our short-term incentive focuses primarily on the operating profit before tax (OPBT) margin metric and seems to significantly discount the implied rigor of the revenue growth metric and targets, and the difficulty of achieving significant payout levels in any given quarter. </w:t>
      </w:r>
    </w:p>
    <w:p>
      <w:pPr>
        <w:pStyle w:val="TextBody"/>
        <w:bidi w:val="0"/>
        <w:spacing w:before="240" w:after="0"/>
        <w:jc w:val="left"/>
        <w:rPr>
          <w:rFonts w:ascii="Times New Roman" w:hAnsi="Times New Roman"/>
          <w:sz w:val="20"/>
        </w:rPr>
      </w:pPr>
      <w:r>
        <w:rPr>
          <w:rFonts w:ascii="Times New Roman" w:hAnsi="Times New Roman"/>
          <w:sz w:val="20"/>
        </w:rPr>
        <w:t xml:space="preserve">To that end, our YoY revenue growth in Q3 and Q4 FY 2023 was negative, as noted on p. 57 of our 2024 proxy statement. Accordingly, there was zero payout for the revenue growth metric portion of the short-term incentive in those two quarters. Similarly, in Q1 FY24, our revenue declined year-over-year and the revenue growth metric will pay out at zero for the quarter. Furthermore, per our publicly provided guidance to the investment community, we expect that revenue will decrease in Q2 FY 2024 versus the prior year.3 </w:t>
      </w:r>
    </w:p>
    <w:p>
      <w:pPr>
        <w:pStyle w:val="TextBody"/>
        <w:bidi w:val="0"/>
        <w:spacing w:before="240" w:after="0"/>
        <w:jc w:val="left"/>
        <w:rPr>
          <w:rFonts w:ascii="Times New Roman" w:hAnsi="Times New Roman"/>
          <w:sz w:val="20"/>
        </w:rPr>
      </w:pPr>
      <w:r>
        <w:rPr>
          <w:rFonts w:ascii="Times New Roman" w:hAnsi="Times New Roman"/>
          <w:sz w:val="20"/>
        </w:rPr>
        <w:t xml:space="preserve">Revenue growth in FY 2022 rewarded record achievement, and despite declining revenue and expectations of a more challenging operating environment in FY24, we held these targets constant.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Maximum Payout Opportunities in Short-Term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p. 17 of its proxy research report, ISS writes that our short-term incentive program: </w:t>
      </w:r>
    </w:p>
    <w:p>
      <w:pPr>
        <w:pStyle w:val="TextBody"/>
        <w:bidi w:val="0"/>
        <w:spacing w:before="120" w:after="0"/>
        <w:jc w:val="left"/>
        <w:rPr>
          <w:rFonts w:ascii="Times New Roman" w:hAnsi="Times New Roman"/>
          <w:i/>
          <w:sz w:val="20"/>
        </w:rPr>
      </w:pPr>
      <w:r>
        <w:rPr>
          <w:rFonts w:ascii="Times New Roman" w:hAnsi="Times New Roman"/>
          <w:i/>
          <w:sz w:val="20"/>
        </w:rPr>
        <w:t xml:space="preserve">allow[s] for a high maximum payout opportunity which significantly exceeds market norms. </w:t>
      </w:r>
    </w:p>
    <w:p>
      <w:pPr>
        <w:pStyle w:val="TextBody"/>
        <w:bidi w:val="0"/>
        <w:spacing w:before="240" w:after="0"/>
        <w:jc w:val="left"/>
        <w:rPr>
          <w:rFonts w:ascii="Times New Roman" w:hAnsi="Times New Roman"/>
          <w:sz w:val="20"/>
        </w:rPr>
      </w:pPr>
      <w:r>
        <w:rPr>
          <w:rFonts w:ascii="Times New Roman" w:hAnsi="Times New Roman"/>
          <w:sz w:val="20"/>
        </w:rPr>
        <w:t xml:space="preserve">The Committee believes that the maximum payout opportunities are extremely difficult to achieve. In fact, they go beyond the expectations of our long-term financial model as communicated to the investment community at our investor day in 2022. For example, under our long-term financial model we are targeting OPBT margin in the range of 42-50%. In order to achieve the maximum payout under the OPBT metric in our short-term incentive, we would need to meet or exceed that 50% level. </w:t>
      </w:r>
    </w:p>
    <w:p>
      <w:pPr>
        <w:pStyle w:val="TextBody"/>
        <w:bidi w:val="0"/>
        <w:spacing w:before="240" w:after="0"/>
        <w:jc w:val="left"/>
        <w:rPr>
          <w:rFonts w:ascii="Times New Roman" w:hAnsi="Times New Roman"/>
          <w:sz w:val="20"/>
        </w:rPr>
      </w:pPr>
      <w:r>
        <w:rPr>
          <w:rFonts w:ascii="Times New Roman" w:hAnsi="Times New Roman"/>
          <w:sz w:val="20"/>
        </w:rPr>
        <w:t xml:space="preserve">The Committee believes this represents a rigorous target given a) ADI already has industry-leading margins and is, naturally, under competitive pressure aimed to compress those margins, and b) the broader operating environment is pressuring margin amid a cyclical downturn.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previously issued guidance on February 21, 2024 for ADIs second quarter of FY24. ADI is not hereby affirming or updating previously issued guidance.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sz w:val="20"/>
        </w:rPr>
      </w:pPr>
      <w:r>
        <w:rPr>
          <w:rFonts w:ascii="Times New Roman" w:hAnsi="Times New Roman"/>
          <w:sz w:val="20"/>
        </w:rPr>
        <w:t xml:space="preserve">Analog Devices, Inc. | One Analog Way | Wilmington, MA 01887 | U.S.A | Tel: 781.935.5565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62125" cy="733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62125"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These maximum payout opportunities remain associated with stretch targets that are only earned amid exceptional financial performance </w:t>
      </w:r>
      <w:r>
        <w:rPr>
          <w:rFonts w:ascii="Times New Roman" w:hAnsi="Times New Roman"/>
          <w:sz w:val="20"/>
          <w:u w:val="single"/>
        </w:rPr>
        <w:t>and</w:t>
      </w:r>
      <w:r>
        <w:rPr>
          <w:rFonts w:ascii="Times New Roman" w:hAnsi="Times New Roman"/>
          <w:sz w:val="20"/>
        </w:rPr>
        <w:t xml:space="preserve"> favorable operating conditions.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believe this information is critical for our shareholders and ISS clients to understand, and we respectfully request that you add these key facts to ISS analysis and recommend </w:t>
      </w:r>
      <w:r>
        <w:rPr>
          <w:rFonts w:ascii="Times New Roman" w:hAnsi="Times New Roman"/>
          <w:sz w:val="20"/>
          <w:u w:val="single"/>
        </w:rPr>
        <w:t>FOR</w:t>
      </w:r>
      <w:r>
        <w:rPr>
          <w:rFonts w:ascii="Times New Roman" w:hAnsi="Times New Roman"/>
          <w:sz w:val="20"/>
        </w:rPr>
        <w:t xml:space="preserve"> the Advisory Vote to Ratify Named Executive Officers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would welcome the opportunity to discuss the points outlined in this letter in order to answer any questions you might have, and appreciate your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/s/ Edward H. Frank </w:t>
      </w:r>
    </w:p>
    <w:p>
      <w:pPr>
        <w:pStyle w:val="TextBody"/>
        <w:bidi w:val="0"/>
        <w:spacing w:before="240" w:after="0"/>
        <w:jc w:val="left"/>
        <w:rPr>
          <w:rFonts w:ascii="Times New Roman" w:hAnsi="Times New Roman"/>
          <w:sz w:val="20"/>
        </w:rPr>
      </w:pPr>
      <w:r>
        <w:rPr>
          <w:rFonts w:ascii="Times New Roman" w:hAnsi="Times New Roman"/>
          <w:sz w:val="20"/>
        </w:rPr>
        <w:t xml:space="preserve">Edward H. Frank, Ph.D., on behalf of the Compensation and Talent Committee of the Board of Directors of Analog Devices, Inc.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sz w:val="20"/>
        </w:rPr>
      </w:pPr>
      <w:r>
        <w:rPr>
          <w:rFonts w:ascii="Times New Roman" w:hAnsi="Times New Roman"/>
          <w:sz w:val="20"/>
        </w:rPr>
        <w:t xml:space="preserve">Analog Devices, Inc. | One Analog Way | Wilmington, MA 01887 | U.S.A | Tel: 781.935.5565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62125" cy="7334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62125"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letter contains forward-looking statements, which address a variety of subjects including, for example, our statements regarding future financial performance, including expected future adjusted operating margin, revenue and other future financial results; anticipated growth and trends in our business; future compensation actions; our strategy; and other future events.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economic, political, legal and regulatory uncertainty or conflicts; changes in demand for semiconductor products; manufacturing delays, product and raw materials availability and supply chain disruptions; products that may be diverted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 based on current tax law; risks related to our indebtedness; unanticipated difficulties or expenditures related to integrating Maxim Integrated Products, Inc.; the discretion of our Board of Directors to declare dividends and our ability to pay dividends in the future; factors impacting our ability to repurchase shares; and uncertainty as to the long-term value of our common stock. For additional information about factors that could cause actual results to differ materially from those described in the forward-looking statements, please refer to our filings with the Securities and Exchange Commission, including the risk factors contained in our most recent Annual Report on Form 10-K. Forward-looking statements represent managements current expectations and are inherently uncertain. Except as required by law, we do not undertake any obligation to update forward-looking statements made by us to reflect subsequent events or circumstances.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Non-GAAP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letter includes non-GAAP financial measures that have been adjusted in order to provide investors with information regarding our results of operations, business trends and financial goals. Reconciliation of these non-GAAP measures to their most directly comparable GAAP measures can be found in the appendix. </w:t>
      </w:r>
    </w:p>
    <w:p>
      <w:pPr>
        <w:pStyle w:val="TextBody"/>
        <w:bidi w:val="0"/>
        <w:spacing w:before="240" w:after="0"/>
        <w:jc w:val="left"/>
        <w:rPr>
          <w:rFonts w:ascii="Times New Roman" w:hAnsi="Times New Roman"/>
          <w:sz w:val="20"/>
        </w:rPr>
      </w:pPr>
      <w:r>
        <w:rPr>
          <w:rFonts w:ascii="Times New Roman" w:hAnsi="Times New Roman"/>
          <w:sz w:val="20"/>
        </w:rPr>
        <w:t xml:space="preserve">Management uses non-GAAP measures internally to evaluate ADIs operating performance from continuing operations against past periods and to budget and allocate resources in future periods. These non-GAAP measures also assist management in evaluating ADIs core business and trends across different reporting periods on a consistent basis. Management also uses these non-GAAP measures as primary performance measurements when communicating with analysts and investors regarding the ADIs earnings results and outlook and believes that the presentation of these non-GAAP measures is useful to investors because it provides investors with the operating results that management uses to manage ADI and enables investors and analysts to evaluate ADIs core business. Management also believes that free cash flow, a non-GAAP liquidity measure, is useful both internally and to investors because it provides information about the amount of cash generated after capital expenditures that is then available to repay debt obligations, make investments and fund acquisitions, and for certain other activities.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sz w:val="20"/>
        </w:rPr>
      </w:pPr>
      <w:r>
        <w:rPr>
          <w:rFonts w:ascii="Times New Roman" w:hAnsi="Times New Roman"/>
          <w:sz w:val="20"/>
        </w:rPr>
        <w:t xml:space="preserve">Analog Devices, Inc. | One Analog Way | Wilmington, MA 01887 | U.S.A | Tel: 781.935.5565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62125" cy="7334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762125"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Reconciliation of GAAP to Non-GAAP Results FY22-1Q24 </w:t>
      </w:r>
    </w:p>
    <w:p>
      <w:pPr>
        <w:pStyle w:val="TextBody"/>
        <w:bidi w:val="0"/>
        <w:spacing w:before="0" w:after="0"/>
        <w:jc w:val="left"/>
        <w:rPr/>
      </w:pPr>
      <w:r>
        <w:rPr/>
        <w:t> </w:t>
      </w:r>
    </w:p>
    <w:tbl>
      <w:tblPr>
        <w:tblW w:w="12200" w:type="dxa"/>
        <w:jc w:val="center"/>
        <w:tblInd w:w="0" w:type="dxa"/>
        <w:tblLayout w:type="fixed"/>
        <w:tblCellMar>
          <w:top w:w="0" w:type="dxa"/>
          <w:left w:w="0" w:type="dxa"/>
          <w:bottom w:w="0" w:type="dxa"/>
          <w:right w:w="0" w:type="dxa"/>
        </w:tblCellMar>
      </w:tblPr>
      <w:tblGrid>
        <w:gridCol w:w="1040"/>
        <w:gridCol w:w="120"/>
        <w:gridCol w:w="172"/>
        <w:gridCol w:w="688"/>
        <w:gridCol w:w="320"/>
        <w:gridCol w:w="60"/>
        <w:gridCol w:w="172"/>
        <w:gridCol w:w="688"/>
        <w:gridCol w:w="320"/>
        <w:gridCol w:w="60"/>
        <w:gridCol w:w="172"/>
        <w:gridCol w:w="688"/>
        <w:gridCol w:w="320"/>
        <w:gridCol w:w="60"/>
        <w:gridCol w:w="172"/>
        <w:gridCol w:w="688"/>
        <w:gridCol w:w="320"/>
        <w:gridCol w:w="60"/>
        <w:gridCol w:w="172"/>
        <w:gridCol w:w="688"/>
        <w:gridCol w:w="320"/>
        <w:gridCol w:w="60"/>
        <w:gridCol w:w="172"/>
        <w:gridCol w:w="688"/>
        <w:gridCol w:w="320"/>
        <w:gridCol w:w="60"/>
        <w:gridCol w:w="172"/>
        <w:gridCol w:w="688"/>
        <w:gridCol w:w="320"/>
        <w:gridCol w:w="60"/>
        <w:gridCol w:w="172"/>
        <w:gridCol w:w="688"/>
        <w:gridCol w:w="320"/>
        <w:gridCol w:w="60"/>
        <w:gridCol w:w="160"/>
        <w:gridCol w:w="640"/>
        <w:gridCol w:w="32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quarter</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2024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2022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Q12022</w:t>
            </w:r>
          </w:p>
        </w:tc>
        <w:tc>
          <w:tcPr>
            <w:tcW w:w="32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Revenue</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2,513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2,716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3,076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3,263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3,250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3,248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3,110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2,972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2,684</w:t>
            </w:r>
          </w:p>
        </w:tc>
        <w:tc>
          <w:tcPr>
            <w:tcW w:w="32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GAAP Gross Margin</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1,474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1,647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1,962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2,145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2,124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2,143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2,043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1,945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640" w:type="dxa"/>
            <w:tcBorders/>
            <w:vAlign w:val="bottom"/>
          </w:tcPr>
          <w:p>
            <w:pPr>
              <w:pStyle w:val="TableContents"/>
              <w:bidi w:val="0"/>
              <w:spacing w:before="0" w:after="283"/>
              <w:jc w:val="right"/>
              <w:rPr/>
            </w:pPr>
            <w:r>
              <w:rPr/>
              <w:t>1,402</w:t>
            </w:r>
          </w:p>
        </w:tc>
        <w:tc>
          <w:tcPr>
            <w:tcW w:w="32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GAAP Gross Margin %</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58.7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60.6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63.8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65.7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65.4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66.0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65.7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65.4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52.2</w:t>
            </w:r>
          </w:p>
        </w:tc>
        <w:tc>
          <w:tcPr>
            <w:tcW w:w="32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Adjustments:</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Acquisition related expenses</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260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260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261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259</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268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260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261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261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529</w:t>
            </w:r>
          </w:p>
        </w:tc>
        <w:tc>
          <w:tcPr>
            <w:tcW w:w="32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b/>
                <w:sz w:val="16"/>
              </w:rPr>
            </w:pPr>
            <w:r>
              <w:rPr>
                <w:rFonts w:ascii="Times New Roman" w:hAnsi="Times New Roman"/>
                <w:b/>
                <w:sz w:val="16"/>
              </w:rPr>
              <w:t>Adjusted Gross Margin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1,734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1,907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2,222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2,404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2,392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2,403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2,304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2,205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b/>
              </w:rPr>
            </w:pPr>
            <w:r>
              <w:rPr>
                <w:b/>
              </w:rPr>
              <w:t>$</w:t>
            </w:r>
          </w:p>
        </w:tc>
        <w:tc>
          <w:tcPr>
            <w:tcW w:w="640" w:type="dxa"/>
            <w:tcBorders/>
            <w:vAlign w:val="bottom"/>
          </w:tcPr>
          <w:p>
            <w:pPr>
              <w:pStyle w:val="TableContents"/>
              <w:bidi w:val="0"/>
              <w:spacing w:before="0" w:after="283"/>
              <w:jc w:val="right"/>
              <w:rPr>
                <w:b/>
              </w:rPr>
            </w:pPr>
            <w:r>
              <w:rPr>
                <w:b/>
              </w:rPr>
              <w:t>1,931</w:t>
            </w:r>
          </w:p>
        </w:tc>
        <w:tc>
          <w:tcPr>
            <w:tcW w:w="32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Adjusted Gross Margin %</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69.0</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70.2</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72.2</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73.7</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73.6</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74.0</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74.1</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74.2</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b/>
              </w:rPr>
            </w:pPr>
            <w:r>
              <w:rPr>
                <w:b/>
              </w:rPr>
              <w:t>71.9</w:t>
            </w:r>
          </w:p>
        </w:tc>
        <w:tc>
          <w:tcPr>
            <w:tcW w:w="320" w:type="dxa"/>
            <w:tcBorders/>
            <w:shd w:fill="CCEEFF" w:val="clear"/>
            <w:vAlign w:val="bottom"/>
          </w:tcPr>
          <w:p>
            <w:pPr>
              <w:pStyle w:val="TableContents"/>
              <w:bidi w:val="0"/>
              <w:spacing w:before="0" w:after="283"/>
              <w:jc w:val="left"/>
              <w:rPr/>
            </w:pPr>
            <w:r>
              <w:rPr>
                <w:b/>
              </w:rPr>
              <w:t>%</w:t>
            </w: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Operating Margin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586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634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929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1,128</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1,131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1,102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893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918</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640" w:type="dxa"/>
            <w:tcBorders/>
            <w:vAlign w:val="bottom"/>
          </w:tcPr>
          <w:p>
            <w:pPr>
              <w:pStyle w:val="TableContents"/>
              <w:bidi w:val="0"/>
              <w:spacing w:before="0" w:after="283"/>
              <w:jc w:val="right"/>
              <w:rPr/>
            </w:pPr>
            <w:r>
              <w:rPr/>
              <w:t>365</w:t>
            </w:r>
          </w:p>
        </w:tc>
        <w:tc>
          <w:tcPr>
            <w:tcW w:w="32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Margin %</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23.3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23.4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30.2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34.6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34.8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33.9</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28.7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30.9</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13.6</w:t>
            </w:r>
          </w:p>
        </w:tc>
        <w:tc>
          <w:tcPr>
            <w:tcW w:w="32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Adjustments:</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Acquisition related expenses</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452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466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515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517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526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519</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520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522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791</w:t>
            </w:r>
          </w:p>
        </w:tc>
        <w:tc>
          <w:tcPr>
            <w:tcW w:w="32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Acquisition related transaction costs</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13</w:t>
            </w:r>
          </w:p>
        </w:tc>
        <w:tc>
          <w:tcPr>
            <w:tcW w:w="32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Special charges, net</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114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30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138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60</w:t>
            </w:r>
          </w:p>
        </w:tc>
        <w:tc>
          <w:tcPr>
            <w:tcW w:w="32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Charitable foundation contribution</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operating expense</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b/>
                <w:sz w:val="16"/>
              </w:rPr>
            </w:pPr>
            <w:r>
              <w:rPr>
                <w:rFonts w:ascii="Times New Roman" w:hAnsi="Times New Roman"/>
                <w:b/>
                <w:sz w:val="16"/>
              </w:rPr>
              <w:t>Adjusted Operating Margin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1,054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1,215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1,470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1,671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1,659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1,659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1,557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1,495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b/>
              </w:rPr>
            </w:pPr>
            <w:r>
              <w:rPr>
                <w:b/>
              </w:rPr>
              <w:t>$</w:t>
            </w:r>
          </w:p>
        </w:tc>
        <w:tc>
          <w:tcPr>
            <w:tcW w:w="640" w:type="dxa"/>
            <w:tcBorders/>
            <w:vAlign w:val="bottom"/>
          </w:tcPr>
          <w:p>
            <w:pPr>
              <w:pStyle w:val="TableContents"/>
              <w:bidi w:val="0"/>
              <w:spacing w:before="0" w:after="283"/>
              <w:jc w:val="right"/>
              <w:rPr>
                <w:b/>
              </w:rPr>
            </w:pPr>
            <w:r>
              <w:rPr>
                <w:b/>
              </w:rPr>
              <w:t>1,228</w:t>
            </w:r>
          </w:p>
        </w:tc>
        <w:tc>
          <w:tcPr>
            <w:tcW w:w="32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Adjusted Operating Margin4 %</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42.0</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44.7</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47.8</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51.2</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51.1</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51.1</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50.1</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50.3</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b/>
              </w:rPr>
            </w:pPr>
            <w:r>
              <w:rPr>
                <w:b/>
              </w:rPr>
              <w:t>45.8</w:t>
            </w:r>
          </w:p>
        </w:tc>
        <w:tc>
          <w:tcPr>
            <w:tcW w:w="320" w:type="dxa"/>
            <w:tcBorders/>
            <w:shd w:fill="CCEEFF" w:val="clear"/>
            <w:vAlign w:val="bottom"/>
          </w:tcPr>
          <w:p>
            <w:pPr>
              <w:pStyle w:val="TableContents"/>
              <w:bidi w:val="0"/>
              <w:spacing w:before="0" w:after="283"/>
              <w:jc w:val="left"/>
              <w:rPr/>
            </w:pPr>
            <w:r>
              <w:rPr>
                <w:b/>
              </w:rPr>
              <w:t>%</w:t>
            </w:r>
            <w:r>
              <w:rPr/>
              <w:t> </w:t>
            </w:r>
          </w:p>
        </w:tc>
      </w:tr>
      <w:tr>
        <w:trPr/>
        <w:tc>
          <w:tcPr>
            <w:tcW w:w="1040" w:type="dxa"/>
            <w:tcBorders/>
          </w:tcPr>
          <w:p>
            <w:pPr>
              <w:pStyle w:val="TableContents"/>
              <w:bidi w:val="0"/>
              <w:spacing w:before="0" w:after="0"/>
              <w:jc w:val="left"/>
              <w:rPr>
                <w:rFonts w:ascii="Times New Roman" w:hAnsi="Times New Roman"/>
                <w:b/>
                <w:i/>
                <w:sz w:val="16"/>
              </w:rPr>
            </w:pPr>
            <w:r>
              <w:rPr>
                <w:rFonts w:ascii="Times New Roman" w:hAnsi="Times New Roman"/>
                <w:b/>
                <w:i/>
                <w:sz w:val="16"/>
              </w:rPr>
              <w:t>($ millions)</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 Adjusted Operating Margin is equivalent to OPBT margin.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sz w:val="20"/>
        </w:rPr>
      </w:pPr>
      <w:r>
        <w:rPr>
          <w:rFonts w:ascii="Times New Roman" w:hAnsi="Times New Roman"/>
          <w:sz w:val="20"/>
        </w:rPr>
        <w:t xml:space="preserve">Analog Devices, Inc. | One Analog Way | Wilmington, MA 01887 | U.S.A | Tel: 781.935.5565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62125" cy="7334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762125"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Reconciliation of GAAP to Non-GAAP Results FY19-FY21 </w:t>
      </w:r>
    </w:p>
    <w:p>
      <w:pPr>
        <w:pStyle w:val="TextBody"/>
        <w:bidi w:val="0"/>
        <w:spacing w:before="0" w:after="0"/>
        <w:jc w:val="left"/>
        <w:rPr/>
      </w:pPr>
      <w:r>
        <w:rPr/>
        <w:t> </w:t>
      </w:r>
    </w:p>
    <w:tbl>
      <w:tblPr>
        <w:tblW w:w="15980" w:type="dxa"/>
        <w:jc w:val="center"/>
        <w:tblInd w:w="0" w:type="dxa"/>
        <w:tblLayout w:type="fixed"/>
        <w:tblCellMar>
          <w:top w:w="0" w:type="dxa"/>
          <w:left w:w="0" w:type="dxa"/>
          <w:bottom w:w="0" w:type="dxa"/>
          <w:right w:w="0" w:type="dxa"/>
        </w:tblCellMar>
      </w:tblPr>
      <w:tblGrid>
        <w:gridCol w:w="1040"/>
        <w:gridCol w:w="120"/>
        <w:gridCol w:w="172"/>
        <w:gridCol w:w="688"/>
        <w:gridCol w:w="320"/>
        <w:gridCol w:w="60"/>
        <w:gridCol w:w="172"/>
        <w:gridCol w:w="688"/>
        <w:gridCol w:w="320"/>
        <w:gridCol w:w="60"/>
        <w:gridCol w:w="172"/>
        <w:gridCol w:w="688"/>
        <w:gridCol w:w="320"/>
        <w:gridCol w:w="60"/>
        <w:gridCol w:w="172"/>
        <w:gridCol w:w="688"/>
        <w:gridCol w:w="320"/>
        <w:gridCol w:w="60"/>
        <w:gridCol w:w="172"/>
        <w:gridCol w:w="688"/>
        <w:gridCol w:w="320"/>
        <w:gridCol w:w="60"/>
        <w:gridCol w:w="172"/>
        <w:gridCol w:w="688"/>
        <w:gridCol w:w="320"/>
        <w:gridCol w:w="60"/>
        <w:gridCol w:w="172"/>
        <w:gridCol w:w="688"/>
        <w:gridCol w:w="320"/>
        <w:gridCol w:w="60"/>
        <w:gridCol w:w="172"/>
        <w:gridCol w:w="688"/>
        <w:gridCol w:w="320"/>
        <w:gridCol w:w="60"/>
        <w:gridCol w:w="172"/>
        <w:gridCol w:w="688"/>
        <w:gridCol w:w="320"/>
        <w:gridCol w:w="60"/>
        <w:gridCol w:w="172"/>
        <w:gridCol w:w="688"/>
        <w:gridCol w:w="320"/>
        <w:gridCol w:w="60"/>
        <w:gridCol w:w="172"/>
        <w:gridCol w:w="688"/>
        <w:gridCol w:w="320"/>
        <w:gridCol w:w="60"/>
        <w:gridCol w:w="172"/>
        <w:gridCol w:w="688"/>
        <w:gridCol w:w="32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quarter</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2021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2021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2020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2020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2019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2019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2019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2019</w:t>
            </w:r>
          </w:p>
        </w:tc>
        <w:tc>
          <w:tcPr>
            <w:tcW w:w="32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Revenue</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2,340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1,759</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1,661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1,558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1,526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1,456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1,317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1,304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1,443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1,480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1,527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1,541</w:t>
            </w:r>
          </w:p>
        </w:tc>
        <w:tc>
          <w:tcPr>
            <w:tcW w:w="32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GAAP Gross Margin</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1,122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1,221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1,137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1,045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973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847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848</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942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998</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1,034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1,040</w:t>
            </w:r>
          </w:p>
        </w:tc>
        <w:tc>
          <w:tcPr>
            <w:tcW w:w="32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GAAP Gross Margin %</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47.9</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69.4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68.4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67.1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67.0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66.8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64.3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65.1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65.3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67.4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67.7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67.5</w:t>
            </w:r>
          </w:p>
        </w:tc>
        <w:tc>
          <w:tcPr>
            <w:tcW w:w="32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Adjustments:</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Acquisition related expenses</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538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38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43</w:t>
            </w:r>
          </w:p>
        </w:tc>
        <w:tc>
          <w:tcPr>
            <w:tcW w:w="32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b/>
                <w:sz w:val="16"/>
              </w:rPr>
            </w:pPr>
            <w:r>
              <w:rPr>
                <w:rFonts w:ascii="Times New Roman" w:hAnsi="Times New Roman"/>
                <w:b/>
                <w:sz w:val="16"/>
              </w:rPr>
              <w:t>Adjusted Gross Margin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1,660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1,259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b/>
              </w:rPr>
            </w:pPr>
            <w:r>
              <w:rPr>
                <w:b/>
              </w:rPr>
              <w:t>1,177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b/>
              </w:rPr>
            </w:pPr>
            <w:r>
              <w:rPr>
                <w:b/>
              </w:rPr>
              <w:t>1,090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1,068</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1,018</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891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b/>
              </w:rPr>
            </w:pPr>
            <w:r>
              <w:rPr>
                <w:b/>
              </w:rPr>
              <w:t>893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 xml:space="preserve">987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b/>
              </w:rPr>
            </w:pPr>
            <w:r>
              <w:rPr>
                <w:b/>
              </w:rPr>
              <w:t>1,042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1,077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b/>
              </w:rPr>
            </w:pPr>
            <w:r>
              <w:rPr>
                <w:b/>
              </w:rPr>
              <w:t>1,083</w:t>
            </w:r>
          </w:p>
        </w:tc>
        <w:tc>
          <w:tcPr>
            <w:tcW w:w="32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Adjusted Gross Margin %</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70.9</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71.6</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70.9</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70.0</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70.0</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69.9</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67.7</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68.5</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68.4</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70.4</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70.6</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70.3</w:t>
            </w:r>
          </w:p>
        </w:tc>
        <w:tc>
          <w:tcPr>
            <w:tcW w:w="320" w:type="dxa"/>
            <w:tcBorders/>
            <w:shd w:fill="CCEEFF" w:val="clear"/>
            <w:vAlign w:val="bottom"/>
          </w:tcPr>
          <w:p>
            <w:pPr>
              <w:pStyle w:val="TableContents"/>
              <w:bidi w:val="0"/>
              <w:spacing w:before="0" w:after="283"/>
              <w:jc w:val="left"/>
              <w:rPr/>
            </w:pPr>
            <w:r>
              <w:rPr>
                <w:b/>
              </w:rPr>
              <w:t>%</w:t>
            </w: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Operating Margin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99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610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520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464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462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419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344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273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338</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447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470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456</w:t>
            </w:r>
          </w:p>
        </w:tc>
        <w:tc>
          <w:tcPr>
            <w:tcW w:w="32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Margin %</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34.7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31.3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29.8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30.2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28.8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26.1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21.0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23.4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30.2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30.8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29.6</w:t>
            </w:r>
          </w:p>
        </w:tc>
        <w:tc>
          <w:tcPr>
            <w:tcW w:w="32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Adjustments:</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Acquisition related expenses</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761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147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151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155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156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156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155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157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157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156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156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157</w:t>
            </w:r>
          </w:p>
        </w:tc>
        <w:tc>
          <w:tcPr>
            <w:tcW w:w="32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Acquisition related transaction costs</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56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18</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Special charges, net</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93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(9</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32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65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22</w:t>
            </w:r>
          </w:p>
        </w:tc>
        <w:tc>
          <w:tcPr>
            <w:tcW w:w="32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Charitable foundation contribution</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40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operating expense</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b/>
                <w:sz w:val="16"/>
              </w:rPr>
            </w:pPr>
            <w:r>
              <w:rPr>
                <w:rFonts w:ascii="Times New Roman" w:hAnsi="Times New Roman"/>
                <w:b/>
                <w:sz w:val="16"/>
              </w:rPr>
              <w:t>Adjusted Operating Margin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1,009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766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b/>
              </w:rPr>
            </w:pPr>
            <w:r>
              <w:rPr>
                <w:b/>
              </w:rPr>
              <w:t xml:space="preserve">694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b/>
              </w:rPr>
            </w:pPr>
            <w:r>
              <w:rPr>
                <w:b/>
              </w:rPr>
              <w:t>635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636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616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501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b/>
              </w:rPr>
            </w:pPr>
            <w:r>
              <w:rPr>
                <w:b/>
              </w:rPr>
              <w:t>481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560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b/>
              </w:rPr>
            </w:pPr>
            <w:r>
              <w:rPr>
                <w:b/>
              </w:rPr>
              <w:t>604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634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b/>
              </w:rPr>
            </w:pPr>
            <w:r>
              <w:rPr>
                <w:b/>
              </w:rPr>
              <w:t>635</w:t>
            </w:r>
          </w:p>
        </w:tc>
        <w:tc>
          <w:tcPr>
            <w:tcW w:w="32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Adjusted Operating Margin5 %</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43.1</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43.6</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41.7</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40.7</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41.7</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42.3</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38.0</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36.9</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38.8</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40.8</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41.5</w:t>
            </w:r>
          </w:p>
        </w:tc>
        <w:tc>
          <w:tcPr>
            <w:tcW w:w="320"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b/>
              </w:rPr>
            </w:pPr>
            <w:r>
              <w:rPr>
                <w:b/>
              </w:rPr>
              <w:t>41.2</w:t>
            </w:r>
          </w:p>
        </w:tc>
        <w:tc>
          <w:tcPr>
            <w:tcW w:w="320" w:type="dxa"/>
            <w:tcBorders/>
            <w:shd w:fill="CCEEFF" w:val="clear"/>
            <w:vAlign w:val="bottom"/>
          </w:tcPr>
          <w:p>
            <w:pPr>
              <w:pStyle w:val="TableContents"/>
              <w:bidi w:val="0"/>
              <w:spacing w:before="0" w:after="283"/>
              <w:jc w:val="left"/>
              <w:rPr/>
            </w:pPr>
            <w:r>
              <w:rPr>
                <w:b/>
              </w:rPr>
              <w:t>%</w:t>
            </w:r>
            <w:r>
              <w:rPr/>
              <w:t> </w:t>
            </w:r>
          </w:p>
        </w:tc>
      </w:tr>
      <w:tr>
        <w:trPr/>
        <w:tc>
          <w:tcPr>
            <w:tcW w:w="1040" w:type="dxa"/>
            <w:tcBorders/>
          </w:tcPr>
          <w:p>
            <w:pPr>
              <w:pStyle w:val="TableContents"/>
              <w:bidi w:val="0"/>
              <w:spacing w:before="0" w:after="0"/>
              <w:jc w:val="left"/>
              <w:rPr>
                <w:rFonts w:ascii="Times New Roman" w:hAnsi="Times New Roman"/>
                <w:b/>
                <w:i/>
                <w:sz w:val="16"/>
              </w:rPr>
            </w:pPr>
            <w:r>
              <w:rPr>
                <w:rFonts w:ascii="Times New Roman" w:hAnsi="Times New Roman"/>
                <w:b/>
                <w:i/>
                <w:sz w:val="16"/>
              </w:rPr>
              <w:t>($ millions)</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Operating Margin is equivalent to OPBT margin.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sz w:val="20"/>
        </w:rPr>
      </w:pPr>
      <w:r>
        <w:rPr>
          <w:rFonts w:ascii="Times New Roman" w:hAnsi="Times New Roman"/>
          <w:sz w:val="20"/>
        </w:rPr>
        <w:t xml:space="preserve">Analog Devices, Inc. | One Analog Way | Wilmington, MA 01887 | U.S.A | Tel: 781.935.5565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62125" cy="7334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62125"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Reconciliation of Projected6 GAAP to Non-GAAP Results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70"/>
        <w:gridCol w:w="711"/>
        <w:gridCol w:w="140"/>
        <w:gridCol w:w="1296"/>
        <w:gridCol w:w="322"/>
      </w:tblGrid>
      <w:tr>
        <w:trPr/>
        <w:tc>
          <w:tcPr>
            <w:tcW w:w="4470" w:type="dxa"/>
            <w:tcBorders/>
            <w:vAlign w:val="center"/>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4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Quarter</w:t>
            </w:r>
          </w:p>
        </w:tc>
        <w:tc>
          <w:tcPr>
            <w:tcW w:w="711"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2024</w:t>
            </w:r>
          </w:p>
        </w:tc>
        <w:tc>
          <w:tcPr>
            <w:tcW w:w="322" w:type="dxa"/>
            <w:tcBorders/>
            <w:vAlign w:val="bottom"/>
          </w:tcPr>
          <w:p>
            <w:pPr>
              <w:pStyle w:val="TableContents"/>
              <w:bidi w:val="0"/>
              <w:spacing w:before="0" w:after="283"/>
              <w:jc w:val="left"/>
              <w:rPr/>
            </w:pPr>
            <w:r>
              <w:rPr/>
              <w:t> </w:t>
            </w:r>
          </w:p>
        </w:tc>
      </w:tr>
      <w:tr>
        <w:trPr/>
        <w:tc>
          <w:tcPr>
            <w:tcW w:w="4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7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2,100</w:t>
            </w:r>
          </w:p>
        </w:tc>
        <w:tc>
          <w:tcPr>
            <w:tcW w:w="322" w:type="dxa"/>
            <w:tcBorders/>
            <w:shd w:fill="CCEEFF" w:val="clear"/>
            <w:vAlign w:val="bottom"/>
          </w:tcPr>
          <w:p>
            <w:pPr>
              <w:pStyle w:val="TableContents"/>
              <w:bidi w:val="0"/>
              <w:spacing w:before="0" w:after="283"/>
              <w:jc w:val="left"/>
              <w:rPr/>
            </w:pPr>
            <w:r>
              <w:rPr/>
              <w:t> </w:t>
            </w:r>
          </w:p>
        </w:tc>
      </w:tr>
      <w:tr>
        <w:trPr/>
        <w:tc>
          <w:tcPr>
            <w:tcW w:w="4470" w:type="dxa"/>
            <w:tcBorders/>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 - $100)</w:t>
            </w:r>
          </w:p>
        </w:tc>
        <w:tc>
          <w:tcPr>
            <w:tcW w:w="322" w:type="dxa"/>
            <w:tcBorders/>
            <w:vAlign w:val="bottom"/>
          </w:tcPr>
          <w:p>
            <w:pPr>
              <w:pStyle w:val="TableContents"/>
              <w:bidi w:val="0"/>
              <w:spacing w:before="0" w:after="283"/>
              <w:jc w:val="left"/>
              <w:rPr/>
            </w:pPr>
            <w:r>
              <w:rPr/>
              <w:t> </w:t>
            </w:r>
          </w:p>
        </w:tc>
      </w:tr>
      <w:tr>
        <w:trPr/>
        <w:tc>
          <w:tcPr>
            <w:tcW w:w="4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Margin $</w:t>
            </w:r>
          </w:p>
        </w:tc>
        <w:tc>
          <w:tcPr>
            <w:tcW w:w="7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317</w:t>
            </w:r>
          </w:p>
        </w:tc>
        <w:tc>
          <w:tcPr>
            <w:tcW w:w="322" w:type="dxa"/>
            <w:tcBorders/>
            <w:shd w:fill="CCEEFF" w:val="clear"/>
            <w:vAlign w:val="bottom"/>
          </w:tcPr>
          <w:p>
            <w:pPr>
              <w:pStyle w:val="TableContents"/>
              <w:bidi w:val="0"/>
              <w:spacing w:before="0" w:after="283"/>
              <w:jc w:val="left"/>
              <w:rPr/>
            </w:pPr>
            <w:r>
              <w:rPr/>
              <w:t> </w:t>
            </w:r>
          </w:p>
        </w:tc>
      </w:tr>
      <w:tr>
        <w:trPr/>
        <w:tc>
          <w:tcPr>
            <w:tcW w:w="4470" w:type="dxa"/>
            <w:tcBorders/>
          </w:tcPr>
          <w:p>
            <w:pPr>
              <w:pStyle w:val="TableContents"/>
              <w:bidi w:val="0"/>
              <w:spacing w:before="0" w:after="0"/>
              <w:jc w:val="left"/>
              <w:rPr>
                <w:rFonts w:ascii="Times New Roman" w:hAnsi="Times New Roman"/>
                <w:sz w:val="20"/>
              </w:rPr>
            </w:pPr>
            <w:r>
              <w:rPr>
                <w:rFonts w:ascii="Times New Roman" w:hAnsi="Times New Roman"/>
                <w:sz w:val="20"/>
              </w:rPr>
              <w:t>Operating Margin %</w:t>
            </w:r>
          </w:p>
        </w:tc>
        <w:tc>
          <w:tcPr>
            <w:tcW w:w="7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15.1</w:t>
            </w:r>
          </w:p>
        </w:tc>
        <w:tc>
          <w:tcPr>
            <w:tcW w:w="322" w:type="dxa"/>
            <w:tcBorders/>
            <w:vAlign w:val="bottom"/>
          </w:tcPr>
          <w:p>
            <w:pPr>
              <w:pStyle w:val="TableContents"/>
              <w:bidi w:val="0"/>
              <w:spacing w:before="0" w:after="283"/>
              <w:jc w:val="left"/>
              <w:rPr/>
            </w:pPr>
            <w:r>
              <w:rPr/>
              <w:t>% </w:t>
            </w:r>
          </w:p>
        </w:tc>
      </w:tr>
      <w:tr>
        <w:trPr/>
        <w:tc>
          <w:tcPr>
            <w:tcW w:w="4470" w:type="dxa"/>
            <w:tcBorders/>
            <w:shd w:fill="CCEEFF" w:val="clear"/>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 - 200 bps)</w:t>
            </w:r>
          </w:p>
        </w:tc>
        <w:tc>
          <w:tcPr>
            <w:tcW w:w="322" w:type="dxa"/>
            <w:tcBorders/>
            <w:shd w:fill="CCEEFF" w:val="clear"/>
            <w:vAlign w:val="bottom"/>
          </w:tcPr>
          <w:p>
            <w:pPr>
              <w:pStyle w:val="TableContents"/>
              <w:bidi w:val="0"/>
              <w:spacing w:before="0" w:after="283"/>
              <w:jc w:val="left"/>
              <w:rPr/>
            </w:pPr>
            <w:r>
              <w:rPr/>
              <w:t> </w:t>
            </w:r>
          </w:p>
        </w:tc>
      </w:tr>
      <w:tr>
        <w:trPr/>
        <w:tc>
          <w:tcPr>
            <w:tcW w:w="4470"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related expenses and special charges, net</w:t>
            </w:r>
          </w:p>
        </w:tc>
        <w:tc>
          <w:tcPr>
            <w:tcW w:w="7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460</w:t>
            </w:r>
          </w:p>
        </w:tc>
        <w:tc>
          <w:tcPr>
            <w:tcW w:w="322" w:type="dxa"/>
            <w:tcBorders/>
            <w:vAlign w:val="bottom"/>
          </w:tcPr>
          <w:p>
            <w:pPr>
              <w:pStyle w:val="TableContents"/>
              <w:bidi w:val="0"/>
              <w:spacing w:before="0" w:after="283"/>
              <w:jc w:val="left"/>
              <w:rPr/>
            </w:pPr>
            <w:r>
              <w:rPr/>
              <w:t> </w:t>
            </w:r>
          </w:p>
        </w:tc>
      </w:tr>
      <w:tr>
        <w:trPr/>
        <w:tc>
          <w:tcPr>
            <w:tcW w:w="4470"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r>
      <w:tr>
        <w:trPr/>
        <w:tc>
          <w:tcPr>
            <w:tcW w:w="44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Operating Margin $</w:t>
            </w:r>
          </w:p>
        </w:tc>
        <w:tc>
          <w:tcPr>
            <w:tcW w:w="7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96" w:type="dxa"/>
            <w:tcBorders/>
            <w:shd w:fill="CCEEFF" w:val="clear"/>
            <w:vAlign w:val="bottom"/>
          </w:tcPr>
          <w:p>
            <w:pPr>
              <w:pStyle w:val="TableContents"/>
              <w:bidi w:val="0"/>
              <w:spacing w:before="0" w:after="283"/>
              <w:jc w:val="right"/>
              <w:rPr>
                <w:b/>
              </w:rPr>
            </w:pPr>
            <w:r>
              <w:rPr>
                <w:b/>
              </w:rPr>
              <w:t>777</w:t>
            </w:r>
          </w:p>
        </w:tc>
        <w:tc>
          <w:tcPr>
            <w:tcW w:w="322" w:type="dxa"/>
            <w:tcBorders/>
            <w:shd w:fill="CCEEFF" w:val="clear"/>
            <w:vAlign w:val="bottom"/>
          </w:tcPr>
          <w:p>
            <w:pPr>
              <w:pStyle w:val="TableContents"/>
              <w:bidi w:val="0"/>
              <w:spacing w:before="0" w:after="283"/>
              <w:jc w:val="left"/>
              <w:rPr/>
            </w:pPr>
            <w:r>
              <w:rPr/>
              <w:t> </w:t>
            </w:r>
          </w:p>
        </w:tc>
      </w:tr>
      <w:tr>
        <w:trPr/>
        <w:tc>
          <w:tcPr>
            <w:tcW w:w="4470"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Operating Margin7 %</w:t>
            </w:r>
          </w:p>
        </w:tc>
        <w:tc>
          <w:tcPr>
            <w:tcW w:w="7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b/>
              </w:rPr>
            </w:pPr>
            <w:r>
              <w:rPr>
                <w:b/>
              </w:rPr>
              <w:t>37.0</w:t>
            </w:r>
          </w:p>
        </w:tc>
        <w:tc>
          <w:tcPr>
            <w:tcW w:w="322" w:type="dxa"/>
            <w:tcBorders/>
            <w:vAlign w:val="bottom"/>
          </w:tcPr>
          <w:p>
            <w:pPr>
              <w:pStyle w:val="TableContents"/>
              <w:bidi w:val="0"/>
              <w:spacing w:before="0" w:after="283"/>
              <w:jc w:val="left"/>
              <w:rPr/>
            </w:pPr>
            <w:r>
              <w:rPr>
                <w:b/>
              </w:rPr>
              <w:t>%</w:t>
            </w:r>
            <w:r>
              <w:rPr/>
              <w:t> </w:t>
            </w:r>
          </w:p>
        </w:tc>
      </w:tr>
      <w:tr>
        <w:trPr/>
        <w:tc>
          <w:tcPr>
            <w:tcW w:w="4470" w:type="dxa"/>
            <w:tcBorders/>
            <w:shd w:fill="CCEEFF" w:val="clear"/>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 - 100 bps)</w:t>
            </w:r>
          </w:p>
        </w:tc>
        <w:tc>
          <w:tcPr>
            <w:tcW w:w="322" w:type="dxa"/>
            <w:tcBorders/>
            <w:shd w:fill="CCEEFF" w:val="clear"/>
            <w:vAlign w:val="bottom"/>
          </w:tcPr>
          <w:p>
            <w:pPr>
              <w:pStyle w:val="TableContents"/>
              <w:bidi w:val="0"/>
              <w:spacing w:before="0" w:after="283"/>
              <w:jc w:val="left"/>
              <w:rPr/>
            </w:pPr>
            <w:r>
              <w:rPr/>
              <w:t> </w:t>
            </w:r>
          </w:p>
        </w:tc>
      </w:tr>
      <w:tr>
        <w:trPr/>
        <w:tc>
          <w:tcPr>
            <w:tcW w:w="447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millions)</w:t>
            </w:r>
          </w:p>
        </w:tc>
        <w:tc>
          <w:tcPr>
            <w:tcW w:w="7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6"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previously issued guidance on February 21, 2024 for ADIs second quarter of FY24. ADI is not hereby affirming or updating previously issued guidance.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Operating Margin is equivalent to OPBT margin.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sz w:val="20"/>
        </w:rPr>
      </w:pPr>
      <w:r>
        <w:rPr>
          <w:rFonts w:ascii="Times New Roman" w:hAnsi="Times New Roman"/>
          <w:sz w:val="20"/>
        </w:rPr>
        <w:t xml:space="preserve">Analog Devices, Inc. | One Analog Way | Wilmington, MA 01887 | U.S.A | Tel: 781.935.5565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3111</Words>
  <Characters>15382</Characters>
  <CharactersWithSpaces>19204</CharactersWithSpaces>
  <Paragraphs>1943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