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18"/>
          <w:szCs w:val="18"/>
          <w:color w:val="auto"/>
        </w:rPr>
        <w:t>January 17, 2017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0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85"/>
              </w:rPr>
              <w:t>Massachusetts</w:t>
            </w:r>
          </w:p>
        </w:tc>
        <w:tc>
          <w:tcPr>
            <w:tcW w:w="28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1-7819</w:t>
            </w:r>
          </w:p>
        </w:tc>
        <w:tc>
          <w:tcPr>
            <w:tcW w:w="386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1"/>
              </w:rPr>
              <w:t>04-2348234</w:t>
            </w:r>
          </w:p>
        </w:tc>
      </w:tr>
      <w:tr>
        <w:trPr>
          <w:trHeight w:val="215"/>
        </w:trPr>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1"/>
              </w:rPr>
              <w:t>(Commission</w:t>
            </w:r>
          </w:p>
        </w:tc>
        <w:tc>
          <w:tcPr>
            <w:tcW w:w="340" w:type="dxa"/>
            <w:vAlign w:val="bottom"/>
          </w:tcPr>
          <w:p>
            <w:pPr>
              <w:spacing w:after="0"/>
              <w:rPr>
                <w:sz w:val="18"/>
                <w:szCs w:val="18"/>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gridSpan w:val="3"/>
          </w:tcPr>
          <w:p>
            <w:pPr>
              <w:jc w:val="center"/>
              <w:ind w:right="1160"/>
              <w:spacing w:after="0"/>
              <w:rPr>
                <w:sz w:val="20"/>
                <w:szCs w:val="20"/>
                <w:color w:val="auto"/>
              </w:rPr>
            </w:pPr>
            <w:r>
              <w:rPr>
                <w:rFonts w:ascii="Arial" w:cs="Arial" w:eastAsia="Arial" w:hAnsi="Arial"/>
                <w:sz w:val="18"/>
                <w:szCs w:val="18"/>
                <w:color w:val="auto"/>
                <w:w w:val="93"/>
              </w:rPr>
              <w:t>of incorporation)</w:t>
            </w:r>
          </w:p>
        </w:tc>
        <w:tc>
          <w:tcPr>
            <w:tcW w:w="2860" w:type="dxa"/>
            <w:vAlign w:val="bottom"/>
            <w:gridSpan w:val="3"/>
          </w:tcPr>
          <w:p>
            <w:pPr>
              <w:jc w:val="center"/>
              <w:ind w:right="820"/>
              <w:spacing w:after="0"/>
              <w:rPr>
                <w:sz w:val="20"/>
                <w:szCs w:val="20"/>
                <w:color w:val="auto"/>
              </w:rPr>
            </w:pPr>
            <w:r>
              <w:rPr>
                <w:rFonts w:ascii="Arial" w:cs="Arial" w:eastAsia="Arial" w:hAnsi="Arial"/>
                <w:sz w:val="18"/>
                <w:szCs w:val="18"/>
                <w:color w:val="auto"/>
                <w:w w:val="92"/>
              </w:rPr>
              <w:t>File Number)</w:t>
            </w:r>
          </w:p>
        </w:tc>
        <w:tc>
          <w:tcPr>
            <w:tcW w:w="34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709"/>
        </w:trPr>
        <w:tc>
          <w:tcPr>
            <w:tcW w:w="4700" w:type="dxa"/>
            <w:vAlign w:val="bottom"/>
            <w:tcBorders>
              <w:bottom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One Technology Way, Norwood, MA</w:t>
            </w:r>
          </w:p>
        </w:tc>
        <w:tc>
          <w:tcPr>
            <w:tcW w:w="8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
          </w:tcPr>
          <w:p>
            <w:pPr>
              <w:jc w:val="right"/>
              <w:ind w:right="2410"/>
              <w:spacing w:after="0"/>
              <w:rPr>
                <w:sz w:val="20"/>
                <w:szCs w:val="20"/>
                <w:color w:val="auto"/>
              </w:rPr>
            </w:pPr>
            <w:r>
              <w:rPr>
                <w:rFonts w:ascii="Arial" w:cs="Arial" w:eastAsia="Arial" w:hAnsi="Arial"/>
                <w:sz w:val="18"/>
                <w:szCs w:val="18"/>
                <w:b w:val="1"/>
                <w:bCs w:val="1"/>
                <w:color w:val="auto"/>
              </w:rPr>
              <w:t>02062</w:t>
            </w:r>
          </w:p>
        </w:tc>
      </w:tr>
      <w:tr>
        <w:trPr>
          <w:trHeight w:val="230"/>
        </w:trPr>
        <w:tc>
          <w:tcPr>
            <w:tcW w:w="4700" w:type="dxa"/>
            <w:vAlign w:val="bottom"/>
            <w:gridSpan w:val="3"/>
          </w:tcPr>
          <w:p>
            <w:pPr>
              <w:ind w:left="1320"/>
              <w:spacing w:after="0"/>
              <w:rPr>
                <w:sz w:val="20"/>
                <w:szCs w:val="20"/>
                <w:color w:val="auto"/>
              </w:rPr>
            </w:pPr>
            <w:r>
              <w:rPr>
                <w:rFonts w:ascii="Arial" w:cs="Arial" w:eastAsia="Arial" w:hAnsi="Arial"/>
                <w:sz w:val="18"/>
                <w:szCs w:val="18"/>
                <w:color w:val="auto"/>
              </w:rPr>
              <w:t>(Address of principal executive offices)</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(781) 329-4700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2" w:lineRule="exact"/>
        <w:rPr>
          <w:sz w:val="24"/>
          <w:szCs w:val="24"/>
          <w:color w:val="auto"/>
        </w:rPr>
      </w:pPr>
    </w:p>
    <w:p>
      <w:pPr>
        <w:ind w:right="120"/>
        <w:spacing w:after="0" w:line="26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 w:name="page2"/>
    <w:bookmarkEnd w:id="1"/>
    <w:p>
      <w:pPr>
        <w:ind w:right="1040"/>
        <w:spacing w:after="0" w:line="257"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67" w:lineRule="exact"/>
        <w:rPr>
          <w:sz w:val="20"/>
          <w:szCs w:val="20"/>
          <w:color w:val="auto"/>
        </w:rPr>
      </w:pPr>
    </w:p>
    <w:p>
      <w:pPr>
        <w:ind w:right="200" w:firstLine="405"/>
        <w:spacing w:after="0" w:line="235" w:lineRule="auto"/>
        <w:rPr>
          <w:sz w:val="20"/>
          <w:szCs w:val="20"/>
          <w:color w:val="auto"/>
        </w:rPr>
      </w:pPr>
      <w:r>
        <w:rPr>
          <w:rFonts w:ascii="Arial" w:cs="Arial" w:eastAsia="Arial" w:hAnsi="Arial"/>
          <w:sz w:val="22"/>
          <w:szCs w:val="22"/>
          <w:color w:val="auto"/>
        </w:rPr>
        <w:t>At a meeting of the Board of Directors of Analog Devices, Inc. (the “</w:t>
      </w:r>
      <w:r>
        <w:rPr>
          <w:rFonts w:ascii="Arial" w:cs="Arial" w:eastAsia="Arial" w:hAnsi="Arial"/>
          <w:sz w:val="22"/>
          <w:szCs w:val="22"/>
          <w:u w:val="single" w:color="auto"/>
          <w:color w:val="auto"/>
        </w:rPr>
        <w:t>Company</w:t>
      </w:r>
      <w:r>
        <w:rPr>
          <w:rFonts w:ascii="Arial" w:cs="Arial" w:eastAsia="Arial" w:hAnsi="Arial"/>
          <w:sz w:val="22"/>
          <w:szCs w:val="22"/>
          <w:color w:val="auto"/>
        </w:rPr>
        <w:t>”) held on January 17, 2017, Mark M. Little was elected to the Board of Directors for a term continuing to the Company’s next annual meeting of shareholders in March 2017 when all directors will be subject to election by shareholders. Dr. Little will serve on the Company’s Audit Committee of the Board of Directors. In connection with his service on the Board of Directors, Dr. Little will receive an annual cash retainer of $70,000, paid quarterly. In connection with his service on the Audit Committee of the Board of Directors, Dr. Little will also receive an annual cash retainer of $10,000, paid quarterly.</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9"/>
          <w:szCs w:val="19"/>
          <w:color w:val="auto"/>
        </w:rPr>
        <w:t>Dr. Little will automatically be granted on February 15, 2017 (or the next succeeding business day that the NASDAQ is open)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equity awards under the Company’s 2006 Stock Incentive Plan as follows:</w:t>
      </w:r>
    </w:p>
    <w:p>
      <w:pPr>
        <w:spacing w:after="0" w:line="209" w:lineRule="exact"/>
        <w:rPr>
          <w:sz w:val="20"/>
          <w:szCs w:val="20"/>
          <w:color w:val="auto"/>
        </w:rPr>
      </w:pPr>
    </w:p>
    <w:p>
      <w:pPr>
        <w:ind w:left="920" w:right="100" w:hanging="912"/>
        <w:spacing w:after="0" w:line="264"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non-qualified stock option to purchase 1,040 shares of common stock of the Company at an exercise price equal to the closing price of the common stock on the grant date, which shall vest and become exercisable with respect to the shares covered thereby on the earlier of the date of the Company’s next annual meeting of shareholders or March 9, 2017; and</w:t>
      </w:r>
    </w:p>
    <w:p>
      <w:pPr>
        <w:spacing w:after="0" w:line="127" w:lineRule="exact"/>
        <w:rPr>
          <w:rFonts w:ascii="Arial" w:cs="Arial" w:eastAsia="Arial" w:hAnsi="Arial"/>
          <w:sz w:val="18"/>
          <w:szCs w:val="18"/>
          <w:color w:val="auto"/>
        </w:rPr>
      </w:pPr>
    </w:p>
    <w:p>
      <w:pPr>
        <w:ind w:left="920" w:right="160" w:hanging="912"/>
        <w:spacing w:after="0" w:line="277"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195 restricted stock units, which shall vest and convert into shares of the Company’s common stock on the earlier of the date of the Company’s next annual meeting of shareholders or March 9, 2017.</w:t>
      </w:r>
    </w:p>
    <w:p>
      <w:pPr>
        <w:spacing w:after="0" w:line="177" w:lineRule="exact"/>
        <w:rPr>
          <w:sz w:val="20"/>
          <w:szCs w:val="20"/>
          <w:color w:val="auto"/>
        </w:rPr>
      </w:pPr>
    </w:p>
    <w:p>
      <w:pPr>
        <w:ind w:right="80" w:firstLine="405"/>
        <w:spacing w:after="0" w:line="328" w:lineRule="auto"/>
        <w:rPr>
          <w:sz w:val="20"/>
          <w:szCs w:val="20"/>
          <w:color w:val="auto"/>
        </w:rPr>
      </w:pPr>
      <w:r>
        <w:rPr>
          <w:rFonts w:ascii="Arial" w:cs="Arial" w:eastAsia="Arial" w:hAnsi="Arial"/>
          <w:sz w:val="19"/>
          <w:szCs w:val="19"/>
          <w:color w:val="auto"/>
        </w:rPr>
        <w:t>Each non-employee director re-elected at the next annual meeting of shareholders will be granted a restricted stock unit award for a number of shares of common stock approved by the Board on the date of the Company’s annual meeting of shareholders.</w:t>
      </w:r>
    </w:p>
    <w:p>
      <w:pPr>
        <w:spacing w:after="0" w:line="105" w:lineRule="exact"/>
        <w:rPr>
          <w:sz w:val="20"/>
          <w:szCs w:val="20"/>
          <w:color w:val="auto"/>
        </w:rPr>
      </w:pPr>
    </w:p>
    <w:p>
      <w:pPr>
        <w:ind w:right="20" w:firstLine="405"/>
        <w:spacing w:after="0"/>
        <w:rPr>
          <w:sz w:val="20"/>
          <w:szCs w:val="20"/>
          <w:color w:val="auto"/>
        </w:rPr>
      </w:pPr>
      <w:r>
        <w:rPr>
          <w:rFonts w:ascii="Arial" w:cs="Arial" w:eastAsia="Arial" w:hAnsi="Arial"/>
          <w:sz w:val="22"/>
          <w:szCs w:val="22"/>
          <w:color w:val="auto"/>
        </w:rPr>
        <w:t>Director equity awards vest in full upon the occurrence of a Change in Control Event (as defined in the Company’s 2006 Stock Incentive Plan) or the director’s death. If the director ceases to serve as a director by reason of his or her disability, as determined by the Board, each RSU will vest in full.</w:t>
      </w:r>
    </w:p>
    <w:p>
      <w:pPr>
        <w:spacing w:after="0" w:line="186" w:lineRule="exact"/>
        <w:rPr>
          <w:sz w:val="20"/>
          <w:szCs w:val="20"/>
          <w:color w:val="auto"/>
        </w:rPr>
      </w:pPr>
    </w:p>
    <w:p>
      <w:pPr>
        <w:ind w:firstLine="405"/>
        <w:spacing w:after="0" w:line="328" w:lineRule="auto"/>
        <w:rPr>
          <w:sz w:val="20"/>
          <w:szCs w:val="20"/>
          <w:color w:val="auto"/>
        </w:rPr>
      </w:pPr>
      <w:r>
        <w:rPr>
          <w:rFonts w:ascii="Arial" w:cs="Arial" w:eastAsia="Arial" w:hAnsi="Arial"/>
          <w:sz w:val="19"/>
          <w:szCs w:val="19"/>
          <w:color w:val="auto"/>
        </w:rPr>
        <w:t>In addition, Dr. Little will become party with the Company to the Company's form of Indemnification Agreement for Directors and Officers, filed as Exhibit 10.30 to the Company's Annual Report on Form 10-K for the fiscal year ended November 1, 2008.</w:t>
      </w:r>
    </w:p>
    <w:p>
      <w:pPr>
        <w:spacing w:after="0" w:line="105" w:lineRule="exact"/>
        <w:rPr>
          <w:sz w:val="20"/>
          <w:szCs w:val="20"/>
          <w:color w:val="auto"/>
        </w:rPr>
      </w:pPr>
    </w:p>
    <w:p>
      <w:pPr>
        <w:ind w:right="80" w:firstLine="405"/>
        <w:spacing w:after="0" w:line="282" w:lineRule="auto"/>
        <w:rPr>
          <w:sz w:val="20"/>
          <w:szCs w:val="20"/>
          <w:color w:val="auto"/>
        </w:rPr>
      </w:pPr>
      <w:r>
        <w:rPr>
          <w:rFonts w:ascii="Arial" w:cs="Arial" w:eastAsia="Arial" w:hAnsi="Arial"/>
          <w:sz w:val="19"/>
          <w:szCs w:val="19"/>
          <w:color w:val="auto"/>
        </w:rPr>
        <w:t>On January 17, 2017, the Company also announced that Richard M. Beyer and John C. Hodgson will retire from the Board of Directors of the Company, effective at the Company’s 2017 Annual Meeting of Shareholders and that the Board of Directors intends to appoint Robert Swanson, Executive Chairman of Linear Technology Corporation, to the Board at the later of the completion of the Company’s proposed acquisition of Linear Technology Corporation or the Board of Directors meeting following the Company’s 2017 Annual Meeting of Shareholders, currently anticipated to be held on March 8, 2017.</w:t>
      </w:r>
    </w:p>
    <w:p>
      <w:pPr>
        <w:spacing w:after="0" w:line="148" w:lineRule="exact"/>
        <w:rPr>
          <w:sz w:val="20"/>
          <w:szCs w:val="20"/>
          <w:color w:val="auto"/>
        </w:rPr>
      </w:pPr>
    </w:p>
    <w:p>
      <w:pPr>
        <w:ind w:right="860" w:firstLine="405"/>
        <w:spacing w:after="0" w:line="251" w:lineRule="auto"/>
        <w:rPr>
          <w:sz w:val="20"/>
          <w:szCs w:val="20"/>
          <w:color w:val="auto"/>
        </w:rPr>
      </w:pPr>
      <w:r>
        <w:rPr>
          <w:rFonts w:ascii="Arial" w:cs="Arial" w:eastAsia="Arial" w:hAnsi="Arial"/>
          <w:sz w:val="22"/>
          <w:szCs w:val="22"/>
          <w:color w:val="auto"/>
        </w:rPr>
        <w:t>A press release announcing these matters is filed as Exhibit 99.1 to this Current Report,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Forward-Looking Statements</w:t>
      </w:r>
    </w:p>
    <w:p>
      <w:pPr>
        <w:spacing w:after="0" w:line="213" w:lineRule="exact"/>
        <w:rPr>
          <w:sz w:val="20"/>
          <w:szCs w:val="20"/>
          <w:color w:val="auto"/>
        </w:rPr>
      </w:pPr>
    </w:p>
    <w:p>
      <w:pPr>
        <w:ind w:firstLine="266"/>
        <w:spacing w:after="0" w:line="270" w:lineRule="auto"/>
        <w:rPr>
          <w:sz w:val="20"/>
          <w:szCs w:val="20"/>
          <w:color w:val="auto"/>
        </w:rPr>
      </w:pPr>
      <w:r>
        <w:rPr>
          <w:rFonts w:ascii="Arial" w:cs="Arial" w:eastAsia="Arial" w:hAnsi="Arial"/>
          <w:sz w:val="19"/>
          <w:szCs w:val="19"/>
          <w:color w:val="auto"/>
        </w:rPr>
        <w:t>The information contained herein contains forward-looking statements, which address a variety of subjects including the anticipated composition of the Board of Directors of the Company.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ability to satisfy the conditions to closing of the proposed transaction, on the expected timing or at all; the ability to obtain required regulatory approvals for the proposed transaction, on the expected timing or at all, including the potential for regulatory authorities to require divestitures in connection with the proposed transaction; the occurrence of any event that could give rise to the termination of the merger agreement; the risk of stockholder litigation relating to the proposed transaction, including resulting expense or delay; higher than expected or unexpected costs associated with or relating to the transaction; the risk that expected benefits, synergies and growth prospects of the transaction may not be achieved in a timely manner, or at all; the risk that Linear Technology Corporation’s business may not be successfully integrated with the Company’s following the closing; the risk that the Company and Linear Technology Corporation will be unable to retain and hire key personnel; and the risk that disruption from the transaction may adversely affect Linear Technology Corporation’s or the Company’s business and relationships with their customers, suppliers or employees. For additional information about factors that could cause actual results to differ materially from those described in the forward-looking statements, please refer to the Company’s filings with the Securities and Exchange Commission ("SEC"), including the risk factors contained in the Company’s most recent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060" w:type="dxa"/>
            <w:vAlign w:val="bottom"/>
            <w:gridSpan w:val="2"/>
          </w:tcPr>
          <w:p>
            <w:pPr>
              <w:spacing w:after="0"/>
              <w:rPr>
                <w:sz w:val="20"/>
                <w:szCs w:val="20"/>
                <w:color w:val="auto"/>
              </w:rPr>
            </w:pPr>
            <w:r>
              <w:rPr>
                <w:rFonts w:ascii="Arial" w:cs="Arial" w:eastAsia="Arial" w:hAnsi="Arial"/>
                <w:sz w:val="22"/>
                <w:szCs w:val="22"/>
                <w:b w:val="1"/>
                <w:bCs w:val="1"/>
                <w:color w:val="auto"/>
              </w:rPr>
              <w:t>Item 9.01.</w:t>
            </w:r>
          </w:p>
        </w:tc>
        <w:tc>
          <w:tcPr>
            <w:tcW w:w="10360" w:type="dxa"/>
            <w:vAlign w:val="bottom"/>
            <w:gridSpan w:val="3"/>
          </w:tcPr>
          <w:p>
            <w:pPr>
              <w:ind w:left="140"/>
              <w:spacing w:after="0"/>
              <w:rPr>
                <w:sz w:val="20"/>
                <w:szCs w:val="20"/>
                <w:color w:val="auto"/>
              </w:rPr>
            </w:pPr>
            <w:r>
              <w:rPr>
                <w:rFonts w:ascii="Arial" w:cs="Arial" w:eastAsia="Arial" w:hAnsi="Arial"/>
                <w:sz w:val="22"/>
                <w:szCs w:val="22"/>
                <w:b w:val="1"/>
                <w:bCs w:val="1"/>
                <w:color w:val="auto"/>
              </w:rPr>
              <w:t>Financial Statements and Exhibits</w:t>
            </w:r>
          </w:p>
        </w:tc>
      </w:tr>
      <w:tr>
        <w:trPr>
          <w:trHeight w:val="436"/>
        </w:trPr>
        <w:tc>
          <w:tcPr>
            <w:tcW w:w="10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40" w:type="dxa"/>
            <w:vAlign w:val="bottom"/>
          </w:tcPr>
          <w:p>
            <w:pPr>
              <w:spacing w:after="0"/>
              <w:rPr>
                <w:sz w:val="24"/>
                <w:szCs w:val="24"/>
                <w:color w:val="auto"/>
              </w:rPr>
            </w:pPr>
          </w:p>
        </w:tc>
      </w:tr>
      <w:tr>
        <w:trPr>
          <w:trHeight w:val="446"/>
        </w:trPr>
        <w:tc>
          <w:tcPr>
            <w:tcW w:w="10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78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Press release dated January 18, 2017</w:t>
            </w:r>
          </w:p>
        </w:tc>
      </w:tr>
      <w:tr>
        <w:trPr>
          <w:trHeight w:val="230"/>
        </w:trPr>
        <w:tc>
          <w:tcPr>
            <w:tcW w:w="84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8740" w:type="dxa"/>
            <w:vAlign w:val="bottom"/>
            <w:tcBorders>
              <w:bottom w:val="single" w:sz="8" w:color="9A9A9A"/>
            </w:tcBorders>
          </w:tcPr>
          <w:p>
            <w:pPr>
              <w:spacing w:after="0"/>
              <w:rPr>
                <w:sz w:val="19"/>
                <w:szCs w:val="19"/>
                <w:color w:val="auto"/>
              </w:rPr>
            </w:pPr>
          </w:p>
        </w:tc>
      </w:tr>
      <w:tr>
        <w:trPr>
          <w:trHeight w:val="21"/>
        </w:trPr>
        <w:tc>
          <w:tcPr>
            <w:tcW w:w="8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8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center"/>
        <w:ind w:right="-779"/>
        <w:spacing w:after="0"/>
        <w:rPr>
          <w:sz w:val="20"/>
          <w:szCs w:val="20"/>
          <w:color w:val="auto"/>
        </w:rPr>
      </w:pPr>
      <w:r>
        <w:rPr>
          <w:rFonts w:ascii="Arial" w:cs="Arial" w:eastAsia="Arial" w:hAnsi="Arial"/>
          <w:sz w:val="22"/>
          <w:szCs w:val="22"/>
          <w:color w:val="auto"/>
        </w:rPr>
        <w:t>SIGNATURE</w:t>
      </w:r>
    </w:p>
    <w:p>
      <w:pPr>
        <w:spacing w:after="0" w:line="21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January 18, 2017</w:t>
      </w:r>
      <w:r>
        <w:rPr>
          <w:sz w:val="20"/>
          <w:szCs w:val="20"/>
          <w:color w:val="auto"/>
        </w:rPr>
        <w:tab/>
      </w:r>
      <w:r>
        <w:rPr>
          <w:rFonts w:ascii="Arial" w:cs="Arial" w:eastAsia="Arial" w:hAnsi="Arial"/>
          <w:sz w:val="17"/>
          <w:szCs w:val="17"/>
          <w:color w:val="auto"/>
        </w:rPr>
        <w:t>ANALOG DEVICES, INC.</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67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Margaret K. Seif</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Legal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60"/>
          </w:cols>
          <w:pgMar w:left="240" w:top="118" w:right="899" w:bottom="1440" w:gutter="0" w:footer="0" w:header="0"/>
        </w:sectPr>
      </w:pPr>
    </w:p>
    <w:bookmarkStart w:id="4" w:name="page5"/>
    <w:bookmarkEnd w:id="4"/>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26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86"/>
              </w:rPr>
              <w:t>Press release dated January 18, 2017</w:t>
            </w:r>
          </w:p>
        </w:tc>
      </w:tr>
    </w:tbl>
    <w:p>
      <w:pPr>
        <w:sectPr>
          <w:pgSz w:w="11900" w:h="16838" w:orient="portrait"/>
          <w:cols w:equalWidth="0" w:num="1">
            <w:col w:w="10219"/>
          </w:cols>
          <w:pgMar w:left="240" w:top="118"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Analog Devices Announces Changes to Membership of Board of Directors</w:t>
      </w:r>
    </w:p>
    <w:p>
      <w:pPr>
        <w:spacing w:after="0" w:line="212" w:lineRule="exact"/>
        <w:rPr>
          <w:sz w:val="20"/>
          <w:szCs w:val="20"/>
          <w:color w:val="auto"/>
        </w:rPr>
      </w:pPr>
    </w:p>
    <w:p>
      <w:pPr>
        <w:ind w:right="240"/>
        <w:spacing w:after="0" w:line="234" w:lineRule="auto"/>
        <w:rPr>
          <w:sz w:val="20"/>
          <w:szCs w:val="20"/>
          <w:color w:val="auto"/>
        </w:rPr>
      </w:pPr>
      <w:r>
        <w:rPr>
          <w:rFonts w:ascii="Arial" w:cs="Arial" w:eastAsia="Arial" w:hAnsi="Arial"/>
          <w:sz w:val="22"/>
          <w:szCs w:val="22"/>
          <w:color w:val="auto"/>
        </w:rPr>
        <w:t>NORWOOD, Mass.--(BUSINESS WIRE)--January 18, 2017--Analog Devices, Inc. (NASDAQ: ADI), a global leader in high-performance semiconductors for signal processing applications, today announced that Mark M. Little, former Senior Vice President, GE Global Research and Chief Technology Officer of General Electric Company, has been elected as a Director of the Company, and that the Board of Directors of the Company intends to elect Robert H. Swanson, Executive Chairman of Linear Technology Corporation, as a Director following the closing of the Company’s acquisition of Linear Technology Corporation. Richard Beyer and John Hodgson will retire from the Company’s Board of Directors, effective as of the Company’s 2017 Annual Meeting of Shareholders.</w:t>
      </w:r>
    </w:p>
    <w:p>
      <w:pPr>
        <w:spacing w:after="0" w:line="191" w:lineRule="exact"/>
        <w:rPr>
          <w:sz w:val="20"/>
          <w:szCs w:val="20"/>
          <w:color w:val="auto"/>
        </w:rPr>
      </w:pPr>
    </w:p>
    <w:p>
      <w:pPr>
        <w:jc w:val="both"/>
        <w:ind w:right="300"/>
        <w:spacing w:after="0" w:line="297" w:lineRule="auto"/>
        <w:rPr>
          <w:sz w:val="20"/>
          <w:szCs w:val="20"/>
          <w:color w:val="auto"/>
        </w:rPr>
      </w:pPr>
      <w:r>
        <w:rPr>
          <w:rFonts w:ascii="Arial" w:cs="Arial" w:eastAsia="Arial" w:hAnsi="Arial"/>
          <w:sz w:val="19"/>
          <w:szCs w:val="19"/>
          <w:color w:val="auto"/>
        </w:rPr>
        <w:t>“We are very grateful to Rich and John for their years of dedicated service to ADI, and for their wise counsel as members of our Board,” said Ray Stata, ADI Chairman of the Board. “We are pleased to welcome Mark Little as a new Director, and we are also looking forward to Bob Swanson joining the Board following our acquisition of Linear Technology Corporation.”</w:t>
      </w:r>
    </w:p>
    <w:p>
      <w:pPr>
        <w:spacing w:after="0" w:line="134" w:lineRule="exact"/>
        <w:rPr>
          <w:sz w:val="20"/>
          <w:szCs w:val="20"/>
          <w:color w:val="auto"/>
        </w:rPr>
      </w:pPr>
    </w:p>
    <w:p>
      <w:pPr>
        <w:ind w:right="220"/>
        <w:spacing w:after="0" w:line="279" w:lineRule="auto"/>
        <w:rPr>
          <w:sz w:val="20"/>
          <w:szCs w:val="20"/>
          <w:color w:val="auto"/>
        </w:rPr>
      </w:pPr>
      <w:r>
        <w:rPr>
          <w:rFonts w:ascii="Arial" w:cs="Arial" w:eastAsia="Arial" w:hAnsi="Arial"/>
          <w:sz w:val="19"/>
          <w:szCs w:val="19"/>
          <w:color w:val="auto"/>
        </w:rPr>
        <w:t>Dr. Little is the former Senior Vice President, GE Global Research and Chief Technology Officer of General Electric Company, a global digital industrial company. Dr. Little joined GE in 1978, and during his 37-year tenure, held management positions in engineering and business, culminating with his most recent position, which he held from 2005 to 2015. In addition to his technology leadership, Dr. Little led several multi-billion dollar business units at GE including GE Energy's power-generation segment. Dr. Little holds bachelor’s and master’s degrees in mechanical engineering from Tufts and Northeastern universities, respectively, and a Ph.D. in mechanical engineering from Rensselaer Polytechnic Institute.</w:t>
      </w:r>
    </w:p>
    <w:p>
      <w:pPr>
        <w:spacing w:after="0" w:line="151"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Mr. Swanson, a founder of Linear Technology, has served as Executive Chairman of the Linear Technology board of directors since January 2005. Prior to that time, he served as Chairman and Chief Executive Officer of Linear Technology since its incorporation in 1981. Mr. Swanson has a B.S. degree in Industrial Engineering from Northeastern University.</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On July 26, 2016, ADI and Linear Technology entered into an agreement and plan of merger that provides for the acquisition of Linear Technology by the Company. The Company and Linear Technology currently expect the acquisition to be completed by the end of the Company’s second fiscal quarter of 2017, subject to receipt of the remaining required regulatory approvals and subject to the satisfaction or waiver of the other conditions contained in the merger agreement. The Board of Directors of the Company intends to elect Mr. Swanson to the Board at the later of the completion of the acquisition or the Board of Directors meeting following the Company’s 2017 Annual Meeting of Shareholders, currently anticipated to be held on March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About Analog Devices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Analog Devices (NASDAQ: ADI) designs and manufactures semiconductor products and solutions. We enable our customers to interpret the world around us by intelligently bridging the physical and digital with unmatched technologies that sense, measure and connect. Visit </w:t>
      </w:r>
      <w:r>
        <w:rPr>
          <w:rFonts w:ascii="Arial" w:cs="Arial" w:eastAsia="Arial" w:hAnsi="Arial"/>
          <w:sz w:val="22"/>
          <w:szCs w:val="22"/>
          <w:u w:val="single" w:color="auto"/>
          <w:color w:val="auto"/>
        </w:rPr>
        <w:t>http://www.analog.com</w:t>
      </w:r>
      <w:r>
        <w:rPr>
          <w:rFonts w:ascii="Arial" w:cs="Arial" w:eastAsia="Arial" w:hAnsi="Arial"/>
          <w:sz w:val="22"/>
          <w:szCs w:val="22"/>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This press release contents contains forward-looking statements, which address a variety of subjects including the expected timetable for closing of the transaction between Analog Devices, Inc. ("Analog Devices") and Linear Technology Corporation ("Linear Technology") and the anticipated composition of the Board of Directors of Analog Devices.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ability to satisfy the conditions to closing of the proposed transaction, on the expected timing or at all; the ability to obtain required regulatory approvals for the proposed transaction, on the expected timing or at all, including the potential for regulatory authorities to require divestitures in connection with the proposed transaction; the occurrence of any event that could give rise to the termination of the merger agreement; the risk of stockholder litigation relating to the proposed transaction, including resulting expense or delay; higher than expected or unexpected costs associated with or relating to the transaction; the risk that expected benefits, synergies and growth prospects of the transaction may not be achieved in a timely manner, or at all; the risk that Linear Technology's business may not be successfully integrated with Analog Devices' following the closing; the risk that Analog Devices and Linear Technology will be unable to retain and hire key personnel; and the risk that disruption from the transaction may adversely affect Linear Technology's or Analog Devices' business and relationships with their customers, suppliers or employees. For additional information about factors that could cause actual results to differ materially from those described in the forward-looking statements, please refer to Analog Devices' filings with the Securities and Exchange Commission ("SEC"), including the risk factors contained in Analog Devices' most recent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Analog Devices, Inc.</w:t>
      </w:r>
    </w:p>
    <w:p>
      <w:pPr>
        <w:spacing w:after="0" w:line="230" w:lineRule="auto"/>
        <w:rPr>
          <w:sz w:val="20"/>
          <w:szCs w:val="20"/>
          <w:color w:val="auto"/>
        </w:rPr>
      </w:pPr>
      <w:r>
        <w:rPr>
          <w:rFonts w:ascii="Arial" w:cs="Arial" w:eastAsia="Arial" w:hAnsi="Arial"/>
          <w:sz w:val="22"/>
          <w:szCs w:val="22"/>
          <w:color w:val="auto"/>
        </w:rPr>
        <w:t>Ali Husain, 781-461-3282</w:t>
      </w:r>
    </w:p>
    <w:p>
      <w:pPr>
        <w:spacing w:after="0" w:line="231" w:lineRule="auto"/>
        <w:rPr>
          <w:sz w:val="20"/>
          <w:szCs w:val="20"/>
          <w:color w:val="auto"/>
        </w:rPr>
      </w:pPr>
      <w:r>
        <w:rPr>
          <w:rFonts w:ascii="Arial" w:cs="Arial" w:eastAsia="Arial" w:hAnsi="Arial"/>
          <w:sz w:val="22"/>
          <w:szCs w:val="22"/>
          <w:color w:val="auto"/>
        </w:rPr>
        <w:t>Treasurer &amp; Director of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investor.relations@analog.com</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2019-12-05T01:27:37Z</dcterms:created>
  <dcterms:modified xsi:type="dcterms:W3CDTF">2019-12-05T01:27:37Z</dcterms:modified>
</cp:coreProperties>
</file>