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40" w:type="dxa"/>
            <w:vAlign w:val="bottom"/>
          </w:tcPr>
          <w:p>
            <w:pPr>
              <w:jc w:val="center"/>
              <w:ind w:right="2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213"/>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4133850</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27940</wp:posOffset>
            </wp:positionV>
            <wp:extent cx="7273925" cy="5514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3925" cy="551434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340" w:space="340"/>
            <w:col w:w="8740"/>
          </w:cols>
          <w:pgMar w:left="240" w:top="219" w:right="2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Jamal Yusuf</w:t>
        </w:r>
      </w:hyperlink>
    </w:p>
    <w:p>
      <w:pPr>
        <w:spacing w:after="0" w:line="30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9106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ANALOG DEVICES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ADI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10/15/2017</w:t>
      </w:r>
    </w:p>
    <w:p>
      <w:pPr>
        <w:spacing w:after="0" w:line="20" w:lineRule="exact"/>
        <w:rPr>
          <w:sz w:val="24"/>
          <w:szCs w:val="24"/>
          <w:color w:val="auto"/>
        </w:rPr>
      </w:pPr>
      <w:r>
        <w:rPr>
          <w:sz w:val="24"/>
          <w:szCs w:val="24"/>
          <w:color w:val="auto"/>
        </w:rPr>
        <w:br w:type="column"/>
      </w:r>
    </w:p>
    <w:p>
      <w:pPr>
        <w:ind w:left="8" w:right="560" w:hanging="8"/>
        <w:spacing w:after="0" w:line="267"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8"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88"/>
        <w:spacing w:after="0"/>
        <w:rPr>
          <w:sz w:val="20"/>
          <w:szCs w:val="20"/>
          <w:color w:val="auto"/>
        </w:rPr>
      </w:pPr>
      <w:r>
        <w:rPr>
          <w:rFonts w:ascii="Times New Roman" w:cs="Times New Roman" w:eastAsia="Times New Roman" w:hAnsi="Times New Roman"/>
          <w:sz w:val="17"/>
          <w:szCs w:val="17"/>
          <w:color w:val="0000FF"/>
        </w:rPr>
        <w:t>SVP, Ind, Hlthcr, Cons, IoT</w:t>
      </w:r>
    </w:p>
    <w:p>
      <w:pPr>
        <w:spacing w:after="0" w:line="204" w:lineRule="exact"/>
        <w:rPr>
          <w:sz w:val="24"/>
          <w:szCs w:val="24"/>
          <w:color w:val="auto"/>
        </w:rPr>
      </w:pPr>
    </w:p>
    <w:p>
      <w:pPr>
        <w:sectPr>
          <w:pgSz w:w="11900" w:h="16838" w:orient="portrait"/>
          <w:cols w:equalWidth="0" w:num="3">
            <w:col w:w="3340" w:space="720"/>
            <w:col w:w="3272" w:space="720"/>
            <w:col w:w="3368"/>
          </w:cols>
          <w:pgMar w:left="240" w:top="219" w:right="2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ONE TECHNOLOGY WAY</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7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7"/>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NORWOOD</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02062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80" w:type="dxa"/>
            <w:vAlign w:val="bottom"/>
            <w:tcBorders>
              <w:bottom w:val="single" w:sz="8" w:color="2C2C2C"/>
            </w:tcBorders>
            <w:gridSpan w:val="5"/>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300" w:type="dxa"/>
            <w:vAlign w:val="bottom"/>
            <w:gridSpan w:val="6"/>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3"/>
              </w:rPr>
              <w:t>(A) or</w:t>
            </w: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580" w:type="dxa"/>
            <w:vAlign w:val="bottom"/>
            <w:tcBorders>
              <w:bottom w:val="single" w:sz="8" w:color="2C2C2C"/>
            </w:tcBorders>
            <w:gridSpan w:val="5"/>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 Stock - $.16-2/3 value</w:t>
            </w:r>
          </w:p>
        </w:tc>
        <w:tc>
          <w:tcPr>
            <w:tcW w:w="1940" w:type="dxa"/>
            <w:vAlign w:val="bottom"/>
            <w:gridSpan w:val="3"/>
          </w:tcPr>
          <w:p>
            <w:pPr>
              <w:ind w:left="940"/>
              <w:spacing w:after="0"/>
              <w:rPr>
                <w:sz w:val="20"/>
                <w:szCs w:val="20"/>
                <w:color w:val="auto"/>
              </w:rPr>
            </w:pPr>
            <w:r>
              <w:rPr>
                <w:rFonts w:ascii="Times New Roman" w:cs="Times New Roman" w:eastAsia="Times New Roman" w:hAnsi="Times New Roman"/>
                <w:sz w:val="17"/>
                <w:szCs w:val="17"/>
                <w:color w:val="0000FF"/>
              </w:rPr>
              <w:t>10/15/2017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1,151</w:t>
            </w:r>
          </w:p>
        </w:tc>
        <w:tc>
          <w:tcPr>
            <w:tcW w:w="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0000FF"/>
              </w:rPr>
              <w:t>1,653</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 Stock - $.16-2/3 value</w:t>
            </w:r>
          </w:p>
        </w:tc>
        <w:tc>
          <w:tcPr>
            <w:tcW w:w="1940" w:type="dxa"/>
            <w:vAlign w:val="bottom"/>
            <w:gridSpan w:val="3"/>
          </w:tcPr>
          <w:p>
            <w:pPr>
              <w:ind w:left="940"/>
              <w:spacing w:after="0"/>
              <w:rPr>
                <w:sz w:val="20"/>
                <w:szCs w:val="20"/>
                <w:color w:val="auto"/>
              </w:rPr>
            </w:pPr>
            <w:r>
              <w:rPr>
                <w:rFonts w:ascii="Times New Roman" w:cs="Times New Roman" w:eastAsia="Times New Roman" w:hAnsi="Times New Roman"/>
                <w:sz w:val="17"/>
                <w:szCs w:val="17"/>
                <w:color w:val="0000FF"/>
              </w:rPr>
              <w:t>10/16/2017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0000FF"/>
              </w:rPr>
              <w:t>433</w:t>
            </w:r>
          </w:p>
        </w:tc>
        <w:tc>
          <w:tcPr>
            <w:tcW w:w="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2"/>
          </w:tcPr>
          <w:p>
            <w:pPr>
              <w:jc w:val="center"/>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88.83</w:t>
            </w:r>
          </w:p>
        </w:tc>
        <w:tc>
          <w:tcPr>
            <w:tcW w:w="400" w:type="dxa"/>
            <w:vAlign w:val="bottom"/>
          </w:tcPr>
          <w:p>
            <w:pPr>
              <w:spacing w:after="0"/>
              <w:rPr>
                <w:sz w:val="23"/>
                <w:szCs w:val="23"/>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0000FF"/>
              </w:rPr>
              <w:t>1,220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240" w:type="dxa"/>
            <w:vAlign w:val="bottom"/>
            <w:tcBorders>
              <w:top w:val="single" w:sz="8" w:color="2C2C2C"/>
            </w:tcBorders>
            <w:gridSpan w:val="11"/>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0" w:type="dxa"/>
            <w:vAlign w:val="bottom"/>
            <w:gridSpan w:val="9"/>
          </w:tcPr>
          <w:p>
            <w:pPr>
              <w:jc w:val="center"/>
              <w:ind w:left="5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7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and 4)</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Restricted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10/15/2017</w:t>
            </w:r>
            <w:r>
              <w:rPr>
                <w:rFonts w:ascii="Times New Roman" w:cs="Times New Roman" w:eastAsia="Times New Roman" w:hAnsi="Times New Roman"/>
                <w:sz w:val="22"/>
                <w:szCs w:val="22"/>
                <w:color w:val="008000"/>
                <w:vertAlign w:val="superscript"/>
              </w:rPr>
              <w:t>(1)</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 -</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1,151</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 Unit</w:t>
            </w:r>
          </w:p>
        </w:tc>
        <w:tc>
          <w:tcPr>
            <w:tcW w:w="660" w:type="dxa"/>
            <w:vAlign w:val="bottom"/>
          </w:tcPr>
          <w:p>
            <w:pPr>
              <w:ind w:left="30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140" w:type="dxa"/>
            <w:vAlign w:val="bottom"/>
          </w:tcPr>
          <w:p>
            <w:pPr>
              <w:spacing w:after="0"/>
              <w:rPr>
                <w:sz w:val="12"/>
                <w:szCs w:val="12"/>
                <w:color w:val="auto"/>
              </w:rPr>
            </w:pPr>
          </w:p>
        </w:tc>
        <w:tc>
          <w:tcPr>
            <w:tcW w:w="1060" w:type="dxa"/>
            <w:vAlign w:val="bottom"/>
          </w:tcPr>
          <w:p>
            <w:pPr>
              <w:jc w:val="right"/>
              <w:ind w:right="113"/>
              <w:spacing w:after="0" w:line="147" w:lineRule="exact"/>
              <w:rPr>
                <w:sz w:val="20"/>
                <w:szCs w:val="20"/>
                <w:color w:val="auto"/>
              </w:rPr>
            </w:pPr>
            <w:r>
              <w:rPr>
                <w:rFonts w:ascii="Times New Roman" w:cs="Times New Roman" w:eastAsia="Times New Roman" w:hAnsi="Times New Roman"/>
                <w:sz w:val="13"/>
                <w:szCs w:val="13"/>
                <w:color w:val="0000FF"/>
              </w:rPr>
              <w:t>10/15/2017</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0000FF"/>
              </w:rPr>
              <w:t>1,151</w:t>
            </w: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80" w:type="dxa"/>
            <w:vAlign w:val="bottom"/>
          </w:tcPr>
          <w:p>
            <w:pPr>
              <w:jc w:val="right"/>
              <w:ind w:right="115"/>
              <w:spacing w:after="0" w:line="147" w:lineRule="exact"/>
              <w:rPr>
                <w:sz w:val="20"/>
                <w:szCs w:val="20"/>
                <w:color w:val="auto"/>
              </w:rPr>
            </w:pPr>
            <w:r>
              <w:rPr>
                <w:rFonts w:ascii="Times New Roman" w:cs="Times New Roman" w:eastAsia="Times New Roman" w:hAnsi="Times New Roman"/>
                <w:sz w:val="13"/>
                <w:szCs w:val="13"/>
                <w:color w:val="0000FF"/>
              </w:rPr>
              <w:t>$.16-</w:t>
            </w:r>
          </w:p>
        </w:tc>
        <w:tc>
          <w:tcPr>
            <w:tcW w:w="560" w:type="dxa"/>
            <w:vAlign w:val="bottom"/>
            <w:vMerge w:val="continue"/>
          </w:tcPr>
          <w:p>
            <w:pPr>
              <w:spacing w:after="0"/>
              <w:rPr>
                <w:sz w:val="12"/>
                <w:szCs w:val="12"/>
                <w:color w:val="auto"/>
              </w:rPr>
            </w:pPr>
          </w:p>
        </w:tc>
        <w:tc>
          <w:tcPr>
            <w:tcW w:w="640" w:type="dxa"/>
            <w:vAlign w:val="bottom"/>
            <w:gridSpan w:val="2"/>
          </w:tcPr>
          <w:p>
            <w:pPr>
              <w:ind w:left="30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84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0000FF"/>
              </w:rPr>
              <w:t>0</w:t>
            </w:r>
          </w:p>
        </w:tc>
        <w:tc>
          <w:tcPr>
            <w:tcW w:w="94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2/3</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160"/>
        <w:spacing w:after="0"/>
        <w:rPr>
          <w:sz w:val="20"/>
          <w:szCs w:val="20"/>
          <w:color w:val="auto"/>
        </w:rPr>
      </w:pPr>
      <w:r>
        <w:rPr>
          <w:rFonts w:ascii="Times New Roman" w:cs="Times New Roman" w:eastAsia="Times New Roman" w:hAnsi="Times New Roman"/>
          <w:sz w:val="13"/>
          <w:szCs w:val="13"/>
          <w:color w:val="0000FF"/>
        </w:rPr>
        <w:t>value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8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granted to the Reporting Person on October 15, 2014 (the "Original Grant Date") vested 100% on the third anniversary of the Original Grant Date. Upon the vesting date, each vested RSU automatically converted into one (1) share of common stock of the Company.</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Cynthia M. McMakin,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-4445</wp:posOffset>
            </wp:positionV>
            <wp:extent cx="989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1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7"/>
          <w:szCs w:val="17"/>
          <w:color w:val="0000FF"/>
        </w:rPr>
        <w:t>Associate General Counsel, by</w:t>
        <w:tab/>
        <w:t>10/17/2017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-12700</wp:posOffset>
            </wp:positionV>
            <wp:extent cx="1955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-12700</wp:posOffset>
            </wp:positionV>
            <wp:extent cx="818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6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19"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39" w:lineRule="exact"/>
        <w:rPr>
          <w:sz w:val="20"/>
          <w:szCs w:val="20"/>
          <w:color w:val="auto"/>
        </w:rPr>
      </w:pPr>
    </w:p>
    <w:p>
      <w:pPr>
        <w:ind w:right="1640"/>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Kevin P. Lanouette, Ali Husain, Jeanne Weinzierl, Margaret Seif, Cynthia McMakin, Jeanne Weinzierl , Michael A. Simone , Rebecca Change and Mark</w:t>
      </w:r>
    </w:p>
    <w:p>
      <w:pPr>
        <w:spacing w:after="0" w:line="2" w:lineRule="exact"/>
        <w:rPr>
          <w:sz w:val="20"/>
          <w:szCs w:val="20"/>
          <w:color w:val="auto"/>
        </w:rPr>
      </w:pPr>
    </w:p>
    <w:p>
      <w:pPr>
        <w:ind w:right="2160"/>
        <w:spacing w:after="0" w:line="248" w:lineRule="auto"/>
        <w:rPr>
          <w:sz w:val="20"/>
          <w:szCs w:val="20"/>
          <w:color w:val="auto"/>
        </w:rPr>
      </w:pPr>
      <w:r>
        <w:rPr>
          <w:rFonts w:ascii="Courier New" w:cs="Courier New" w:eastAsia="Courier New" w:hAnsi="Courier New"/>
          <w:sz w:val="17"/>
          <w:szCs w:val="17"/>
          <w:color w:val="auto"/>
        </w:rPr>
        <w:t>Devine , signing singly and each acting individually, as the undersigned's true and lawful attorney-in-fact with full power and authority as hereinater described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(1)execute for and on behalf of the undersigned, in the undersigned's capacity as an oficer</w:t>
      </w:r>
    </w:p>
    <w:p>
      <w:pPr>
        <w:spacing w:after="0" w:line="7" w:lineRule="exact"/>
        <w:rPr>
          <w:sz w:val="20"/>
          <w:szCs w:val="20"/>
          <w:color w:val="auto"/>
        </w:rPr>
      </w:pPr>
    </w:p>
    <w:p>
      <w:pPr>
        <w:ind w:right="600"/>
        <w:spacing w:after="0" w:line="248" w:lineRule="auto"/>
        <w:rPr>
          <w:sz w:val="20"/>
          <w:szCs w:val="20"/>
          <w:color w:val="auto"/>
        </w:rPr>
      </w:pPr>
      <w:r>
        <w:rPr>
          <w:rFonts w:ascii="Courier New" w:cs="Courier New" w:eastAsia="Courier New" w:hAnsi="Courier New"/>
          <w:sz w:val="17"/>
          <w:szCs w:val="17"/>
          <w:color w:val="auto"/>
        </w:rPr>
        <w:t>and/or director of Analog Devices, Inc.(the "Company"), Forms 3, 4, and 5 (including any amendments thereto) in accordance with Section 16(a) of the Securities Exchange Act of 1934 and the rules thereunder (the "Exchange Act");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(2)do and perform any and all acts for and on behalf of the undersigned which may be</w:t>
      </w:r>
    </w:p>
    <w:p>
      <w:pPr>
        <w:spacing w:after="0" w:line="7" w:lineRule="exact"/>
        <w:rPr>
          <w:sz w:val="20"/>
          <w:szCs w:val="20"/>
          <w:color w:val="auto"/>
        </w:rPr>
      </w:pPr>
    </w:p>
    <w:p>
      <w:pPr>
        <w:ind w:right="820"/>
        <w:spacing w:after="0" w:line="250" w:lineRule="auto"/>
        <w:rPr>
          <w:sz w:val="20"/>
          <w:szCs w:val="20"/>
          <w:color w:val="auto"/>
        </w:rPr>
      </w:pPr>
      <w:r>
        <w:rPr>
          <w:rFonts w:ascii="Courier New" w:cs="Courier New" w:eastAsia="Courier New" w:hAnsi="Courier New"/>
          <w:sz w:val="17"/>
          <w:szCs w:val="17"/>
          <w:color w:val="auto"/>
        </w:rPr>
        <w:t>necessary or desirable to prepare, complete and execute any such Form 3, 4, or 5, prepare, complete and execute any amendment or amendments thereto, and timely deliver and ile such form with the United States Securities and Exchange Commission (the "SEC") and any stock exchange or similar authority, including without limitation the iling of a Form ID, including amendments thereto, or any other application materials to enable the undersigned to gain or maintain access to the Electronic Data Gathering Analysis and Retrieval ("EDGAR") system of the SEC and any and all successor systems to the EDGAR system;</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(3)seek or obtain, as the undersigned's representative and on the undersigned's behalf,</w:t>
      </w:r>
    </w:p>
    <w:p>
      <w:pPr>
        <w:spacing w:after="0" w:line="7" w:lineRule="exact"/>
        <w:rPr>
          <w:sz w:val="20"/>
          <w:szCs w:val="20"/>
          <w:color w:val="auto"/>
        </w:rPr>
      </w:pPr>
    </w:p>
    <w:p>
      <w:pPr>
        <w:ind w:right="820"/>
        <w:spacing w:after="0" w:line="248" w:lineRule="auto"/>
        <w:rPr>
          <w:sz w:val="20"/>
          <w:szCs w:val="20"/>
          <w:color w:val="auto"/>
        </w:rPr>
      </w:pPr>
      <w:r>
        <w:rPr>
          <w:rFonts w:ascii="Courier New" w:cs="Courier New" w:eastAsia="Courier New" w:hAnsi="Courier New"/>
          <w:sz w:val="17"/>
          <w:szCs w:val="17"/>
          <w:color w:val="auto"/>
        </w:rPr>
        <w:t>information regarding transactions in the Company's securities rom any third party, including brokers, employee beneit plan administrators and trustees, and the undersigned hereby authorizes any such person to release any such information to such attorney-in-fact and approves and ratiies any such release of information;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(4)take any other action of any type whatsoever in connection with the foregoing which, in</w:t>
      </w:r>
    </w:p>
    <w:p>
      <w:pPr>
        <w:spacing w:after="0" w:line="7" w:lineRule="exact"/>
        <w:rPr>
          <w:sz w:val="20"/>
          <w:szCs w:val="20"/>
          <w:color w:val="auto"/>
        </w:rPr>
      </w:pPr>
    </w:p>
    <w:p>
      <w:pPr>
        <w:spacing w:after="0" w:line="248" w:lineRule="auto"/>
        <w:rPr>
          <w:sz w:val="20"/>
          <w:szCs w:val="20"/>
          <w:color w:val="auto"/>
        </w:rPr>
      </w:pPr>
      <w:r>
        <w:rPr>
          <w:rFonts w:ascii="Courier New" w:cs="Courier New" w:eastAsia="Courier New" w:hAnsi="Courier New"/>
          <w:sz w:val="17"/>
          <w:szCs w:val="17"/>
          <w:color w:val="auto"/>
        </w:rPr>
        <w:t>the opinion of such attorney-in-fact, may be of beneit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w:t>
      </w:r>
    </w:p>
    <w:p>
      <w:pPr>
        <w:spacing w:after="0" w:line="7" w:lineRule="exact"/>
        <w:rPr>
          <w:sz w:val="20"/>
          <w:szCs w:val="20"/>
          <w:color w:val="auto"/>
        </w:rPr>
      </w:pPr>
    </w:p>
    <w:p>
      <w:pPr>
        <w:ind w:right="80"/>
        <w:spacing w:after="0" w:line="248" w:lineRule="auto"/>
        <w:rPr>
          <w:sz w:val="20"/>
          <w:szCs w:val="20"/>
          <w:color w:val="auto"/>
        </w:rPr>
      </w:pPr>
      <w:r>
        <w:rPr>
          <w:rFonts w:ascii="Courier New" w:cs="Courier New" w:eastAsia="Courier New" w:hAnsi="Courier New"/>
          <w:sz w:val="17"/>
          <w:szCs w:val="17"/>
          <w:color w:val="auto"/>
        </w:rPr>
        <w:t>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arc not assuming nor relieving, nor is the Company assuming nor relieving, any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responsibilities to comply with Section 16 of the Exchange Act.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neither the Company nor the foregoing attorneys-in-fact assume (i) any liability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responsibility to comply with the requirement of the Exchange Act, (ii) any liability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for any failure to comply with such requirements, or (iii) any obligation or liability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for proit disgorgement under Section 16(b) of the Exchange Act.</w:t>
      </w:r>
    </w:p>
    <w:p>
      <w:pPr>
        <w:spacing w:after="0" w:line="7" w:lineRule="exact"/>
        <w:rPr>
          <w:sz w:val="20"/>
          <w:szCs w:val="20"/>
          <w:color w:val="auto"/>
        </w:rPr>
      </w:pPr>
    </w:p>
    <w:p>
      <w:pPr>
        <w:ind w:right="600"/>
        <w:spacing w:after="0" w:line="27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 to be executed as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this 15th day of June, 2017.</w:t>
      </w:r>
    </w:p>
    <w:p>
      <w:pPr>
        <w:spacing w:after="0" w:line="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7"/>
          <w:szCs w:val="17"/>
          <w:color w:val="auto"/>
        </w:rPr>
        <w:t>Signature</w:t>
        <w:tab/>
        <w:t>Yusuf Jamal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Attorneyfor Section 16 Filings]</w:t>
      </w:r>
    </w:p>
    <w:sectPr>
      <w:pgSz w:w="11900" w:h="16838" w:orient="portrait"/>
      <w:cols w:equalWidth="0" w:num="1">
        <w:col w:w="11520"/>
      </w:cols>
      <w:pgMar w:left="240" w:top="110"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09229"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2019-12-23T13:59:30Z</dcterms:created>
  <dcterms:modified xsi:type="dcterms:W3CDTF">2019-12-23T13:59:30Z</dcterms:modified>
</cp:coreProperties>
</file>