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 (NO FEE REQUIRED)</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fiscal year ended December 31, 2007</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8" w:lineRule="exact"/>
        <w:rPr>
          <w:sz w:val="20"/>
          <w:szCs w:val="20"/>
          <w:color w:val="auto"/>
        </w:rPr>
      </w:pPr>
    </w:p>
    <w:p>
      <w:pPr>
        <w:ind w:left="1380" w:right="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 (d) OF THE SECURITIES EXCHANGE ACT OF 1934 (NO FEE REQUIRED)</w:t>
      </w:r>
    </w:p>
    <w:p>
      <w:pPr>
        <w:spacing w:after="0" w:line="284"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For the transition period from_______________ to ________________</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Commission file number 1-7819</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THE INVESTMENT PARTNERSHIP PLAN</w:t>
      </w:r>
    </w:p>
    <w:p>
      <w:pPr>
        <w:ind w:left="394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One Technology Way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499"/>
        <w:spacing w:after="0" w:line="234"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Report of Independent Registered Public Accounting Firm</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STATEMENTS OF NET ASSETS AVAILABLE FOR BENEFITS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STATEMENTS OF CHANGES IN NET ASSETS AVAILABLE FOR BENEFITS</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NOTES TO FINANCIAL STATEMENTS</w:t>
        </w:r>
      </w:hyperlink>
      <w:r>
        <w:rPr>
          <w:rFonts w:ascii="Arial" w:cs="Arial" w:eastAsia="Arial" w:hAnsi="Arial"/>
          <w:sz w:val="22"/>
          <w:szCs w:val="22"/>
          <w:u w:val="single" w:color="auto"/>
          <w:color w:val="0000EE"/>
        </w:rPr>
        <w:t xml:space="preserve"> </w:t>
      </w:r>
      <w:hyperlink w:anchor="page14">
        <w:r>
          <w:rPr>
            <w:rFonts w:ascii="Arial" w:cs="Arial" w:eastAsia="Arial" w:hAnsi="Arial"/>
            <w:sz w:val="22"/>
            <w:szCs w:val="22"/>
            <w:u w:val="single" w:color="auto"/>
            <w:color w:val="0000EE"/>
          </w:rPr>
          <w:t>SUPPLEMENTAL SCHEDULE</w:t>
        </w:r>
      </w:hyperlink>
    </w:p>
    <w:p>
      <w:pPr>
        <w:spacing w:after="0"/>
        <w:rPr>
          <w:rFonts w:ascii="Arial" w:cs="Arial" w:eastAsia="Arial" w:hAnsi="Arial"/>
          <w:sz w:val="19"/>
          <w:szCs w:val="19"/>
          <w:u w:val="single" w:color="auto"/>
          <w:color w:val="0000EE"/>
        </w:rPr>
      </w:pPr>
      <w:hyperlink w:anchor="page15">
        <w:r>
          <w:rPr>
            <w:rFonts w:ascii="Arial" w:cs="Arial" w:eastAsia="Arial" w:hAnsi="Arial"/>
            <w:sz w:val="19"/>
            <w:szCs w:val="19"/>
            <w:u w:val="single" w:color="auto"/>
            <w:color w:val="0000EE"/>
          </w:rPr>
          <w:t>SCHEDULE H-LINE 4i — SCHEDULE OF ASSETS (HELD AT END OF YEAR)</w:t>
        </w:r>
      </w:hyperlink>
    </w:p>
    <w:p>
      <w:pPr>
        <w:spacing w:after="0" w:line="1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SIGNATURES</w:t>
        </w:r>
      </w:hyperlink>
    </w:p>
    <w:p>
      <w:pPr>
        <w:spacing w:after="0"/>
        <w:rPr>
          <w:sz w:val="20"/>
          <w:szCs w:val="20"/>
          <w:color w:val="auto"/>
        </w:rPr>
      </w:pPr>
      <w:r>
        <w:rPr>
          <w:rFonts w:ascii="Arial" w:cs="Arial" w:eastAsia="Arial" w:hAnsi="Arial"/>
          <w:sz w:val="22"/>
          <w:szCs w:val="22"/>
          <w:u w:val="single" w:color="auto"/>
          <w:color w:val="0000EE"/>
        </w:rPr>
        <w:t>Ex-23.1 Consent of Ernst &amp; Young LLP</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THE INVESTMENT PARTNERSHIP PLAN</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Audited Statements of Net Assets Available for Benefits as of December 31, 2007 and 2006.</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Audited Statements of Changes in Net Assets Available for Benefits for the Years Ended December 31, 2007 and 2006.</w:t>
      </w:r>
    </w:p>
    <w:p>
      <w:pPr>
        <w:spacing w:after="0" w:line="356"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Supplemental Schedule</w:t>
      </w:r>
    </w:p>
    <w:p>
      <w:pPr>
        <w:spacing w:after="0" w:line="11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Schedule H-Line 4i — Schedule of Assets (Held at End of Year).</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5660" w:right="4299" w:hanging="5652"/>
        <w:spacing w:after="0" w:line="414" w:lineRule="auto"/>
        <w:tabs>
          <w:tab w:leader="none" w:pos="445"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Consent of Independent Registered Public Accounting Firm, filed herewith.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1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Analog Devices, Inc. The Investment Partnership Plan as of December 31, 2007 and 2006,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2007 and 2006, and the changes in its net assets available for benefits for the years then ended, in conformity with U.S. generally accepted accounting principles.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2007,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131445</wp:posOffset>
            </wp:positionV>
            <wp:extent cx="219519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51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20, 2008</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8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3"/>
          </w:tcPr>
          <w:p>
            <w:pPr>
              <w:jc w:val="center"/>
              <w:ind w:right="1860"/>
              <w:spacing w:after="0"/>
              <w:rPr>
                <w:sz w:val="20"/>
                <w:szCs w:val="20"/>
                <w:color w:val="auto"/>
              </w:rPr>
            </w:pPr>
            <w:r>
              <w:rPr>
                <w:rFonts w:ascii="Arial" w:cs="Arial" w:eastAsia="Arial" w:hAnsi="Arial"/>
                <w:sz w:val="18"/>
                <w:szCs w:val="18"/>
                <w:color w:val="auto"/>
                <w:w w:val="98"/>
              </w:rPr>
              <w:t>ANALOG DEVICES,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3"/>
          </w:tcPr>
          <w:p>
            <w:pPr>
              <w:jc w:val="center"/>
              <w:ind w:right="1840"/>
              <w:spacing w:after="0"/>
              <w:rPr>
                <w:sz w:val="20"/>
                <w:szCs w:val="20"/>
                <w:color w:val="auto"/>
              </w:rPr>
            </w:pPr>
            <w:r>
              <w:rPr>
                <w:rFonts w:ascii="Arial" w:cs="Arial" w:eastAsia="Arial" w:hAnsi="Arial"/>
                <w:sz w:val="18"/>
                <w:szCs w:val="18"/>
                <w:color w:val="auto"/>
                <w:w w:val="95"/>
              </w:rPr>
              <w:t>THE INVESTMENT PARTNERSHIP PLAN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3"/>
          </w:tcPr>
          <w:p>
            <w:pPr>
              <w:jc w:val="center"/>
              <w:ind w:right="1860"/>
              <w:spacing w:after="0"/>
              <w:rPr>
                <w:sz w:val="20"/>
                <w:szCs w:val="20"/>
                <w:color w:val="auto"/>
              </w:rPr>
            </w:pPr>
            <w:r>
              <w:rPr>
                <w:rFonts w:ascii="Arial" w:cs="Arial" w:eastAsia="Arial" w:hAnsi="Arial"/>
                <w:sz w:val="18"/>
                <w:szCs w:val="18"/>
                <w:color w:val="auto"/>
                <w:w w:val="95"/>
              </w:rPr>
              <w:t>STATEMENTS OF NET ASSETS AVAILABLE FOR BENEFITS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3"/>
          </w:tcPr>
          <w:p>
            <w:pPr>
              <w:jc w:val="center"/>
              <w:ind w:right="1840"/>
              <w:spacing w:after="0"/>
              <w:rPr>
                <w:sz w:val="20"/>
                <w:szCs w:val="20"/>
                <w:color w:val="auto"/>
              </w:rPr>
            </w:pPr>
            <w:r>
              <w:rPr>
                <w:rFonts w:ascii="Arial" w:cs="Arial" w:eastAsia="Arial" w:hAnsi="Arial"/>
                <w:sz w:val="18"/>
                <w:szCs w:val="18"/>
                <w:color w:val="auto"/>
                <w:w w:val="89"/>
              </w:rPr>
              <w:t>December 31, 2007 and 2006</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80" w:type="dxa"/>
            <w:vAlign w:val="bottom"/>
            <w:gridSpan w:val="2"/>
          </w:tcPr>
          <w:p>
            <w:pPr>
              <w:jc w:val="right"/>
              <w:ind w:right="25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center"/>
              <w:ind w:right="80"/>
              <w:spacing w:after="0" w:line="170" w:lineRule="exact"/>
              <w:rPr>
                <w:sz w:val="20"/>
                <w:szCs w:val="20"/>
                <w:color w:val="auto"/>
              </w:rPr>
            </w:pPr>
            <w:r>
              <w:rPr>
                <w:rFonts w:ascii="Arial" w:cs="Arial" w:eastAsia="Arial" w:hAnsi="Arial"/>
                <w:sz w:val="18"/>
                <w:szCs w:val="18"/>
                <w:color w:val="auto"/>
                <w:w w:val="90"/>
              </w:rPr>
              <w:t>ASSETS</w:t>
            </w:r>
          </w:p>
        </w:tc>
        <w:tc>
          <w:tcPr>
            <w:tcW w:w="536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280" w:type="dxa"/>
            <w:vAlign w:val="bottom"/>
            <w:gridSpan w:val="7"/>
          </w:tcPr>
          <w:p>
            <w:pPr>
              <w:spacing w:after="0"/>
              <w:rPr>
                <w:sz w:val="20"/>
                <w:szCs w:val="20"/>
                <w:color w:val="auto"/>
              </w:rPr>
            </w:pPr>
            <w:r>
              <w:rPr>
                <w:rFonts w:ascii="Arial" w:cs="Arial" w:eastAsia="Arial" w:hAnsi="Arial"/>
                <w:sz w:val="18"/>
                <w:szCs w:val="18"/>
                <w:color w:val="auto"/>
              </w:rPr>
              <w:t>Investments, at fair value</w:t>
            </w:r>
          </w:p>
        </w:tc>
        <w:tc>
          <w:tcPr>
            <w:tcW w:w="6720" w:type="dxa"/>
            <w:vAlign w:val="bottom"/>
            <w:gridSpan w:val="3"/>
          </w:tcPr>
          <w:p>
            <w:pPr>
              <w:jc w:val="right"/>
              <w:ind w:right="340"/>
              <w:spacing w:after="0"/>
              <w:rPr>
                <w:sz w:val="20"/>
                <w:szCs w:val="20"/>
                <w:color w:val="auto"/>
              </w:rPr>
            </w:pPr>
            <w:r>
              <w:rPr>
                <w:rFonts w:ascii="Arial" w:cs="Arial" w:eastAsia="Arial" w:hAnsi="Arial"/>
                <w:sz w:val="18"/>
                <w:szCs w:val="18"/>
                <w:color w:val="auto"/>
              </w:rPr>
              <w:t>$ 821,246,431</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$ 780,805,925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interest and dividends</w:t>
            </w:r>
          </w:p>
        </w:tc>
        <w:tc>
          <w:tcPr>
            <w:tcW w:w="6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24,230</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1,697,696</w:t>
            </w:r>
          </w:p>
        </w:tc>
        <w:tc>
          <w:tcPr>
            <w:tcW w:w="0" w:type="dxa"/>
            <w:vAlign w:val="bottom"/>
          </w:tcPr>
          <w:p>
            <w:pPr>
              <w:spacing w:after="0"/>
              <w:rPr>
                <w:sz w:val="1"/>
                <w:szCs w:val="1"/>
                <w:color w:val="auto"/>
              </w:rPr>
            </w:pPr>
          </w:p>
        </w:tc>
      </w:tr>
      <w:tr>
        <w:trPr>
          <w:trHeight w:val="432"/>
        </w:trPr>
        <w:tc>
          <w:tcPr>
            <w:tcW w:w="3280" w:type="dxa"/>
            <w:vAlign w:val="bottom"/>
            <w:gridSpan w:val="7"/>
          </w:tcPr>
          <w:p>
            <w:pPr>
              <w:spacing w:after="0"/>
              <w:rPr>
                <w:sz w:val="20"/>
                <w:szCs w:val="20"/>
                <w:color w:val="auto"/>
              </w:rPr>
            </w:pPr>
            <w:r>
              <w:rPr>
                <w:rFonts w:ascii="Arial" w:cs="Arial" w:eastAsia="Arial" w:hAnsi="Arial"/>
                <w:sz w:val="18"/>
                <w:szCs w:val="18"/>
                <w:color w:val="auto"/>
              </w:rPr>
              <w:t>Participant loans receivable</w:t>
            </w:r>
          </w:p>
        </w:tc>
        <w:tc>
          <w:tcPr>
            <w:tcW w:w="6720" w:type="dxa"/>
            <w:vAlign w:val="bottom"/>
            <w:gridSpan w:val="3"/>
          </w:tcPr>
          <w:p>
            <w:pPr>
              <w:jc w:val="right"/>
              <w:ind w:right="340"/>
              <w:spacing w:after="0"/>
              <w:rPr>
                <w:sz w:val="20"/>
                <w:szCs w:val="20"/>
                <w:color w:val="auto"/>
              </w:rPr>
            </w:pPr>
            <w:r>
              <w:rPr>
                <w:rFonts w:ascii="Arial" w:cs="Arial" w:eastAsia="Arial" w:hAnsi="Arial"/>
                <w:sz w:val="18"/>
                <w:szCs w:val="18"/>
                <w:color w:val="auto"/>
              </w:rPr>
              <w:t>8,671,238</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9,468,752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assets</w:t>
            </w:r>
          </w:p>
        </w:tc>
        <w:tc>
          <w:tcPr>
            <w:tcW w:w="6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829,941,899</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791,972,373</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8"/>
                <w:szCs w:val="18"/>
                <w:color w:val="auto"/>
              </w:rPr>
              <w:t>LIABILITIES</w:t>
            </w:r>
          </w:p>
        </w:tc>
        <w:tc>
          <w:tcPr>
            <w:tcW w:w="53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9"/>
              </w:rPr>
              <w:t>Payables — Pending investment transactions</w:t>
            </w:r>
          </w:p>
        </w:tc>
        <w:tc>
          <w:tcPr>
            <w:tcW w:w="5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(217,063)</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(693,142)</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80" w:type="dxa"/>
            <w:vAlign w:val="bottom"/>
            <w:gridSpan w:val="7"/>
          </w:tcPr>
          <w:p>
            <w:pPr>
              <w:spacing w:after="0"/>
              <w:rPr>
                <w:sz w:val="20"/>
                <w:szCs w:val="20"/>
                <w:color w:val="auto"/>
              </w:rPr>
            </w:pPr>
            <w:r>
              <w:rPr>
                <w:rFonts w:ascii="Arial" w:cs="Arial" w:eastAsia="Arial" w:hAnsi="Arial"/>
                <w:sz w:val="18"/>
                <w:szCs w:val="18"/>
                <w:color w:val="auto"/>
              </w:rPr>
              <w:t>Net assets available for benefits</w:t>
            </w:r>
          </w:p>
        </w:tc>
        <w:tc>
          <w:tcPr>
            <w:tcW w:w="672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829,724,836</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791,279,231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3"/>
          </w:tcPr>
          <w:p>
            <w:pPr>
              <w:jc w:val="center"/>
              <w:ind w:right="1860"/>
              <w:spacing w:after="0"/>
              <w:rPr>
                <w:sz w:val="20"/>
                <w:szCs w:val="20"/>
                <w:color w:val="auto"/>
              </w:rPr>
            </w:pPr>
            <w:r>
              <w:rPr>
                <w:rFonts w:ascii="Arial" w:cs="Arial" w:eastAsia="Arial" w:hAnsi="Arial"/>
                <w:sz w:val="18"/>
                <w:szCs w:val="18"/>
                <w:color w:val="auto"/>
                <w:w w:val="87"/>
              </w:rPr>
              <w:t>See accompanying notes.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60" w:type="dxa"/>
            <w:vAlign w:val="bottom"/>
          </w:tcPr>
          <w:p>
            <w:pPr>
              <w:jc w:val="center"/>
              <w:ind w:right="410"/>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9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2560" w:type="dxa"/>
            <w:vAlign w:val="bottom"/>
          </w:tcPr>
          <w:p>
            <w:pPr>
              <w:spacing w:after="0"/>
              <w:rPr>
                <w:sz w:val="24"/>
                <w:szCs w:val="24"/>
                <w:color w:val="auto"/>
              </w:rPr>
            </w:pPr>
          </w:p>
        </w:tc>
        <w:tc>
          <w:tcPr>
            <w:tcW w:w="4840" w:type="dxa"/>
            <w:vAlign w:val="bottom"/>
            <w:gridSpan w:val="2"/>
          </w:tcPr>
          <w:p>
            <w:pPr>
              <w:jc w:val="center"/>
              <w:ind w:right="1260"/>
              <w:spacing w:after="0"/>
              <w:rPr>
                <w:sz w:val="20"/>
                <w:szCs w:val="20"/>
                <w:color w:val="auto"/>
              </w:rPr>
            </w:pPr>
            <w:r>
              <w:rPr>
                <w:rFonts w:ascii="Arial" w:cs="Arial" w:eastAsia="Arial" w:hAnsi="Arial"/>
                <w:sz w:val="18"/>
                <w:szCs w:val="18"/>
                <w:color w:val="auto"/>
                <w:w w:val="98"/>
              </w:rPr>
              <w:t>ANALOG DEVICES, INC.</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840" w:type="dxa"/>
            <w:vAlign w:val="bottom"/>
            <w:gridSpan w:val="2"/>
          </w:tcPr>
          <w:p>
            <w:pPr>
              <w:jc w:val="center"/>
              <w:ind w:right="1240"/>
              <w:spacing w:after="0"/>
              <w:rPr>
                <w:sz w:val="20"/>
                <w:szCs w:val="20"/>
                <w:color w:val="auto"/>
              </w:rPr>
            </w:pPr>
            <w:r>
              <w:rPr>
                <w:rFonts w:ascii="Arial" w:cs="Arial" w:eastAsia="Arial" w:hAnsi="Arial"/>
                <w:sz w:val="18"/>
                <w:szCs w:val="18"/>
                <w:color w:val="auto"/>
                <w:w w:val="95"/>
              </w:rPr>
              <w:t>THE INVESTMENT PARTNERSHIP PLAN</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STATEMENTS OF CHANGES IN NET ASSETS AVAILABLE FOR BENEFITS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840" w:type="dxa"/>
            <w:vAlign w:val="bottom"/>
            <w:gridSpan w:val="2"/>
          </w:tcPr>
          <w:p>
            <w:pPr>
              <w:jc w:val="center"/>
              <w:ind w:right="1240"/>
              <w:spacing w:after="0"/>
              <w:rPr>
                <w:sz w:val="20"/>
                <w:szCs w:val="20"/>
                <w:color w:val="auto"/>
              </w:rPr>
            </w:pPr>
            <w:r>
              <w:rPr>
                <w:rFonts w:ascii="Arial" w:cs="Arial" w:eastAsia="Arial" w:hAnsi="Arial"/>
                <w:sz w:val="18"/>
                <w:szCs w:val="18"/>
                <w:color w:val="auto"/>
                <w:w w:val="88"/>
              </w:rPr>
              <w:t>Years ended December 31, 2007 and 2006</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Interest income on employee loans</w:t>
            </w:r>
          </w:p>
        </w:tc>
        <w:tc>
          <w:tcPr>
            <w:tcW w:w="4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553,502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appreciation in fair value of investments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1,474,653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12,734,153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w w:val="94"/>
              </w:rPr>
              <w:t>Dividends, interest and capital gains distributions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47,443,312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44,035,349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investment income</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49,471,467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57,328,576</w:t>
            </w:r>
          </w:p>
        </w:tc>
        <w:tc>
          <w:tcPr>
            <w:tcW w:w="0" w:type="dxa"/>
            <w:vAlign w:val="bottom"/>
          </w:tcPr>
          <w:p>
            <w:pPr>
              <w:spacing w:after="0"/>
              <w:rPr>
                <w:sz w:val="1"/>
                <w:szCs w:val="1"/>
                <w:color w:val="auto"/>
              </w:rPr>
            </w:pPr>
          </w:p>
        </w:tc>
      </w:tr>
      <w:tr>
        <w:trPr>
          <w:trHeight w:val="432"/>
        </w:trPr>
        <w:tc>
          <w:tcPr>
            <w:tcW w:w="3920" w:type="dxa"/>
            <w:vAlign w:val="bottom"/>
            <w:gridSpan w:val="3"/>
          </w:tcPr>
          <w:p>
            <w:pPr>
              <w:spacing w:after="0"/>
              <w:rPr>
                <w:sz w:val="20"/>
                <w:szCs w:val="20"/>
                <w:color w:val="auto"/>
              </w:rPr>
            </w:pPr>
            <w:r>
              <w:rPr>
                <w:rFonts w:ascii="Arial" w:cs="Arial" w:eastAsia="Arial" w:hAnsi="Arial"/>
                <w:sz w:val="18"/>
                <w:szCs w:val="18"/>
                <w:color w:val="auto"/>
              </w:rPr>
              <w:t>Contributions:</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22,005,673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23,068,616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Employee</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31,308,997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31,180,426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contributions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53,314,670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54,249,042</w:t>
            </w:r>
          </w:p>
        </w:tc>
        <w:tc>
          <w:tcPr>
            <w:tcW w:w="0" w:type="dxa"/>
            <w:vAlign w:val="bottom"/>
          </w:tcPr>
          <w:p>
            <w:pPr>
              <w:spacing w:after="0"/>
              <w:rPr>
                <w:sz w:val="1"/>
                <w:szCs w:val="1"/>
                <w:color w:val="auto"/>
              </w:rPr>
            </w:pPr>
          </w:p>
        </w:tc>
      </w:tr>
      <w:tr>
        <w:trPr>
          <w:trHeight w:val="432"/>
        </w:trPr>
        <w:tc>
          <w:tcPr>
            <w:tcW w:w="3920" w:type="dxa"/>
            <w:vAlign w:val="bottom"/>
            <w:gridSpan w:val="3"/>
          </w:tcPr>
          <w:p>
            <w:pPr>
              <w:spacing w:after="0"/>
              <w:rPr>
                <w:sz w:val="20"/>
                <w:szCs w:val="20"/>
                <w:color w:val="auto"/>
              </w:rPr>
            </w:pPr>
            <w:r>
              <w:rPr>
                <w:rFonts w:ascii="Arial" w:cs="Arial" w:eastAsia="Arial" w:hAnsi="Arial"/>
                <w:sz w:val="18"/>
                <w:szCs w:val="18"/>
                <w:color w:val="auto"/>
              </w:rPr>
              <w:t>Participant withdrawals</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(64,340,532)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(54,497,080)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Net increase in net assets available for benefits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38,445,605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57,080,538</w:t>
            </w:r>
          </w:p>
        </w:tc>
        <w:tc>
          <w:tcPr>
            <w:tcW w:w="0" w:type="dxa"/>
            <w:vAlign w:val="bottom"/>
          </w:tcPr>
          <w:p>
            <w:pPr>
              <w:spacing w:after="0"/>
              <w:rPr>
                <w:sz w:val="1"/>
                <w:szCs w:val="1"/>
                <w:color w:val="auto"/>
              </w:rPr>
            </w:pPr>
          </w:p>
        </w:tc>
      </w:tr>
      <w:tr>
        <w:trPr>
          <w:trHeight w:val="432"/>
        </w:trPr>
        <w:tc>
          <w:tcPr>
            <w:tcW w:w="3920" w:type="dxa"/>
            <w:vAlign w:val="bottom"/>
            <w:gridSpan w:val="3"/>
          </w:tcPr>
          <w:p>
            <w:pPr>
              <w:spacing w:after="0"/>
              <w:rPr>
                <w:sz w:val="20"/>
                <w:szCs w:val="20"/>
                <w:color w:val="auto"/>
              </w:rPr>
            </w:pPr>
            <w:r>
              <w:rPr>
                <w:rFonts w:ascii="Arial" w:cs="Arial" w:eastAsia="Arial" w:hAnsi="Arial"/>
                <w:sz w:val="18"/>
                <w:szCs w:val="18"/>
                <w:color w:val="auto"/>
                <w:w w:val="93"/>
              </w:rPr>
              <w:t>Net assets available for benefits at beginning of year</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791,279,231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734,198,693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829,724,836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791,279,231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840" w:type="dxa"/>
            <w:vAlign w:val="bottom"/>
            <w:gridSpan w:val="2"/>
          </w:tcPr>
          <w:p>
            <w:pPr>
              <w:jc w:val="center"/>
              <w:ind w:right="1260"/>
              <w:spacing w:after="0"/>
              <w:rPr>
                <w:sz w:val="20"/>
                <w:szCs w:val="20"/>
                <w:color w:val="auto"/>
              </w:rPr>
            </w:pPr>
            <w:r>
              <w:rPr>
                <w:rFonts w:ascii="Arial" w:cs="Arial" w:eastAsia="Arial" w:hAnsi="Arial"/>
                <w:sz w:val="18"/>
                <w:szCs w:val="18"/>
                <w:color w:val="auto"/>
                <w:w w:val="87"/>
              </w:rPr>
              <w:t>See accompanying notes.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740" w:type="dxa"/>
            <w:vAlign w:val="bottom"/>
          </w:tcPr>
          <w:p>
            <w:pPr>
              <w:jc w:val="center"/>
              <w:ind w:right="107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2007 and 2006</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Description of Plan</w:t>
      </w:r>
    </w:p>
    <w:p>
      <w:pPr>
        <w:spacing w:after="0" w:line="121" w:lineRule="exact"/>
        <w:rPr>
          <w:sz w:val="20"/>
          <w:szCs w:val="20"/>
          <w:color w:val="auto"/>
        </w:rPr>
      </w:pPr>
    </w:p>
    <w:p>
      <w:pPr>
        <w:ind w:left="460" w:right="860"/>
        <w:spacing w:after="0" w:line="308" w:lineRule="auto"/>
        <w:rPr>
          <w:sz w:val="20"/>
          <w:szCs w:val="20"/>
          <w:color w:val="auto"/>
        </w:rPr>
      </w:pPr>
      <w:r>
        <w:rPr>
          <w:rFonts w:ascii="Arial" w:cs="Arial" w:eastAsia="Arial" w:hAnsi="Arial"/>
          <w:sz w:val="17"/>
          <w:szCs w:val="17"/>
          <w:color w:val="auto"/>
        </w:rPr>
        <w:t>The following description of the Analog Devices, Inc. (the “Company”) The Investment Partnership Plan (the “Plan”) provides only general information. Participants should refer to the Plan agreement for a more complete description of the Plan’s provisions.</w:t>
      </w:r>
    </w:p>
    <w:p>
      <w:pPr>
        <w:spacing w:after="0" w:line="38" w:lineRule="exact"/>
        <w:rPr>
          <w:sz w:val="20"/>
          <w:szCs w:val="20"/>
          <w:color w:val="auto"/>
        </w:rPr>
      </w:pPr>
    </w:p>
    <w:p>
      <w:pPr>
        <w:ind w:left="460" w:right="240" w:firstLine="4"/>
        <w:spacing w:after="0" w:line="277" w:lineRule="auto"/>
        <w:tabs>
          <w:tab w:leader="none" w:pos="86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It is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Income Security Act of 1974 (“ERISA”).</w:t>
      </w:r>
    </w:p>
    <w:p>
      <w:pPr>
        <w:spacing w:after="0" w:line="62" w:lineRule="exact"/>
        <w:rPr>
          <w:rFonts w:ascii="Arial" w:cs="Arial" w:eastAsia="Arial" w:hAnsi="Arial"/>
          <w:sz w:val="18"/>
          <w:szCs w:val="18"/>
          <w:color w:val="auto"/>
        </w:rPr>
      </w:pPr>
    </w:p>
    <w:p>
      <w:pPr>
        <w:ind w:left="460" w:right="200" w:firstLine="4"/>
        <w:spacing w:after="0" w:line="264" w:lineRule="auto"/>
        <w:tabs>
          <w:tab w:leader="none" w:pos="86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day of employment.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are effective on the first day following one year of service. For eligibility purposes, a year of service is a 12-month period during which an employee completes at least 1,000 hours of service.</w:t>
      </w:r>
    </w:p>
    <w:p>
      <w:pPr>
        <w:spacing w:after="0" w:line="73" w:lineRule="exact"/>
        <w:rPr>
          <w:rFonts w:ascii="Arial" w:cs="Arial" w:eastAsia="Arial" w:hAnsi="Arial"/>
          <w:sz w:val="18"/>
          <w:szCs w:val="18"/>
          <w:color w:val="auto"/>
        </w:rPr>
      </w:pPr>
    </w:p>
    <w:p>
      <w:pPr>
        <w:ind w:left="460" w:firstLine="4"/>
        <w:spacing w:after="0" w:line="253" w:lineRule="auto"/>
        <w:tabs>
          <w:tab w:leader="none" w:pos="86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Contributions</w:t>
      </w:r>
      <w:r>
        <w:rPr>
          <w:rFonts w:ascii="Arial" w:cs="Arial" w:eastAsia="Arial" w:hAnsi="Arial"/>
          <w:sz w:val="18"/>
          <w:szCs w:val="18"/>
          <w:color w:val="auto"/>
        </w:rPr>
        <w:t>. Basic contributions will be made at the sole discretion of the Company. For 2007 and 2006, the Company decided to make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basic contribution at 5% of each participant’s total eligible compensation. The Internal Revenue Service defined total eligible compensation as an amount not to exceed $225,000 for 2007 and $220,000 for 2006. For 2008, this amount will increase to $230,000. In addition to the basic contribution, the Company matches each participant’s pre-tax contribution, if any, by contributing an amount not to exceed 3% of such participant’s total eligible compensation. A participant may voluntarily contribute to the Plan up to 50% of his or her pre-tax total eligible compensation; however, pre-tax contributions could not exceed $15,500 in 2007 and $15,000 in 2006. This amount will remain at $15,500 for 2008. Effective as of September 29, 2006, an employee who does not elect to make pre-tax contributions to the Plan nor gives the Company notice of his or her intent not to contribute within sixty days of his or her employment commencement date will be automatically enrolled to make a pre-tax contribution of 4% of his or her compensation.</w:t>
      </w:r>
    </w:p>
    <w:p>
      <w:pPr>
        <w:spacing w:after="0" w:line="89"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Years ended December 31, 2007 and 2006</w:t>
      </w:r>
    </w:p>
    <w:p>
      <w:pPr>
        <w:spacing w:after="0" w:line="117" w:lineRule="exact"/>
        <w:rPr>
          <w:sz w:val="20"/>
          <w:szCs w:val="20"/>
          <w:color w:val="auto"/>
        </w:rPr>
      </w:pPr>
    </w:p>
    <w:p>
      <w:pPr>
        <w:ind w:left="860" w:hanging="39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33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Analog Devices, Inc. Stock Fund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Calamos Growth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Growth &amp; Income Portfolio</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2005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2015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2025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2035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2040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2045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2050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Institutional Money Market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U.S. Bond Index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Hotchkis and Wiley Mid-Cap Value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Spartan International Index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Templeton Foreign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Royce Low-Priced Stock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Vanguard Mid-Cap Index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Vanguard Short-Term Bond Index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Vanguard Small-Cap Index Fund</w:t>
      </w:r>
    </w:p>
    <w:p>
      <w:pPr>
        <w:spacing w:after="0" w:line="34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Additionally, participants have the option to invest assets in Fidelity, non-Fidelity funds and in a self-directed brokerage service that allows participants access to a wide variety of stocks, bonds, short-term securities and mutual funds.</w:t>
      </w:r>
    </w:p>
    <w:p>
      <w:pPr>
        <w:spacing w:after="0" w:line="62" w:lineRule="exact"/>
        <w:rPr>
          <w:sz w:val="20"/>
          <w:szCs w:val="20"/>
          <w:color w:val="auto"/>
        </w:rPr>
      </w:pPr>
    </w:p>
    <w:p>
      <w:pPr>
        <w:ind w:left="460" w:right="200" w:firstLine="4"/>
        <w:spacing w:after="0" w:line="277" w:lineRule="auto"/>
        <w:tabs>
          <w:tab w:leader="none" w:pos="86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w:t>
      </w:r>
      <w:r>
        <w:rPr>
          <w:rFonts w:ascii="Arial" w:cs="Arial" w:eastAsia="Arial" w:hAnsi="Arial"/>
          <w:sz w:val="18"/>
          <w:szCs w:val="18"/>
          <w:i w:val="1"/>
          <w:iCs w:val="1"/>
          <w:color w:val="auto"/>
        </w:rPr>
        <w:t xml:space="preserve"> Employee contributions</w:t>
      </w:r>
      <w:r>
        <w:rPr>
          <w:rFonts w:ascii="Arial" w:cs="Arial" w:eastAsia="Arial" w:hAnsi="Arial"/>
          <w:sz w:val="18"/>
          <w:szCs w:val="18"/>
          <w:color w:val="auto"/>
        </w:rPr>
        <w:t>: Employee contributions are immediately 100% vested and nonforfeitable at the time they are deducted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participants’ compensation. Investment income on employee contributions vests as earned.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Years ended December 31, 2007 and 2006</w:t>
      </w:r>
    </w:p>
    <w:p>
      <w:pPr>
        <w:spacing w:after="0" w:line="117" w:lineRule="exact"/>
        <w:rPr>
          <w:sz w:val="20"/>
          <w:szCs w:val="20"/>
          <w:color w:val="auto"/>
        </w:rPr>
      </w:pPr>
    </w:p>
    <w:p>
      <w:pPr>
        <w:jc w:val="center"/>
        <w:ind w:left="300"/>
        <w:spacing w:after="0"/>
        <w:rPr>
          <w:sz w:val="20"/>
          <w:szCs w:val="20"/>
          <w:color w:val="auto"/>
        </w:rPr>
      </w:pPr>
      <w:r>
        <w:rPr>
          <w:rFonts w:ascii="Arial" w:cs="Arial" w:eastAsia="Arial" w:hAnsi="Arial"/>
          <w:sz w:val="17"/>
          <w:szCs w:val="17"/>
          <w:i w:val="1"/>
          <w:iCs w:val="1"/>
          <w:color w:val="auto"/>
        </w:rPr>
        <w:t xml:space="preserve">Company Contributions: </w:t>
      </w:r>
      <w:r>
        <w:rPr>
          <w:rFonts w:ascii="Arial" w:cs="Arial" w:eastAsia="Arial" w:hAnsi="Arial"/>
          <w:sz w:val="17"/>
          <w:szCs w:val="17"/>
          <w:color w:val="auto"/>
        </w:rPr>
        <w:t>Company basic and match contributions and investment earnings thereon become fully vested upon the first to occur of</w:t>
      </w:r>
    </w:p>
    <w:p>
      <w:pPr>
        <w:spacing w:after="0" w:line="35" w:lineRule="exact"/>
        <w:rPr>
          <w:sz w:val="20"/>
          <w:szCs w:val="20"/>
          <w:color w:val="auto"/>
        </w:rPr>
      </w:pPr>
    </w:p>
    <w:p>
      <w:pPr>
        <w:ind w:firstLine="8"/>
        <w:spacing w:after="0" w:line="255"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three years of service with the Company, (ii) reaching age 65 while employed by the Company, (iii) death or permanent disability while employed by the Company or (iv) if employment is terminated by the Company after December 31, 2005 due to job elimination, the closing of a facility or as the result of the disposition of a business unit.</w:t>
      </w:r>
    </w:p>
    <w:p>
      <w:pPr>
        <w:spacing w:after="0" w:line="82" w:lineRule="exact"/>
        <w:rPr>
          <w:rFonts w:ascii="Arial" w:cs="Arial" w:eastAsia="Arial" w:hAnsi="Arial"/>
          <w:sz w:val="18"/>
          <w:szCs w:val="18"/>
          <w:color w:val="auto"/>
        </w:rPr>
      </w:pPr>
    </w:p>
    <w:p>
      <w:pPr>
        <w:jc w:val="both"/>
        <w:ind w:right="100" w:firstLine="233"/>
        <w:spacing w:after="0" w:line="276" w:lineRule="auto"/>
        <w:tabs>
          <w:tab w:leader="none" w:pos="63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Benefits</w:t>
      </w:r>
      <w:r>
        <w:rPr>
          <w:rFonts w:ascii="Arial" w:cs="Arial" w:eastAsia="Arial" w:hAnsi="Arial"/>
          <w:sz w:val="17"/>
          <w:szCs w:val="17"/>
          <w:color w:val="auto"/>
        </w:rPr>
        <w:t>. Upon normal retirement at age 65, death, permanent disability or termination of employment, the participant’s vested benefits are paid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for 2007 and 2006, upon termination of employment, distribution will be made in the form of a lump-sum payment within one year following termination of employment. Participants may request an in-service withdrawal for any reason after he or she attains age 59 1/2.</w:t>
      </w:r>
    </w:p>
    <w:p>
      <w:pPr>
        <w:spacing w:after="0" w:line="64" w:lineRule="exact"/>
        <w:rPr>
          <w:rFonts w:ascii="Arial" w:cs="Arial" w:eastAsia="Arial" w:hAnsi="Arial"/>
          <w:sz w:val="17"/>
          <w:szCs w:val="17"/>
          <w:color w:val="auto"/>
        </w:rPr>
      </w:pPr>
    </w:p>
    <w:p>
      <w:pPr>
        <w:ind w:right="220" w:firstLine="233"/>
        <w:spacing w:after="0" w:line="279" w:lineRule="auto"/>
        <w:tabs>
          <w:tab w:leader="none" w:pos="63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Loans</w:t>
      </w:r>
      <w:r>
        <w:rPr>
          <w:rFonts w:ascii="Arial" w:cs="Arial" w:eastAsia="Arial" w:hAnsi="Arial"/>
          <w:sz w:val="17"/>
          <w:szCs w:val="17"/>
          <w:color w:val="auto"/>
        </w:rPr>
        <w:t>. Participants may borrow the lesser of 50% of their vested account balance, as defined by the plan or $50,000. Participants repay loans plus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to their accounts through payroll deductions, generally over a five-year period unless for the purchase of a primary residence, in which case the repayment period may be extended up to a maximum of twenty years. The interest rate on loans, which is announced quarterly, is tied to the interest rate of Treasury Bonds with 3- and 10-year maturities. Once determined, the interest rate is fixed for the duration of the loan.</w:t>
      </w:r>
    </w:p>
    <w:p>
      <w:pPr>
        <w:spacing w:after="0" w:line="63" w:lineRule="exact"/>
        <w:rPr>
          <w:rFonts w:ascii="Arial" w:cs="Arial" w:eastAsia="Arial" w:hAnsi="Arial"/>
          <w:sz w:val="17"/>
          <w:szCs w:val="17"/>
          <w:color w:val="auto"/>
        </w:rPr>
      </w:pPr>
    </w:p>
    <w:p>
      <w:pPr>
        <w:ind w:right="120" w:firstLine="233"/>
        <w:spacing w:after="0" w:line="302" w:lineRule="auto"/>
        <w:tabs>
          <w:tab w:leader="none" w:pos="63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Accounting</w:t>
      </w:r>
      <w:r>
        <w:rPr>
          <w:rFonts w:ascii="Arial" w:cs="Arial" w:eastAsia="Arial" w:hAnsi="Arial"/>
          <w:sz w:val="16"/>
          <w:szCs w:val="16"/>
          <w:color w:val="auto"/>
        </w:rPr>
        <w:t>. A separate account is maintained for each participant. Account balances are adjusted periodically for employee and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after December 31, 1984 returns to the employment of the Company within five years, any amount that had been forfeited will be reinstated by the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2007 and 2006</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73" w:lineRule="exact"/>
        <w:rPr>
          <w:sz w:val="20"/>
          <w:szCs w:val="20"/>
          <w:color w:val="auto"/>
        </w:rPr>
      </w:pPr>
    </w:p>
    <w:p>
      <w:pPr>
        <w:ind w:left="460" w:right="120" w:firstLine="4"/>
        <w:spacing w:after="0" w:line="286" w:lineRule="auto"/>
        <w:tabs>
          <w:tab w:leader="none" w:pos="865"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Investment allocation</w:t>
      </w:r>
      <w:r>
        <w:rPr>
          <w:rFonts w:ascii="Arial" w:cs="Arial" w:eastAsia="Arial" w:hAnsi="Arial"/>
          <w:sz w:val="17"/>
          <w:szCs w:val="17"/>
          <w:color w:val="auto"/>
        </w:rPr>
        <w:t>. The vested and nonvested share of a participant’s account balance is invested in one or more of the funds depending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allocation instructions of the participant. In the absence of such allocation instructions, all amounts accruing to the participant are invested in a Fidelity Freedom Fund, based on their projected retirement timeframe. They may change this election at any time.</w:t>
      </w:r>
    </w:p>
    <w:p>
      <w:pPr>
        <w:spacing w:after="0" w:line="57" w:lineRule="exact"/>
        <w:rPr>
          <w:rFonts w:ascii="Arial" w:cs="Arial" w:eastAsia="Arial" w:hAnsi="Arial"/>
          <w:sz w:val="17"/>
          <w:szCs w:val="17"/>
          <w:color w:val="auto"/>
        </w:rPr>
      </w:pPr>
    </w:p>
    <w:p>
      <w:pPr>
        <w:ind w:left="460" w:firstLine="4"/>
        <w:spacing w:after="0" w:line="308" w:lineRule="auto"/>
        <w:tabs>
          <w:tab w:leader="none" w:pos="865"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Continuation of the Plan</w:t>
      </w:r>
      <w:r>
        <w:rPr>
          <w:rFonts w:ascii="Arial" w:cs="Arial" w:eastAsia="Arial" w:hAnsi="Arial"/>
          <w:sz w:val="17"/>
          <w:szCs w:val="17"/>
          <w:color w:val="auto"/>
        </w:rPr>
        <w:t>. While the Company has not expressed any intent to terminate the Plan or suspend contributions, it is free to do so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In the event of such termination or suspension, each participant would have a nonforfeitable right to all monies in his or her account.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860" w:hanging="396"/>
        <w:spacing w:after="0"/>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the accrual basis of accounting.</w:t>
      </w:r>
    </w:p>
    <w:p>
      <w:pPr>
        <w:spacing w:after="0" w:line="117" w:lineRule="exact"/>
        <w:rPr>
          <w:rFonts w:ascii="Arial" w:cs="Arial" w:eastAsia="Arial" w:hAnsi="Arial"/>
          <w:sz w:val="18"/>
          <w:szCs w:val="18"/>
          <w:color w:val="auto"/>
        </w:rPr>
      </w:pPr>
    </w:p>
    <w:p>
      <w:pPr>
        <w:ind w:left="460" w:right="340" w:firstLine="4"/>
        <w:spacing w:after="0" w:line="277" w:lineRule="auto"/>
        <w:tabs>
          <w:tab w:leader="none" w:pos="865"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Investments are reported at fair value, based on quoted market prices. Participant loans are reported at their outstanding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which approximates fair value.</w:t>
      </w:r>
    </w:p>
    <w:p>
      <w:pPr>
        <w:spacing w:after="0" w:line="62" w:lineRule="exact"/>
        <w:rPr>
          <w:rFonts w:ascii="Arial" w:cs="Arial" w:eastAsia="Arial" w:hAnsi="Arial"/>
          <w:sz w:val="18"/>
          <w:szCs w:val="18"/>
          <w:color w:val="auto"/>
        </w:rPr>
      </w:pPr>
    </w:p>
    <w:p>
      <w:pPr>
        <w:ind w:left="460" w:right="540" w:firstLine="4"/>
        <w:spacing w:after="0" w:line="342" w:lineRule="auto"/>
        <w:tabs>
          <w:tab w:leader="none" w:pos="865"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Contributions from employees are recorded when the Company makes payroll deductions from plan participants.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are accrued at the end of the period in which they become obligations of the Company based upon the terms of the Plan.</w:t>
      </w:r>
    </w:p>
    <w:p>
      <w:pPr>
        <w:spacing w:after="0" w:line="15" w:lineRule="exact"/>
        <w:rPr>
          <w:rFonts w:ascii="Arial" w:cs="Arial" w:eastAsia="Arial" w:hAnsi="Arial"/>
          <w:sz w:val="16"/>
          <w:szCs w:val="16"/>
          <w:color w:val="auto"/>
        </w:rPr>
      </w:pPr>
    </w:p>
    <w:p>
      <w:pPr>
        <w:ind w:left="460" w:right="60" w:firstLine="4"/>
        <w:spacing w:after="0" w:line="264" w:lineRule="auto"/>
        <w:tabs>
          <w:tab w:leader="none" w:pos="865"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Investment income (loss)</w:t>
      </w:r>
      <w:r>
        <w:rPr>
          <w:rFonts w:ascii="Arial" w:cs="Arial" w:eastAsia="Arial" w:hAnsi="Arial"/>
          <w:sz w:val="18"/>
          <w:szCs w:val="18"/>
          <w:color w:val="auto"/>
        </w:rPr>
        <w:t>. Net investment income (loss) consists of interest income, dividends and capital gain/loss distributions from the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mutual funds, realized gains or losses on sales of investments and the change in net unrealized appreciation (depreciation) between the cost and market value of investments at the beginning and end of the period.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interest, dividends and capital gains distributions are reinvested in the respective funds and are recorded as earned on an accrual basis.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2007 and 2006</w:t>
      </w:r>
    </w:p>
    <w:p>
      <w:pPr>
        <w:spacing w:after="0" w:line="117" w:lineRule="exact"/>
        <w:rPr>
          <w:sz w:val="20"/>
          <w:szCs w:val="20"/>
          <w:color w:val="auto"/>
        </w:rPr>
      </w:pPr>
    </w:p>
    <w:p>
      <w:pPr>
        <w:ind w:left="460" w:right="160" w:firstLine="4"/>
        <w:spacing w:after="0" w:line="276" w:lineRule="auto"/>
        <w:tabs>
          <w:tab w:leader="none" w:pos="865"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Income tax status. </w:t>
      </w:r>
      <w:r>
        <w:rPr>
          <w:rFonts w:ascii="Arial" w:cs="Arial" w:eastAsia="Arial" w:hAnsi="Arial"/>
          <w:sz w:val="17"/>
          <w:szCs w:val="17"/>
          <w:color w:val="auto"/>
        </w:rPr>
        <w:t>The Plan has received a determination letter from the Internal Revenue Service, dated May 1, 2003, stating that the Plan is</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Committee believes the Plan is being operated in compliance with the applicable requirements of the Code and, therefore, that the Plan, as amended, is qualified and the related trust is tax exempt.</w:t>
      </w:r>
    </w:p>
    <w:p>
      <w:pPr>
        <w:spacing w:after="0" w:line="64" w:lineRule="exact"/>
        <w:rPr>
          <w:rFonts w:ascii="Arial" w:cs="Arial" w:eastAsia="Arial" w:hAnsi="Arial"/>
          <w:sz w:val="17"/>
          <w:szCs w:val="17"/>
          <w:i w:val="1"/>
          <w:iCs w:val="1"/>
          <w:color w:val="auto"/>
        </w:rPr>
      </w:pPr>
    </w:p>
    <w:p>
      <w:pPr>
        <w:ind w:left="460" w:right="500" w:firstLine="4"/>
        <w:spacing w:after="0" w:line="312" w:lineRule="auto"/>
        <w:tabs>
          <w:tab w:leader="none" w:pos="86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Related Party. </w:t>
      </w:r>
      <w:r>
        <w:rPr>
          <w:rFonts w:ascii="Arial" w:cs="Arial" w:eastAsia="Arial" w:hAnsi="Arial"/>
          <w:sz w:val="16"/>
          <w:szCs w:val="16"/>
          <w:color w:val="auto"/>
        </w:rPr>
        <w:t>Certain Plan investments are shares of mutual funds managed by FMR Corp. FMR Corp. is a related party to the trustee and</w:t>
      </w:r>
      <w:r>
        <w:rPr>
          <w:rFonts w:ascii="Arial" w:cs="Arial" w:eastAsia="Arial" w:hAnsi="Arial"/>
          <w:sz w:val="16"/>
          <w:szCs w:val="16"/>
          <w:i w:val="1"/>
          <w:iCs w:val="1"/>
          <w:color w:val="auto"/>
        </w:rPr>
        <w:t xml:space="preserve"> </w:t>
      </w:r>
      <w:r>
        <w:rPr>
          <w:rFonts w:ascii="Arial" w:cs="Arial" w:eastAsia="Arial" w:hAnsi="Arial"/>
          <w:sz w:val="16"/>
          <w:szCs w:val="16"/>
          <w:color w:val="auto"/>
        </w:rPr>
        <w:t>recordkeeper of the Plan, and therefore, these transactions qualify as party-in-interest transactions. Fees paid by the Company to the trustee and recordkeeper for administrative expenses amounted to $42,525 and $41,178 for the years ended December 31, 2007 and 2006, respectively.</w:t>
      </w:r>
    </w:p>
    <w:p>
      <w:pPr>
        <w:spacing w:after="0" w:line="39"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Plan also offers the Analog Devices, Inc. Common Stock Fund investment option. The Analog Devices, Inc. Common Stock Fund is designed for investment in the common stock of the Company. In addition, some of the investments in the Plan hold the Company’s Common stock. These transactions qualify as party-in-interest transactions.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to participants also qualify as party-in-interest transactions.</w:t>
      </w:r>
    </w:p>
    <w:p>
      <w:pPr>
        <w:spacing w:after="0" w:line="117" w:lineRule="exact"/>
        <w:rPr>
          <w:sz w:val="20"/>
          <w:szCs w:val="20"/>
          <w:color w:val="auto"/>
        </w:rPr>
      </w:pPr>
    </w:p>
    <w:p>
      <w:pPr>
        <w:ind w:left="460" w:right="80" w:firstLine="4"/>
        <w:spacing w:after="0" w:line="308" w:lineRule="auto"/>
        <w:tabs>
          <w:tab w:leader="none" w:pos="86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Administrative expenses</w:t>
      </w:r>
      <w:r>
        <w:rPr>
          <w:rFonts w:ascii="Arial" w:cs="Arial" w:eastAsia="Arial" w:hAnsi="Arial"/>
          <w:sz w:val="17"/>
          <w:szCs w:val="17"/>
          <w:color w:val="auto"/>
        </w:rPr>
        <w:t>. For the years ended December 31, 2007 and 2006, the Company elected to pay the administrative expenses of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expenses resulting from participant loans and investment fees are deducted directly from participant accounts.</w:t>
      </w:r>
    </w:p>
    <w:p>
      <w:pPr>
        <w:spacing w:after="0" w:line="38" w:lineRule="exact"/>
        <w:rPr>
          <w:rFonts w:ascii="Arial" w:cs="Arial" w:eastAsia="Arial" w:hAnsi="Arial"/>
          <w:sz w:val="17"/>
          <w:szCs w:val="17"/>
          <w:i w:val="1"/>
          <w:iCs w:val="1"/>
          <w:color w:val="auto"/>
        </w:rPr>
      </w:pPr>
    </w:p>
    <w:p>
      <w:pPr>
        <w:ind w:left="460" w:right="20" w:firstLine="4"/>
        <w:spacing w:after="0" w:line="286" w:lineRule="auto"/>
        <w:tabs>
          <w:tab w:leader="none" w:pos="86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generally accepted accounting principles requires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7"/>
          <w:szCs w:val="17"/>
          <w:i w:val="1"/>
          <w:iCs w:val="1"/>
          <w:color w:val="auto"/>
        </w:rPr>
        <w:t>.</w:t>
      </w:r>
    </w:p>
    <w:p>
      <w:pPr>
        <w:spacing w:after="0" w:line="57" w:lineRule="exact"/>
        <w:rPr>
          <w:rFonts w:ascii="Arial" w:cs="Arial" w:eastAsia="Arial" w:hAnsi="Arial"/>
          <w:sz w:val="17"/>
          <w:szCs w:val="17"/>
          <w:i w:val="1"/>
          <w:iCs w:val="1"/>
          <w:color w:val="auto"/>
        </w:rPr>
      </w:pPr>
    </w:p>
    <w:p>
      <w:pPr>
        <w:jc w:val="both"/>
        <w:ind w:left="460" w:firstLine="4"/>
        <w:spacing w:after="0" w:line="259" w:lineRule="auto"/>
        <w:tabs>
          <w:tab w:leader="none" w:pos="86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The Plan and its participants invest in various securities. Investment securities are exposed to various risks such as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market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8" w:lineRule="exact"/>
        <w:rPr>
          <w:rFonts w:ascii="Arial" w:cs="Arial" w:eastAsia="Arial" w:hAnsi="Arial"/>
          <w:sz w:val="18"/>
          <w:szCs w:val="18"/>
          <w:i w:val="1"/>
          <w:iCs w:val="1"/>
          <w:color w:val="auto"/>
        </w:rPr>
      </w:pPr>
    </w:p>
    <w:p>
      <w:pPr>
        <w:ind w:left="460" w:right="520" w:firstLine="4"/>
        <w:spacing w:after="0" w:line="342" w:lineRule="auto"/>
        <w:tabs>
          <w:tab w:leader="none" w:pos="86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New accounting pronouncement</w:t>
      </w:r>
      <w:r>
        <w:rPr>
          <w:rFonts w:ascii="Arial" w:cs="Arial" w:eastAsia="Arial" w:hAnsi="Arial"/>
          <w:sz w:val="16"/>
          <w:szCs w:val="16"/>
          <w:color w:val="auto"/>
        </w:rPr>
        <w:t>. In September 2006, the Financial Accounting Standards Board issued Statement of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Standards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This standard clarifies the definition of fair value for financial reporting,</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2007 and 2006</w:t>
      </w:r>
    </w:p>
    <w:p>
      <w:pPr>
        <w:spacing w:after="0" w:line="117"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establishes a framework for measuring fair value and requires additional disclosure about the use of fair value measurements. SFAS 157 is effective for financial statements issued for fiscal years beginning after November 15, 2007. Plan management is currently evaluating the effect that the provisions of SFAS 157 will have on the Plan’s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p>
        </w:tc>
        <w:tc>
          <w:tcPr>
            <w:tcW w:w="7360" w:type="dxa"/>
            <w:vAlign w:val="bottom"/>
            <w:gridSpan w:val="2"/>
          </w:tcPr>
          <w:p>
            <w:pPr>
              <w:ind w:left="140"/>
              <w:spacing w:after="0"/>
              <w:rPr>
                <w:sz w:val="20"/>
                <w:szCs w:val="20"/>
                <w:color w:val="auto"/>
              </w:rPr>
            </w:pPr>
            <w:r>
              <w:rPr>
                <w:rFonts w:ascii="Arial" w:cs="Arial" w:eastAsia="Arial" w:hAnsi="Arial"/>
                <w:sz w:val="18"/>
                <w:szCs w:val="18"/>
                <w:b w:val="1"/>
                <w:bCs w:val="1"/>
                <w:color w:val="auto"/>
              </w:rPr>
              <w:t>Trustee and Plan Recordkeeper</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w w:val="91"/>
              </w:rPr>
              <w:t>Fidelity Management Trust Company and Fidelity Institutional Retirement Services Company serve</w:t>
            </w:r>
          </w:p>
        </w:tc>
        <w:tc>
          <w:tcPr>
            <w:tcW w:w="40" w:type="dxa"/>
            <w:vAlign w:val="bottom"/>
          </w:tcPr>
          <w:p>
            <w:pPr>
              <w:spacing w:after="0"/>
              <w:rPr>
                <w:sz w:val="24"/>
                <w:szCs w:val="24"/>
                <w:color w:val="auto"/>
              </w:rPr>
            </w:pPr>
          </w:p>
        </w:tc>
        <w:tc>
          <w:tcPr>
            <w:tcW w:w="3620" w:type="dxa"/>
            <w:vAlign w:val="bottom"/>
            <w:gridSpan w:val="5"/>
          </w:tcPr>
          <w:p>
            <w:pPr>
              <w:ind w:left="480"/>
              <w:spacing w:after="0"/>
              <w:rPr>
                <w:sz w:val="20"/>
                <w:szCs w:val="20"/>
                <w:color w:val="auto"/>
              </w:rPr>
            </w:pPr>
            <w:r>
              <w:rPr>
                <w:rFonts w:ascii="Arial" w:cs="Arial" w:eastAsia="Arial" w:hAnsi="Arial"/>
                <w:sz w:val="18"/>
                <w:szCs w:val="18"/>
                <w:color w:val="auto"/>
                <w:w w:val="87"/>
              </w:rPr>
              <w:t>as trustee and recordkeeper, respectively, to</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the Plan.</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p>
        </w:tc>
        <w:tc>
          <w:tcPr>
            <w:tcW w:w="7360" w:type="dxa"/>
            <w:vAlign w:val="bottom"/>
            <w:gridSpan w:val="2"/>
          </w:tcPr>
          <w:p>
            <w:pPr>
              <w:ind w:left="140"/>
              <w:spacing w:after="0"/>
              <w:rPr>
                <w:sz w:val="20"/>
                <w:szCs w:val="20"/>
                <w:color w:val="auto"/>
              </w:rPr>
            </w:pPr>
            <w:r>
              <w:rPr>
                <w:rFonts w:ascii="Arial" w:cs="Arial" w:eastAsia="Arial" w:hAnsi="Arial"/>
                <w:sz w:val="18"/>
                <w:szCs w:val="18"/>
                <w:b w:val="1"/>
                <w:bCs w:val="1"/>
                <w:color w:val="auto"/>
              </w:rPr>
              <w:t>Investments</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The following investments represent five percent or more of the Plan’s net assets:</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20" w:type="dxa"/>
            <w:vAlign w:val="bottom"/>
            <w:gridSpan w:val="5"/>
          </w:tcPr>
          <w:p>
            <w:pPr>
              <w:ind w:left="840"/>
              <w:spacing w:after="0"/>
              <w:rPr>
                <w:sz w:val="20"/>
                <w:szCs w:val="20"/>
                <w:color w:val="auto"/>
              </w:rPr>
            </w:pPr>
            <w:r>
              <w:rPr>
                <w:rFonts w:ascii="Arial" w:cs="Arial" w:eastAsia="Arial" w:hAnsi="Arial"/>
                <w:sz w:val="14"/>
                <w:szCs w:val="14"/>
                <w:i w:val="1"/>
                <w:iCs w:val="1"/>
                <w:color w:val="auto"/>
              </w:rPr>
              <w:t>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color w:val="auto"/>
              </w:rPr>
              <w:t>2007</w:t>
            </w:r>
          </w:p>
        </w:tc>
        <w:tc>
          <w:tcPr>
            <w:tcW w:w="14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 Common Stock Fund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$100,885,397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$125,861,256</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7360" w:type="dxa"/>
            <w:vAlign w:val="bottom"/>
            <w:gridSpan w:val="2"/>
          </w:tcPr>
          <w:p>
            <w:pPr>
              <w:ind w:left="820"/>
              <w:spacing w:after="0"/>
              <w:rPr>
                <w:sz w:val="20"/>
                <w:szCs w:val="20"/>
                <w:color w:val="auto"/>
              </w:rPr>
            </w:pPr>
            <w:r>
              <w:rPr>
                <w:rFonts w:ascii="Arial" w:cs="Arial" w:eastAsia="Arial" w:hAnsi="Arial"/>
                <w:sz w:val="18"/>
                <w:szCs w:val="18"/>
                <w:color w:val="auto"/>
              </w:rPr>
              <w:t>Fidelity Income Fund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133,130,425</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Fidelity Institutional Money Market Fund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137,392,372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7360" w:type="dxa"/>
            <w:vAlign w:val="bottom"/>
            <w:gridSpan w:val="2"/>
          </w:tcPr>
          <w:p>
            <w:pPr>
              <w:ind w:left="820"/>
              <w:spacing w:after="0"/>
              <w:rPr>
                <w:sz w:val="20"/>
                <w:szCs w:val="20"/>
                <w:color w:val="auto"/>
              </w:rPr>
            </w:pPr>
            <w:r>
              <w:rPr>
                <w:rFonts w:ascii="Arial" w:cs="Arial" w:eastAsia="Arial" w:hAnsi="Arial"/>
                <w:sz w:val="18"/>
                <w:szCs w:val="18"/>
                <w:color w:val="auto"/>
              </w:rPr>
              <w:t>Fidelity Equity Income Fund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59,729,987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60,971,905</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Fidelity Growth Company Fund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60,559,307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50,664,578</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7360" w:type="dxa"/>
            <w:vAlign w:val="bottom"/>
            <w:gridSpan w:val="2"/>
          </w:tcPr>
          <w:p>
            <w:pPr>
              <w:ind w:left="820"/>
              <w:spacing w:after="0"/>
              <w:rPr>
                <w:sz w:val="20"/>
                <w:szCs w:val="20"/>
                <w:color w:val="auto"/>
              </w:rPr>
            </w:pPr>
            <w:r>
              <w:rPr>
                <w:rFonts w:ascii="Arial" w:cs="Arial" w:eastAsia="Arial" w:hAnsi="Arial"/>
                <w:sz w:val="18"/>
                <w:szCs w:val="18"/>
                <w:color w:val="auto"/>
              </w:rPr>
              <w:t>Fidelity Low-Priced Stock Fund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46,436,095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50,900,019</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43,464,600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balance is less than 5% of the Plan’s net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Plan’s investments (including gains and losses on investments bought and sold, as well as held during the year) appreciated in value as follows:</w:t>
      </w:r>
    </w:p>
    <w:p>
      <w:pPr>
        <w:spacing w:after="0" w:line="232" w:lineRule="exact"/>
        <w:rPr>
          <w:sz w:val="20"/>
          <w:szCs w:val="20"/>
          <w:color w:val="auto"/>
        </w:rPr>
      </w:pPr>
    </w:p>
    <w:p>
      <w:pPr>
        <w:jc w:val="center"/>
        <w:ind w:left="6700"/>
        <w:spacing w:after="0"/>
        <w:rPr>
          <w:sz w:val="20"/>
          <w:szCs w:val="20"/>
          <w:color w:val="auto"/>
        </w:rPr>
      </w:pPr>
      <w:r>
        <w:rPr>
          <w:rFonts w:ascii="Arial" w:cs="Arial" w:eastAsia="Arial" w:hAnsi="Arial"/>
          <w:sz w:val="14"/>
          <w:szCs w:val="14"/>
          <w:i w:val="1"/>
          <w:iCs w:val="1"/>
          <w:color w:val="auto"/>
        </w:rPr>
        <w:t>Year Ended</w:t>
      </w:r>
    </w:p>
    <w:p>
      <w:pPr>
        <w:jc w:val="center"/>
        <w:ind w:left="6700"/>
        <w:spacing w:after="0" w:line="231" w:lineRule="auto"/>
        <w:rPr>
          <w:sz w:val="20"/>
          <w:szCs w:val="20"/>
          <w:color w:val="auto"/>
        </w:rPr>
      </w:pPr>
      <w:r>
        <w:rPr>
          <w:rFonts w:ascii="Arial" w:cs="Arial" w:eastAsia="Arial" w:hAnsi="Arial"/>
          <w:sz w:val="14"/>
          <w:szCs w:val="14"/>
          <w:i w:val="1"/>
          <w:iCs w:val="1"/>
          <w:color w:val="auto"/>
        </w:rPr>
        <w:t>December 31,</w:t>
      </w:r>
    </w:p>
    <w:tbl>
      <w:tblPr>
        <w:tblLayout w:type="fixed"/>
        <w:tblInd w:w="0" w:type="dxa"/>
        <w:tblCellMar>
          <w:top w:w="0" w:type="dxa"/>
          <w:left w:w="0" w:type="dxa"/>
          <w:bottom w:w="0" w:type="dxa"/>
          <w:right w:w="0" w:type="dxa"/>
        </w:tblCellMar>
      </w:tblPr>
      <w:tr>
        <w:trPr>
          <w:trHeight w:val="142"/>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color w:val="auto"/>
              </w:rPr>
              <w:t>2007</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$ 1,689,368</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(8,304,622)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Mutual funds</w:t>
            </w:r>
          </w:p>
        </w:tc>
        <w:tc>
          <w:tcPr>
            <w:tcW w:w="4080" w:type="dxa"/>
            <w:vAlign w:val="bottom"/>
            <w:gridSpan w:val="3"/>
          </w:tcPr>
          <w:p>
            <w:pPr>
              <w:jc w:val="right"/>
              <w:ind w:right="220"/>
              <w:spacing w:after="0"/>
              <w:rPr>
                <w:sz w:val="20"/>
                <w:szCs w:val="20"/>
                <w:color w:val="auto"/>
              </w:rPr>
            </w:pPr>
            <w:r>
              <w:rPr>
                <w:rFonts w:ascii="Arial" w:cs="Arial" w:eastAsia="Arial" w:hAnsi="Arial"/>
                <w:sz w:val="18"/>
                <w:szCs w:val="18"/>
                <w:color w:val="auto"/>
              </w:rPr>
              <w:t>(1,497,646)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17,731,678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1,287,003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3,142,153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Bonds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18,490</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1140"/>
              <w:spacing w:after="0"/>
              <w:rPr>
                <w:sz w:val="20"/>
                <w:szCs w:val="20"/>
                <w:color w:val="auto"/>
              </w:rPr>
            </w:pPr>
            <w:r>
              <w:rPr>
                <w:rFonts w:ascii="Arial" w:cs="Arial" w:eastAsia="Arial" w:hAnsi="Arial"/>
                <w:sz w:val="18"/>
                <w:szCs w:val="18"/>
                <w:color w:val="auto"/>
              </w:rPr>
              <w:t>Net appreciation in fair value of investments</w:t>
            </w:r>
          </w:p>
        </w:tc>
        <w:tc>
          <w:tcPr>
            <w:tcW w:w="29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$ 1,474,653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12,734,153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920" w:type="dxa"/>
            <w:vAlign w:val="bottom"/>
            <w:vMerge w:val="restart"/>
          </w:tcPr>
          <w:p>
            <w:pPr>
              <w:jc w:val="right"/>
              <w:ind w:right="2030"/>
              <w:spacing w:after="0"/>
              <w:rPr>
                <w:sz w:val="20"/>
                <w:szCs w:val="20"/>
                <w:color w:val="auto"/>
              </w:rPr>
            </w:pPr>
            <w:r>
              <w:rPr>
                <w:rFonts w:ascii="Arial" w:cs="Arial" w:eastAsia="Arial" w:hAnsi="Arial"/>
                <w:sz w:val="18"/>
                <w:szCs w:val="18"/>
                <w:color w:val="auto"/>
              </w:rPr>
              <w:t>11</w:t>
            </w: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SUPPLEMENTAL SCHEDULE</w:t>
      </w:r>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31, 2007</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NO: 04-2348234 PLAN NO: 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H-LINE 4i — SCHEDULE OF ASSETS (HELD AT END OF YEAR)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Current</w:t>
            </w:r>
          </w:p>
        </w:tc>
        <w:tc>
          <w:tcPr>
            <w:tcW w:w="0" w:type="dxa"/>
            <w:vAlign w:val="bottom"/>
          </w:tcPr>
          <w:p>
            <w:pPr>
              <w:spacing w:after="0"/>
              <w:rPr>
                <w:sz w:val="1"/>
                <w:szCs w:val="1"/>
                <w:color w:val="auto"/>
              </w:rPr>
            </w:pPr>
          </w:p>
        </w:tc>
      </w:tr>
      <w:tr>
        <w:trPr>
          <w:trHeight w:val="167"/>
        </w:trPr>
        <w:tc>
          <w:tcPr>
            <w:tcW w:w="8660" w:type="dxa"/>
            <w:vAlign w:val="bottom"/>
          </w:tcPr>
          <w:p>
            <w:pPr>
              <w:spacing w:after="0"/>
              <w:rPr>
                <w:sz w:val="14"/>
                <w:szCs w:val="14"/>
                <w:color w:val="auto"/>
              </w:rPr>
            </w:pPr>
          </w:p>
        </w:tc>
        <w:tc>
          <w:tcPr>
            <w:tcW w:w="1640" w:type="dxa"/>
            <w:vAlign w:val="bottom"/>
            <w:gridSpan w:val="2"/>
          </w:tcPr>
          <w:p>
            <w:pPr>
              <w:jc w:val="right"/>
              <w:ind w:right="96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Investment:</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Money Market Fund</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137,392,372</w:t>
            </w:r>
          </w:p>
        </w:tc>
        <w:tc>
          <w:tcPr>
            <w:tcW w:w="6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137,392,372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Diversified International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1,089,338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43,464,600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Equity Income Fund</w:t>
            </w:r>
          </w:p>
        </w:tc>
        <w:tc>
          <w:tcPr>
            <w:tcW w:w="1000" w:type="dxa"/>
            <w:vAlign w:val="bottom"/>
          </w:tcPr>
          <w:p>
            <w:pPr>
              <w:jc w:val="right"/>
              <w:spacing w:after="0"/>
              <w:rPr>
                <w:sz w:val="20"/>
                <w:szCs w:val="20"/>
                <w:color w:val="auto"/>
              </w:rPr>
            </w:pPr>
            <w:r>
              <w:rPr>
                <w:rFonts w:ascii="Arial" w:cs="Arial" w:eastAsia="Arial" w:hAnsi="Arial"/>
                <w:sz w:val="18"/>
                <w:szCs w:val="18"/>
                <w:color w:val="auto"/>
              </w:rPr>
              <w:t>1,082,850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59,729,987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Income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291,753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3,340,567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2000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139,788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1,729,180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2005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2010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857,736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12,711,650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2015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175,792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2020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920,544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14,553,804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2025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260,808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3,437,447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2030 Fund</w:t>
            </w:r>
          </w:p>
        </w:tc>
        <w:tc>
          <w:tcPr>
            <w:tcW w:w="1000" w:type="dxa"/>
            <w:vAlign w:val="bottom"/>
          </w:tcPr>
          <w:p>
            <w:pPr>
              <w:jc w:val="right"/>
              <w:spacing w:after="0"/>
              <w:rPr>
                <w:sz w:val="20"/>
                <w:szCs w:val="20"/>
                <w:color w:val="auto"/>
              </w:rPr>
            </w:pPr>
            <w:r>
              <w:rPr>
                <w:rFonts w:ascii="Arial" w:cs="Arial" w:eastAsia="Arial" w:hAnsi="Arial"/>
                <w:sz w:val="18"/>
                <w:szCs w:val="18"/>
                <w:color w:val="auto"/>
              </w:rPr>
              <w:t>1,067,672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17,637,944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2035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168,401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2,303,720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2040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677,403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6,591,128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2045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2050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62,296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712,045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Company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730,288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60,599,307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&amp; Income Portfolio</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542,308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14,794,166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Low-Priced Stock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1,129,008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46,436,095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Magellan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400,512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37,596,057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Bond Index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2,535,786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27,614,713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Calamos Growth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226,392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13,277,886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Hotchkis and Wiley Mid-Cap Value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913,640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18,720,475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Royce Low-Priced Stock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874,201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12,903,201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Templeton Foreign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1,821,625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22,697,444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Spartan International Index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421,733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19,947,977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Mid-Cap Index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782,266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16,239,848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Vanguard Short-Term Bond Index Fund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875,100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8,864,760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Small-Cap Index Fund</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208,448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6,795,394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Equity Index Commingled Pool</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569,301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27,258,118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Participants Self-Directed Brokerage Accounts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80,039,604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720,361,034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Analog Devices, Inc. Common Stock Fund:</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620"/>
              <w:spacing w:after="0"/>
              <w:rPr>
                <w:sz w:val="20"/>
                <w:szCs w:val="20"/>
                <w:color w:val="auto"/>
              </w:rPr>
            </w:pPr>
            <w:r>
              <w:rPr>
                <w:rFonts w:ascii="Arial" w:cs="Arial" w:eastAsia="Arial" w:hAnsi="Arial"/>
                <w:sz w:val="18"/>
                <w:szCs w:val="18"/>
                <w:color w:val="auto"/>
              </w:rPr>
              <w:t>Analog Devices Inc. Common Stock</w:t>
            </w:r>
            <w:r>
              <w:rPr>
                <w:rFonts w:ascii="Arial" w:cs="Arial" w:eastAsia="Arial" w:hAnsi="Arial"/>
                <w:sz w:val="15"/>
                <w:szCs w:val="15"/>
                <w:color w:val="auto"/>
              </w:rPr>
              <w:t>(1)</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95,895,924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Cash Portfolio — Money Market Portfolio</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4,989,473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100,885,397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821,246,431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 xml:space="preserve">Participant Loans Receivable </w:t>
            </w:r>
            <w:r>
              <w:rPr>
                <w:rFonts w:ascii="Arial" w:cs="Arial" w:eastAsia="Arial" w:hAnsi="Arial"/>
                <w:sz w:val="15"/>
                <w:szCs w:val="15"/>
                <w:color w:val="auto"/>
              </w:rPr>
              <w:t>(1) (2)</w:t>
            </w: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8,671,238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Indicates party-in-interest to the Plan.</w:t>
      </w:r>
    </w:p>
    <w:p>
      <w:pPr>
        <w:spacing w:after="0" w:line="225" w:lineRule="exact"/>
        <w:rPr>
          <w:rFonts w:ascii="Arial" w:cs="Arial" w:eastAsia="Arial" w:hAnsi="Arial"/>
          <w:sz w:val="15"/>
          <w:szCs w:val="15"/>
          <w:color w:val="auto"/>
        </w:rPr>
      </w:pPr>
    </w:p>
    <w:p>
      <w:pPr>
        <w:ind w:right="620" w:firstLine="8"/>
        <w:spacing w:after="0" w:line="402" w:lineRule="auto"/>
        <w:tabs>
          <w:tab w:leader="none" w:pos="284" w:val="left"/>
        </w:tabs>
        <w:numPr>
          <w:ilvl w:val="0"/>
          <w:numId w:val="14"/>
        </w:numPr>
        <w:rPr>
          <w:rFonts w:ascii="Arial" w:cs="Arial" w:eastAsia="Arial" w:hAnsi="Arial"/>
          <w:sz w:val="15"/>
          <w:szCs w:val="15"/>
          <w:color w:val="auto"/>
        </w:rPr>
      </w:pPr>
      <w:r>
        <w:rPr>
          <w:rFonts w:ascii="Arial" w:cs="Arial" w:eastAsia="Arial" w:hAnsi="Arial"/>
          <w:sz w:val="18"/>
          <w:szCs w:val="18"/>
          <w:color w:val="auto"/>
        </w:rPr>
        <w:t>The loan account at December 31, 2007 bears interest at rates ranging from 3.5% to 10.00%, with terms ranging from less than 1 year to 20 years. Note: Cost information has not been included because all investments are participant-directed.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u w:val="single" w:color="auto"/>
          <w:color w:val="auto"/>
        </w:rPr>
        <w:t>THE INVESTMENT PARTNERSHIP PLAN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Joseph E. McDonough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President-Finance and Chief Financial Officer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Analog Devices, Inc. and Member of The Investment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Partnership Plan Administration Committee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June 24, 2008</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19"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 S-8 Nos. 33-2502, 2-95495, 33-43128, and 333-08493) pertaining to the Analog Devices, Inc. The Investment Partnership Plan of our report, dated June 20, 2008, with respect to the financial statements and schedule of the Analog Devices Inc. The Investment Partnership Plan included in this Annual Report (Form 11-K) for the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114300</wp:posOffset>
            </wp:positionV>
            <wp:extent cx="2195195" cy="660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951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20,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lowerRoman"/>
      <w:start w:val="1"/>
    </w:lvl>
    <w:lvl w:ilvl="1">
      <w:lvlJc w:val="left"/>
      <w:lvlText w:val="%2."/>
      <w:numFmt w:val="decimal"/>
      <w:start w:val="6"/>
    </w:lvl>
  </w:abstractNum>
  <w:abstractNum w:abstractNumId="9">
    <w:nsid w:val="66EF438D"/>
    <w:multiLevelType w:val="hybridMultilevel"/>
    <w:lvl w:ilvl="0">
      <w:lvlJc w:val="left"/>
      <w:lvlText w:val="%1"/>
      <w:numFmt w:val="upperLetter"/>
      <w:start w:val="1"/>
    </w:lvl>
    <w:lvl w:ilvl="1">
      <w:lvlJc w:val="left"/>
      <w:lvlText w:val="%2."/>
      <w:numFmt w:val="decimal"/>
      <w:start w:val="9"/>
    </w:lvl>
  </w:abstractNum>
  <w:abstractNum w:abstractNumId="10">
    <w:nsid w:val="140E0F76"/>
    <w:multiLevelType w:val="hybridMultilevel"/>
    <w:lvl w:ilvl="0">
      <w:lvlJc w:val="left"/>
      <w:lvlText w:val="%1."/>
      <w:numFmt w:val="upperLetter"/>
      <w:start w:val="2"/>
    </w:lvl>
    <w:lvl w:ilvl="1">
      <w:lvlJc w:val="left"/>
      <w:lvlText w:val="%2."/>
      <w:numFmt w:val="decimal"/>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decimal"/>
      <w:start w:val="7"/>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2019-12-11T11:13:13Z</dcterms:created>
  <dcterms:modified xsi:type="dcterms:W3CDTF">2019-12-11T11:13:13Z</dcterms:modified>
</cp:coreProperties>
</file>